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7" w:rsidRDefault="001C6272">
      <w:pPr>
        <w:spacing w:line="240" w:lineRule="auto"/>
        <w:rPr>
          <w:sz w:val="6"/>
        </w:rPr>
      </w:pPr>
      <w:r w:rsidRPr="00742A04">
        <w:rPr>
          <w:rStyle w:val="CommentReference"/>
          <w:vanish/>
        </w:rPr>
        <w:commentReference w:id="0"/>
      </w:r>
    </w:p>
    <w:p w:rsidR="001C6272" w:rsidRPr="008D0457" w:rsidRDefault="001C6272" w:rsidP="008D0457">
      <w:pPr>
        <w:spacing w:line="20" w:lineRule="exact"/>
        <w:rPr>
          <w:sz w:val="2"/>
        </w:rPr>
        <w:sectPr w:rsidR="001C6272" w:rsidRPr="008D04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</w:p>
    <w:p w:rsidR="001C6272" w:rsidRPr="00742A04" w:rsidRDefault="001C6272">
      <w:pPr>
        <w:spacing w:line="240" w:lineRule="auto"/>
        <w:rPr>
          <w:sz w:val="6"/>
        </w:rPr>
      </w:pPr>
    </w:p>
    <w:p w:rsidR="001C6272" w:rsidRPr="00742A04" w:rsidRDefault="001C6272">
      <w:pPr>
        <w:pStyle w:val="H1"/>
      </w:pPr>
      <w:r w:rsidRPr="00742A04">
        <w:t>Comité para la Elimina</w:t>
      </w:r>
      <w:r w:rsidR="008A6237" w:rsidRPr="00742A04">
        <w:t xml:space="preserve">ción </w:t>
      </w:r>
      <w:r w:rsidR="00F43124" w:rsidRPr="00742A04">
        <w:t xml:space="preserve">de la </w:t>
      </w:r>
      <w:r w:rsidRPr="00742A04">
        <w:t>Discriminación</w:t>
      </w:r>
    </w:p>
    <w:p w:rsidR="001C6272" w:rsidRPr="00742A04" w:rsidRDefault="001C627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2A04">
        <w:t>contra la Mujer</w:t>
      </w:r>
    </w:p>
    <w:p w:rsidR="001C6272" w:rsidRPr="00742A04" w:rsidRDefault="001C6272">
      <w:pPr>
        <w:spacing w:line="120" w:lineRule="exact"/>
        <w:rPr>
          <w:sz w:val="10"/>
        </w:rPr>
      </w:pPr>
    </w:p>
    <w:p w:rsidR="001C6272" w:rsidRPr="00742A04" w:rsidRDefault="001C6272">
      <w:pPr>
        <w:spacing w:line="120" w:lineRule="exact"/>
        <w:rPr>
          <w:sz w:val="10"/>
        </w:rPr>
      </w:pPr>
    </w:p>
    <w:p w:rsidR="001C6272" w:rsidRPr="00742A04" w:rsidRDefault="001C627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2A04">
        <w:t xml:space="preserve">Examen </w:t>
      </w:r>
      <w:r w:rsidR="00C076F2" w:rsidRPr="00742A04">
        <w:t xml:space="preserve">de los </w:t>
      </w:r>
      <w:r w:rsidRPr="00742A04">
        <w:t>informes presentados por los Estados partes</w:t>
      </w:r>
    </w:p>
    <w:p w:rsidR="001C6272" w:rsidRPr="00742A04" w:rsidRDefault="001C627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2A04">
        <w:t xml:space="preserve">de conformidad con </w:t>
      </w:r>
      <w:r w:rsidR="00914F67" w:rsidRPr="00742A04">
        <w:t xml:space="preserve">el </w:t>
      </w:r>
      <w:r w:rsidR="00A12CD8" w:rsidRPr="00742A04">
        <w:t xml:space="preserve">artículo </w:t>
      </w:r>
      <w:r w:rsidRPr="00742A04">
        <w:t xml:space="preserve">18 </w:t>
      </w:r>
      <w:r w:rsidR="00F43124" w:rsidRPr="00742A04">
        <w:t xml:space="preserve">de la </w:t>
      </w:r>
      <w:r w:rsidRPr="00742A04">
        <w:t>Conven</w:t>
      </w:r>
      <w:r w:rsidR="008A6237" w:rsidRPr="00742A04">
        <w:t xml:space="preserve">ción </w:t>
      </w:r>
      <w:r w:rsidRPr="00742A04">
        <w:t>sobre</w:t>
      </w:r>
    </w:p>
    <w:p w:rsidR="001C6272" w:rsidRPr="00742A04" w:rsidRDefault="001C627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2A04">
        <w:t>la elimina</w:t>
      </w:r>
      <w:r w:rsidR="008A6237" w:rsidRPr="00742A04">
        <w:t xml:space="preserve">ción </w:t>
      </w:r>
      <w:r w:rsidRPr="00742A04">
        <w:t>de todas las form</w:t>
      </w:r>
      <w:r w:rsidR="00250673" w:rsidRPr="00742A04">
        <w:t>a</w:t>
      </w:r>
      <w:r w:rsidR="009F4D9D" w:rsidRPr="00742A04">
        <w:t>s de</w:t>
      </w:r>
      <w:r w:rsidRPr="00742A04">
        <w:t xml:space="preserve"> discriminación</w:t>
      </w:r>
    </w:p>
    <w:p w:rsidR="001C6272" w:rsidRPr="00742A04" w:rsidRDefault="001C627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2A04">
        <w:t>contra la mujer</w:t>
      </w:r>
    </w:p>
    <w:p w:rsidR="001C6272" w:rsidRPr="00742A04" w:rsidRDefault="001C6272">
      <w:pPr>
        <w:spacing w:line="240" w:lineRule="auto"/>
        <w:rPr>
          <w:sz w:val="6"/>
        </w:rPr>
      </w:pPr>
    </w:p>
    <w:p w:rsidR="001C6272" w:rsidRPr="00742A04" w:rsidRDefault="001C6272">
      <w:pPr>
        <w:spacing w:line="240" w:lineRule="auto"/>
        <w:rPr>
          <w:sz w:val="6"/>
        </w:rPr>
      </w:pPr>
    </w:p>
    <w:p w:rsidR="001C6272" w:rsidRPr="00742A04" w:rsidRDefault="001C6272">
      <w:pPr>
        <w:spacing w:line="120" w:lineRule="exact"/>
        <w:rPr>
          <w:sz w:val="10"/>
        </w:rPr>
      </w:pPr>
    </w:p>
    <w:p w:rsidR="001C6272" w:rsidRPr="00742A04" w:rsidRDefault="0014175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2A04">
        <w:t>Séptimo</w:t>
      </w:r>
      <w:r w:rsidR="00D11B2E">
        <w:t>s</w:t>
      </w:r>
      <w:r w:rsidR="002159AB" w:rsidRPr="00742A04">
        <w:t xml:space="preserve"> </w:t>
      </w:r>
      <w:r w:rsidR="00231A2B" w:rsidRPr="00742A04">
        <w:t>i</w:t>
      </w:r>
      <w:r w:rsidRPr="00742A04">
        <w:t>nforme</w:t>
      </w:r>
      <w:r w:rsidR="00D11B2E">
        <w:t>s</w:t>
      </w:r>
      <w:r w:rsidR="001C6272" w:rsidRPr="00742A04">
        <w:t xml:space="preserve"> </w:t>
      </w:r>
      <w:r w:rsidRPr="00742A04">
        <w:t>periódico</w:t>
      </w:r>
      <w:r w:rsidR="00D11B2E">
        <w:t>s</w:t>
      </w:r>
      <w:r w:rsidR="002159AB" w:rsidRPr="00742A04">
        <w:t xml:space="preserve"> </w:t>
      </w:r>
      <w:r w:rsidR="00C076F2" w:rsidRPr="00742A04">
        <w:t xml:space="preserve">de los </w:t>
      </w:r>
      <w:r w:rsidR="001C6272" w:rsidRPr="00742A04">
        <w:t>Estados partes</w:t>
      </w:r>
    </w:p>
    <w:p w:rsidR="001C6272" w:rsidRPr="00742A04" w:rsidRDefault="001C6272">
      <w:pPr>
        <w:spacing w:line="120" w:lineRule="exact"/>
        <w:rPr>
          <w:sz w:val="10"/>
        </w:rPr>
      </w:pPr>
    </w:p>
    <w:p w:rsidR="001C6272" w:rsidRPr="00742A04" w:rsidRDefault="001C6272">
      <w:pPr>
        <w:spacing w:line="120" w:lineRule="exact"/>
        <w:rPr>
          <w:sz w:val="10"/>
        </w:rPr>
      </w:pPr>
    </w:p>
    <w:p w:rsidR="001C6272" w:rsidRPr="00742A04" w:rsidRDefault="001C6272">
      <w:pPr>
        <w:framePr w:w="9792" w:h="432" w:hSpace="180" w:wrap="auto" w:hAnchor="page" w:x="1210" w:yAlign="bottom"/>
        <w:spacing w:line="240" w:lineRule="auto"/>
        <w:rPr>
          <w:sz w:val="10"/>
        </w:rPr>
      </w:pPr>
    </w:p>
    <w:p w:rsidR="001C6272" w:rsidRPr="00742A04" w:rsidRDefault="001C6272">
      <w:pPr>
        <w:framePr w:w="9792" w:h="432" w:hSpace="180" w:wrap="auto" w:hAnchor="page" w:x="1210" w:yAlign="bottom"/>
        <w:spacing w:line="240" w:lineRule="auto"/>
        <w:rPr>
          <w:sz w:val="6"/>
        </w:rPr>
      </w:pPr>
      <w:r w:rsidRPr="00742A04">
        <w:rPr>
          <w:w w:val="100"/>
        </w:rPr>
        <w:pict>
          <v:line id="_x0000_s2052" style="position:absolute;z-index:1;mso-position-horizontal-relative:page" from="108pt,-1pt" to="180pt,-1pt" o:allowincell="f" strokeweight=".25pt">
            <w10:wrap anchorx="page"/>
          </v:line>
        </w:pict>
      </w:r>
    </w:p>
    <w:p w:rsidR="00231A2B" w:rsidRPr="00742A04" w:rsidRDefault="00352982" w:rsidP="004D4D96">
      <w:pPr>
        <w:framePr w:w="9792" w:h="432" w:hSpace="180" w:wrap="auto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</w:r>
      <w:r w:rsidR="00205E1E" w:rsidRPr="00742A04">
        <w:rPr>
          <w:sz w:val="17"/>
        </w:rPr>
        <w:t>*</w:t>
      </w:r>
      <w:r w:rsidR="00205E1E" w:rsidRPr="00742A04">
        <w:rPr>
          <w:sz w:val="17"/>
        </w:rPr>
        <w:tab/>
      </w:r>
      <w:r w:rsidR="001C6272" w:rsidRPr="00742A04">
        <w:rPr>
          <w:sz w:val="17"/>
        </w:rPr>
        <w:t>El informe</w:t>
      </w:r>
      <w:r w:rsidR="0014175D" w:rsidRPr="00742A04">
        <w:rPr>
          <w:sz w:val="17"/>
        </w:rPr>
        <w:t xml:space="preserve"> periódico de Noruega fue recibido </w:t>
      </w:r>
      <w:r w:rsidR="00614C7D" w:rsidRPr="00742A04">
        <w:rPr>
          <w:sz w:val="17"/>
        </w:rPr>
        <w:t xml:space="preserve">por la </w:t>
      </w:r>
      <w:r w:rsidR="0014175D" w:rsidRPr="00742A04">
        <w:rPr>
          <w:sz w:val="17"/>
        </w:rPr>
        <w:t>Secretaría el 3 de octubre de 2006</w:t>
      </w:r>
      <w:r w:rsidR="007C7860" w:rsidRPr="00742A04">
        <w:rPr>
          <w:sz w:val="17"/>
        </w:rPr>
        <w:t>.</w:t>
      </w:r>
    </w:p>
    <w:p w:rsidR="00433D1F" w:rsidRPr="00433D1F" w:rsidRDefault="00433D1F" w:rsidP="00433D1F">
      <w:pPr>
        <w:framePr w:w="9792" w:h="432" w:hSpace="180" w:wrap="auto" w:hAnchor="page" w:x="1210" w:yAlign="bottom"/>
        <w:tabs>
          <w:tab w:val="right" w:pos="284"/>
          <w:tab w:val="left" w:pos="1134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134" w:right="1260"/>
        <w:jc w:val="both"/>
        <w:rPr>
          <w:sz w:val="10"/>
        </w:rPr>
      </w:pPr>
    </w:p>
    <w:p w:rsidR="0014175D" w:rsidRPr="00742A04" w:rsidRDefault="004D4D96" w:rsidP="004D4D96">
      <w:pPr>
        <w:framePr w:w="9792" w:h="432" w:hSpace="180" w:wrap="auto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 w:rsidR="0014175D" w:rsidRPr="00742A04">
        <w:rPr>
          <w:sz w:val="17"/>
        </w:rPr>
        <w:t>Para el informe inicial presentado por el Gobierno de Noruega, véase CEDAW/C/5/Add.7</w:t>
      </w:r>
      <w:r w:rsidR="00D11B2E">
        <w:rPr>
          <w:sz w:val="17"/>
        </w:rPr>
        <w:t>, que fue examinado</w:t>
      </w:r>
      <w:r w:rsidR="0014175D" w:rsidRPr="00742A04">
        <w:rPr>
          <w:sz w:val="17"/>
        </w:rPr>
        <w:t xml:space="preserve"> por el Comité en su tercer período de sesiones. Para el segundo informe periódico, véase CEDAW/C/13/Add.15</w:t>
      </w:r>
      <w:r w:rsidR="00D11B2E">
        <w:rPr>
          <w:sz w:val="17"/>
        </w:rPr>
        <w:t>, que fue examinado</w:t>
      </w:r>
      <w:r w:rsidR="0014175D" w:rsidRPr="00742A04">
        <w:rPr>
          <w:sz w:val="17"/>
        </w:rPr>
        <w:t xml:space="preserve"> por el Comité en su décimo período de sesiones. Para el tercer informe periódico, véase CEDAW/C/NOR/3</w:t>
      </w:r>
      <w:r w:rsidR="00D11B2E">
        <w:rPr>
          <w:sz w:val="17"/>
        </w:rPr>
        <w:t>, que fue examinado</w:t>
      </w:r>
      <w:r w:rsidR="0014175D" w:rsidRPr="00742A04">
        <w:rPr>
          <w:sz w:val="17"/>
        </w:rPr>
        <w:t xml:space="preserve"> por el Comité en su 14° período de sesiones. Para el cuarto informe periódico, véase CEDAW/C/NOR/4</w:t>
      </w:r>
      <w:r w:rsidR="00D11B2E">
        <w:rPr>
          <w:sz w:val="17"/>
        </w:rPr>
        <w:t>, que fue examinado</w:t>
      </w:r>
      <w:r w:rsidR="0014175D" w:rsidRPr="00742A04">
        <w:rPr>
          <w:sz w:val="17"/>
        </w:rPr>
        <w:t xml:space="preserve"> por el Comité en su 14° período de sesiones. Para el quinto informe periódico, véase CEDAW/C/NOR/5</w:t>
      </w:r>
      <w:r w:rsidR="00D11B2E">
        <w:rPr>
          <w:sz w:val="17"/>
        </w:rPr>
        <w:t>, que fue examinado</w:t>
      </w:r>
      <w:r w:rsidR="0014175D" w:rsidRPr="00742A04">
        <w:rPr>
          <w:sz w:val="17"/>
        </w:rPr>
        <w:t xml:space="preserve"> por el Comité en su 28° período de sesiones. Para el sexto informe periódico, véase CEDAW/C/NOR/</w:t>
      </w:r>
      <w:r w:rsidR="00E9353D" w:rsidRPr="00742A04">
        <w:rPr>
          <w:sz w:val="17"/>
        </w:rPr>
        <w:t>6</w:t>
      </w:r>
      <w:r w:rsidR="00D11B2E">
        <w:rPr>
          <w:sz w:val="17"/>
        </w:rPr>
        <w:t>, que fue examinado</w:t>
      </w:r>
      <w:r w:rsidR="0014175D" w:rsidRPr="00742A04">
        <w:rPr>
          <w:sz w:val="17"/>
        </w:rPr>
        <w:t xml:space="preserve"> por el Comité en su 28° período de sesiones.</w:t>
      </w:r>
    </w:p>
    <w:p w:rsidR="001C6272" w:rsidRPr="00742A04" w:rsidRDefault="0014175D" w:rsidP="00205E1E">
      <w:pPr>
        <w:pStyle w:val="HCh"/>
      </w:pPr>
      <w:r w:rsidRPr="00742A04">
        <w:t>Noruega</w:t>
      </w:r>
      <w:r w:rsidR="001C6272" w:rsidRPr="00742A04">
        <w:rPr>
          <w:sz w:val="20"/>
        </w:rPr>
        <w:t>*</w:t>
      </w:r>
    </w:p>
    <w:p w:rsidR="001C6272" w:rsidRPr="00742A04" w:rsidRDefault="001C6272">
      <w:pPr>
        <w:spacing w:line="120" w:lineRule="exact"/>
        <w:rPr>
          <w:sz w:val="10"/>
        </w:rPr>
      </w:pPr>
    </w:p>
    <w:p w:rsidR="001C6272" w:rsidRPr="00742A04" w:rsidRDefault="001C6272">
      <w:pPr>
        <w:spacing w:line="120" w:lineRule="exact"/>
        <w:rPr>
          <w:sz w:val="10"/>
        </w:rPr>
      </w:pPr>
    </w:p>
    <w:p w:rsidR="001C6272" w:rsidRPr="00742A04" w:rsidRDefault="001C6272">
      <w:pPr>
        <w:spacing w:line="120" w:lineRule="exact"/>
        <w:rPr>
          <w:sz w:val="10"/>
        </w:rPr>
      </w:pPr>
    </w:p>
    <w:p w:rsidR="001C6272" w:rsidRPr="00742A04" w:rsidRDefault="001C6272">
      <w:pPr>
        <w:spacing w:line="240" w:lineRule="auto"/>
        <w:rPr>
          <w:sz w:val="6"/>
        </w:rPr>
      </w:pPr>
    </w:p>
    <w:p w:rsidR="001C6272" w:rsidRPr="00742A04" w:rsidRDefault="001C6272">
      <w:pPr>
        <w:spacing w:line="240" w:lineRule="auto"/>
        <w:rPr>
          <w:sz w:val="6"/>
        </w:rPr>
        <w:sectPr w:rsidR="001C6272" w:rsidRPr="00742A04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</w:p>
    <w:p w:rsidR="001C6272" w:rsidRPr="00742A04" w:rsidRDefault="001C6272">
      <w:pPr>
        <w:pStyle w:val="HCh"/>
        <w:spacing w:after="120"/>
        <w:rPr>
          <w:b w:val="0"/>
        </w:rPr>
      </w:pPr>
      <w:r w:rsidRPr="00742A04">
        <w:rPr>
          <w:b w:val="0"/>
        </w:rPr>
        <w:t>Índice</w:t>
      </w:r>
    </w:p>
    <w:p w:rsidR="001C6272" w:rsidRPr="00742A04" w:rsidRDefault="001C6272"/>
    <w:tbl>
      <w:tblPr>
        <w:tblW w:w="0" w:type="auto"/>
        <w:tblInd w:w="650" w:type="dxa"/>
        <w:tblLayout w:type="fixed"/>
        <w:tblLook w:val="0000" w:firstRow="0" w:lastRow="0" w:firstColumn="0" w:lastColumn="0" w:noHBand="0" w:noVBand="0"/>
      </w:tblPr>
      <w:tblGrid>
        <w:gridCol w:w="539"/>
        <w:gridCol w:w="269"/>
        <w:gridCol w:w="270"/>
        <w:gridCol w:w="6500"/>
        <w:gridCol w:w="990"/>
      </w:tblGrid>
      <w:tr w:rsidR="001C6272" w:rsidRPr="00742A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8" w:type="dxa"/>
            <w:gridSpan w:val="4"/>
          </w:tcPr>
          <w:p w:rsidR="001C6272" w:rsidRPr="00742A04" w:rsidRDefault="001C6272">
            <w:pPr>
              <w:tabs>
                <w:tab w:val="right" w:leader="dot" w:pos="7371"/>
                <w:tab w:val="right" w:leader="dot" w:pos="8647"/>
              </w:tabs>
            </w:pPr>
          </w:p>
        </w:tc>
        <w:tc>
          <w:tcPr>
            <w:tcW w:w="990" w:type="dxa"/>
          </w:tcPr>
          <w:p w:rsidR="001C6272" w:rsidRPr="00742A04" w:rsidRDefault="001C6272">
            <w:pPr>
              <w:tabs>
                <w:tab w:val="right" w:leader="dot" w:pos="7371"/>
                <w:tab w:val="right" w:leader="dot" w:pos="8647"/>
              </w:tabs>
              <w:jc w:val="right"/>
              <w:rPr>
                <w:i/>
              </w:rPr>
            </w:pPr>
            <w:r w:rsidRPr="00742A04">
              <w:rPr>
                <w:i/>
              </w:rPr>
              <w:t>Página</w:t>
            </w:r>
          </w:p>
        </w:tc>
      </w:tr>
      <w:tr w:rsidR="001C6272" w:rsidRPr="00742A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8" w:type="dxa"/>
            <w:gridSpan w:val="4"/>
          </w:tcPr>
          <w:p w:rsidR="001C6272" w:rsidRPr="00742A04" w:rsidRDefault="001C6272">
            <w:pPr>
              <w:tabs>
                <w:tab w:val="right" w:leader="dot" w:pos="7371"/>
                <w:tab w:val="right" w:leader="dot" w:pos="8647"/>
              </w:tabs>
            </w:pPr>
          </w:p>
        </w:tc>
        <w:tc>
          <w:tcPr>
            <w:tcW w:w="990" w:type="dxa"/>
          </w:tcPr>
          <w:p w:rsidR="001C6272" w:rsidRPr="00742A04" w:rsidRDefault="001C6272">
            <w:pPr>
              <w:tabs>
                <w:tab w:val="right" w:leader="dot" w:pos="7371"/>
                <w:tab w:val="right" w:leader="dot" w:pos="8647"/>
              </w:tabs>
              <w:jc w:val="right"/>
              <w:rPr>
                <w:i/>
              </w:rPr>
            </w:pPr>
          </w:p>
        </w:tc>
      </w:tr>
      <w:tr w:rsidR="00C90DEA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4"/>
          </w:tcPr>
          <w:p w:rsidR="00C90DEA" w:rsidRPr="00742A04" w:rsidRDefault="00C90DEA" w:rsidP="00D165B5">
            <w:pPr>
              <w:tabs>
                <w:tab w:val="left" w:pos="252"/>
                <w:tab w:val="right" w:leader="dot" w:pos="7371"/>
                <w:tab w:val="right" w:leader="dot" w:pos="7430"/>
              </w:tabs>
            </w:pPr>
            <w:r w:rsidRPr="00742A04">
              <w:t>Introducción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C90DEA" w:rsidRPr="00742A04" w:rsidRDefault="003E02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4</w:t>
            </w:r>
          </w:p>
        </w:tc>
      </w:tr>
      <w:tr w:rsidR="00A4446F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</w:tcPr>
          <w:p w:rsidR="00A4446F" w:rsidRPr="00742A04" w:rsidRDefault="00A4446F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>1.</w:t>
            </w:r>
          </w:p>
        </w:tc>
        <w:tc>
          <w:tcPr>
            <w:tcW w:w="7039" w:type="dxa"/>
            <w:gridSpan w:val="3"/>
          </w:tcPr>
          <w:p w:rsidR="00A4446F" w:rsidRPr="00D11B2E" w:rsidRDefault="00A4446F" w:rsidP="00D165B5">
            <w:pPr>
              <w:tabs>
                <w:tab w:val="right" w:leader="dot" w:pos="7371"/>
                <w:tab w:val="right" w:leader="dot" w:pos="7430"/>
                <w:tab w:val="right" w:leader="dot" w:pos="8647"/>
              </w:tabs>
              <w:rPr>
                <w:smallCaps/>
              </w:rPr>
            </w:pPr>
            <w:r w:rsidRPr="00D11B2E">
              <w:rPr>
                <w:smallCaps/>
              </w:rPr>
              <w:t>Primera parte</w:t>
            </w:r>
          </w:p>
          <w:p w:rsidR="00A4446F" w:rsidRPr="00742A04" w:rsidRDefault="00A4446F" w:rsidP="00D165B5">
            <w:pPr>
              <w:tabs>
                <w:tab w:val="left" w:pos="25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D11B2E">
              <w:rPr>
                <w:smallCaps/>
              </w:rPr>
              <w:t>Legislación, mecanismo para la igualdad de género y derechos fundamentales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A4446F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</w:t>
            </w:r>
          </w:p>
        </w:tc>
      </w:tr>
      <w:tr w:rsidR="00814B5D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</w:tcPr>
          <w:p w:rsidR="00814B5D" w:rsidRPr="00742A04" w:rsidRDefault="00814B5D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1.1</w:t>
            </w:r>
          </w:p>
        </w:tc>
        <w:tc>
          <w:tcPr>
            <w:tcW w:w="6770" w:type="dxa"/>
            <w:gridSpan w:val="2"/>
          </w:tcPr>
          <w:p w:rsidR="00814B5D" w:rsidRPr="00742A04" w:rsidRDefault="00814B5D" w:rsidP="00D165B5">
            <w:pPr>
              <w:tabs>
                <w:tab w:val="left" w:pos="25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2 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814B5D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</w:t>
            </w:r>
          </w:p>
        </w:tc>
      </w:tr>
      <w:tr w:rsidR="00814B5D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814B5D" w:rsidRPr="00742A04" w:rsidRDefault="00814B5D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1.1.1</w:t>
            </w:r>
          </w:p>
        </w:tc>
        <w:tc>
          <w:tcPr>
            <w:tcW w:w="6500" w:type="dxa"/>
          </w:tcPr>
          <w:p w:rsidR="00814B5D" w:rsidRPr="00742A04" w:rsidRDefault="00814B5D" w:rsidP="00D165B5">
            <w:pPr>
              <w:tabs>
                <w:tab w:val="left" w:pos="-1188"/>
                <w:tab w:val="left" w:pos="25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2</w:t>
            </w:r>
            <w:r w:rsidR="00251C6F">
              <w:t xml:space="preserve"> </w:t>
            </w:r>
            <w:r w:rsidRPr="00251C6F">
              <w:rPr>
                <w:i/>
              </w:rPr>
              <w:t>a</w:t>
            </w:r>
            <w:r w:rsidRPr="00742A04">
              <w:t xml:space="preserve"> </w:t>
            </w:r>
            <w:r w:rsidRPr="00742A04">
              <w:tab/>
            </w:r>
            <w:r w:rsidR="00A05847" w:rsidRPr="00742A04">
              <w:t>La igualdad de género en la legislación básica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814B5D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</w:t>
            </w:r>
          </w:p>
        </w:tc>
      </w:tr>
      <w:tr w:rsidR="00814B5D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814B5D" w:rsidRPr="00742A04" w:rsidRDefault="00814B5D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1.1.2</w:t>
            </w:r>
          </w:p>
        </w:tc>
        <w:tc>
          <w:tcPr>
            <w:tcW w:w="6500" w:type="dxa"/>
          </w:tcPr>
          <w:p w:rsidR="00814B5D" w:rsidRPr="00742A04" w:rsidRDefault="00251C6F" w:rsidP="00D165B5">
            <w:pPr>
              <w:tabs>
                <w:tab w:val="left" w:pos="-1458"/>
                <w:tab w:val="left" w:pos="25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>
              <w:t xml:space="preserve">Artículo 2 </w:t>
            </w:r>
            <w:r w:rsidR="00072AD7" w:rsidRPr="00251C6F">
              <w:rPr>
                <w:i/>
              </w:rPr>
              <w:t>b</w:t>
            </w:r>
            <w:r w:rsidR="00814B5D" w:rsidRPr="00742A04">
              <w:t xml:space="preserve"> </w:t>
            </w:r>
            <w:r w:rsidR="00814B5D" w:rsidRPr="00742A04">
              <w:tab/>
            </w:r>
            <w:r w:rsidR="00A05847" w:rsidRPr="00742A04">
              <w:t>La Ley sobre la Igualdad de Género</w:t>
            </w:r>
            <w:r w:rsidR="00814B5D" w:rsidRPr="00742A04">
              <w:tab/>
            </w:r>
          </w:p>
        </w:tc>
        <w:tc>
          <w:tcPr>
            <w:tcW w:w="990" w:type="dxa"/>
            <w:vAlign w:val="bottom"/>
          </w:tcPr>
          <w:p w:rsidR="00814B5D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8</w:t>
            </w:r>
          </w:p>
        </w:tc>
      </w:tr>
      <w:tr w:rsidR="00814B5D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814B5D" w:rsidRPr="00742A04" w:rsidRDefault="00814B5D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1.1.3</w:t>
            </w:r>
          </w:p>
        </w:tc>
        <w:tc>
          <w:tcPr>
            <w:tcW w:w="6500" w:type="dxa"/>
          </w:tcPr>
          <w:p w:rsidR="00814B5D" w:rsidRPr="00742A04" w:rsidRDefault="00814B5D" w:rsidP="00D165B5">
            <w:pPr>
              <w:tabs>
                <w:tab w:val="left" w:pos="-1458"/>
                <w:tab w:val="left" w:pos="25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2</w:t>
            </w:r>
            <w:r w:rsidR="00251C6F">
              <w:t xml:space="preserve"> </w:t>
            </w:r>
            <w:r w:rsidRPr="00251C6F">
              <w:rPr>
                <w:i/>
              </w:rPr>
              <w:t>c</w:t>
            </w:r>
            <w:r w:rsidRPr="00742A04">
              <w:t xml:space="preserve"> </w:t>
            </w:r>
            <w:r w:rsidRPr="00742A04">
              <w:tab/>
            </w:r>
            <w:r w:rsidR="00A05847" w:rsidRPr="00742A04">
              <w:t>El</w:t>
            </w:r>
            <w:r w:rsidR="00935A90" w:rsidRPr="00742A04">
              <w:t xml:space="preserve"> </w:t>
            </w:r>
            <w:r w:rsidR="00A05847" w:rsidRPr="00742A04">
              <w:t>mecanismo nacional para la igualdad de género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814B5D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9</w:t>
            </w:r>
          </w:p>
        </w:tc>
      </w:tr>
      <w:tr w:rsidR="00814B5D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814B5D" w:rsidRPr="00742A04" w:rsidRDefault="00814B5D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1.1.4</w:t>
            </w:r>
          </w:p>
        </w:tc>
        <w:tc>
          <w:tcPr>
            <w:tcW w:w="6500" w:type="dxa"/>
          </w:tcPr>
          <w:p w:rsidR="00814B5D" w:rsidRPr="00742A04" w:rsidRDefault="00814B5D" w:rsidP="00D165B5">
            <w:pPr>
              <w:tabs>
                <w:tab w:val="left" w:pos="-1458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  <w:ind w:left="1332" w:hanging="1332"/>
            </w:pPr>
            <w:r w:rsidRPr="00742A04">
              <w:t>Artículo 2</w:t>
            </w:r>
            <w:r w:rsidR="00251C6F">
              <w:t xml:space="preserve"> </w:t>
            </w:r>
            <w:r w:rsidRPr="00251C6F">
              <w:rPr>
                <w:i/>
              </w:rPr>
              <w:t>d</w:t>
            </w:r>
            <w:r w:rsidRPr="00742A04">
              <w:t xml:space="preserve"> </w:t>
            </w:r>
            <w:r w:rsidRPr="00742A04">
              <w:tab/>
            </w:r>
            <w:r w:rsidR="00A05847" w:rsidRPr="00742A04">
              <w:t>Esfuerzos de las autoridades públicas por promover la igualdad de género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814B5D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14</w:t>
            </w:r>
          </w:p>
        </w:tc>
      </w:tr>
      <w:tr w:rsidR="00814B5D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814B5D" w:rsidRPr="00742A04" w:rsidRDefault="00814B5D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1.1.5</w:t>
            </w:r>
          </w:p>
        </w:tc>
        <w:tc>
          <w:tcPr>
            <w:tcW w:w="6500" w:type="dxa"/>
          </w:tcPr>
          <w:p w:rsidR="00814B5D" w:rsidRPr="00742A04" w:rsidRDefault="00814B5D" w:rsidP="00D165B5">
            <w:pPr>
              <w:tabs>
                <w:tab w:val="left" w:pos="-253"/>
                <w:tab w:val="left" w:pos="-108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2</w:t>
            </w:r>
            <w:r w:rsidR="00251C6F">
              <w:t xml:space="preserve"> </w:t>
            </w:r>
            <w:r w:rsidRPr="00251C6F">
              <w:rPr>
                <w:i/>
              </w:rPr>
              <w:t>e</w:t>
            </w:r>
            <w:r w:rsidRPr="00742A04">
              <w:t xml:space="preserve"> </w:t>
            </w:r>
            <w:r w:rsidR="00B90613" w:rsidRPr="00742A04">
              <w:tab/>
            </w:r>
            <w:r w:rsidR="00B90613" w:rsidRPr="00742A04">
              <w:tab/>
            </w:r>
          </w:p>
        </w:tc>
        <w:tc>
          <w:tcPr>
            <w:tcW w:w="990" w:type="dxa"/>
            <w:vAlign w:val="bottom"/>
          </w:tcPr>
          <w:p w:rsidR="00814B5D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16</w:t>
            </w:r>
          </w:p>
        </w:tc>
      </w:tr>
      <w:tr w:rsidR="00814B5D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814B5D" w:rsidRPr="00742A04" w:rsidRDefault="00814B5D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1.1.6</w:t>
            </w:r>
          </w:p>
        </w:tc>
        <w:tc>
          <w:tcPr>
            <w:tcW w:w="6500" w:type="dxa"/>
          </w:tcPr>
          <w:p w:rsidR="00814B5D" w:rsidRPr="00742A04" w:rsidRDefault="00814B5D" w:rsidP="00D165B5">
            <w:pPr>
              <w:tabs>
                <w:tab w:val="left" w:pos="-703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2</w:t>
            </w:r>
            <w:r w:rsidR="00251C6F">
              <w:t xml:space="preserve"> </w:t>
            </w:r>
            <w:r w:rsidRPr="00251C6F">
              <w:rPr>
                <w:i/>
              </w:rPr>
              <w:t>f</w:t>
            </w:r>
            <w:r w:rsidRPr="00742A04">
              <w:t xml:space="preserve"> y 2</w:t>
            </w:r>
            <w:r w:rsidR="00251C6F">
              <w:t xml:space="preserve"> </w:t>
            </w:r>
            <w:r w:rsidRPr="00251C6F">
              <w:rPr>
                <w:i/>
              </w:rPr>
              <w:t>g</w:t>
            </w:r>
            <w:r w:rsidRPr="00742A04">
              <w:t xml:space="preserve"> </w:t>
            </w:r>
            <w:r w:rsidRPr="00742A04">
              <w:tab/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814B5D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17</w:t>
            </w:r>
          </w:p>
        </w:tc>
      </w:tr>
      <w:tr w:rsidR="00814B5D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</w:tcPr>
          <w:p w:rsidR="00814B5D" w:rsidRPr="00742A04" w:rsidRDefault="00814B5D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1.2</w:t>
            </w:r>
          </w:p>
        </w:tc>
        <w:tc>
          <w:tcPr>
            <w:tcW w:w="6770" w:type="dxa"/>
            <w:gridSpan w:val="2"/>
          </w:tcPr>
          <w:p w:rsidR="00814B5D" w:rsidRPr="00742A04" w:rsidRDefault="00814B5D" w:rsidP="00D165B5">
            <w:pPr>
              <w:tabs>
                <w:tab w:val="left" w:pos="252"/>
                <w:tab w:val="left" w:pos="882"/>
                <w:tab w:val="left" w:pos="115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3 </w:t>
            </w:r>
            <w:r w:rsidR="00B90613" w:rsidRPr="00742A04">
              <w:tab/>
            </w:r>
            <w:r w:rsidR="00A05847" w:rsidRPr="00742A04">
              <w:t>Igualdad de género y derechos humanos</w:t>
            </w:r>
            <w:r w:rsidR="00B90613" w:rsidRPr="00742A04">
              <w:t xml:space="preserve"> 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814B5D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17</w:t>
            </w:r>
          </w:p>
        </w:tc>
      </w:tr>
      <w:tr w:rsidR="00814B5D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</w:tcPr>
          <w:p w:rsidR="00814B5D" w:rsidRPr="00742A04" w:rsidRDefault="00814B5D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1.3</w:t>
            </w:r>
          </w:p>
        </w:tc>
        <w:tc>
          <w:tcPr>
            <w:tcW w:w="6770" w:type="dxa"/>
            <w:gridSpan w:val="2"/>
          </w:tcPr>
          <w:p w:rsidR="00814B5D" w:rsidRPr="00742A04" w:rsidRDefault="00814B5D" w:rsidP="00D165B5">
            <w:pPr>
              <w:tabs>
                <w:tab w:val="left" w:pos="-523"/>
                <w:tab w:val="left" w:pos="-288"/>
                <w:tab w:val="left" w:pos="88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4 </w:t>
            </w:r>
            <w:r w:rsidR="005611C5" w:rsidRPr="00742A04">
              <w:tab/>
            </w:r>
          </w:p>
        </w:tc>
        <w:tc>
          <w:tcPr>
            <w:tcW w:w="990" w:type="dxa"/>
            <w:vAlign w:val="bottom"/>
          </w:tcPr>
          <w:p w:rsidR="00814B5D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25</w:t>
            </w:r>
          </w:p>
        </w:tc>
      </w:tr>
      <w:tr w:rsidR="00B9061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B90613" w:rsidRPr="00742A04" w:rsidRDefault="00B90613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1.3.1</w:t>
            </w:r>
          </w:p>
        </w:tc>
        <w:tc>
          <w:tcPr>
            <w:tcW w:w="6500" w:type="dxa"/>
          </w:tcPr>
          <w:p w:rsidR="00B90613" w:rsidRPr="00742A04" w:rsidRDefault="00B90613" w:rsidP="00D165B5">
            <w:pPr>
              <w:tabs>
                <w:tab w:val="left" w:pos="252"/>
                <w:tab w:val="left" w:pos="88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4.1 </w:t>
            </w:r>
            <w:r w:rsidRPr="00742A04">
              <w:tab/>
            </w:r>
            <w:r w:rsidR="00A05847" w:rsidRPr="00742A04">
              <w:t>Medidas especiales para promover la igualdad de género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B9061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25</w:t>
            </w:r>
          </w:p>
        </w:tc>
      </w:tr>
      <w:tr w:rsidR="00B9061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B90613" w:rsidRPr="00742A04" w:rsidRDefault="00B90613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1.3.2</w:t>
            </w:r>
          </w:p>
        </w:tc>
        <w:tc>
          <w:tcPr>
            <w:tcW w:w="6500" w:type="dxa"/>
          </w:tcPr>
          <w:p w:rsidR="00B90613" w:rsidRPr="00742A04" w:rsidRDefault="00B90613" w:rsidP="00D165B5">
            <w:pPr>
              <w:tabs>
                <w:tab w:val="left" w:pos="25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4.2 </w:t>
            </w:r>
            <w:r w:rsidR="005611C5" w:rsidRPr="00742A04">
              <w:tab/>
            </w:r>
            <w:r w:rsidR="00A05847" w:rsidRPr="00742A04">
              <w:t xml:space="preserve">Protección del rol reproductivo </w:t>
            </w:r>
            <w:r w:rsidR="00F43124" w:rsidRPr="00742A04">
              <w:t xml:space="preserve">de la </w:t>
            </w:r>
            <w:r w:rsidR="00A05847" w:rsidRPr="00742A04">
              <w:t>mujer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B9061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26</w:t>
            </w:r>
          </w:p>
        </w:tc>
      </w:tr>
      <w:tr w:rsidR="00B9061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</w:tcPr>
          <w:p w:rsidR="00B90613" w:rsidRPr="00742A04" w:rsidRDefault="00B9061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1.4</w:t>
            </w:r>
          </w:p>
        </w:tc>
        <w:tc>
          <w:tcPr>
            <w:tcW w:w="6770" w:type="dxa"/>
            <w:gridSpan w:val="2"/>
          </w:tcPr>
          <w:p w:rsidR="00B90613" w:rsidRPr="00742A04" w:rsidRDefault="00B90613" w:rsidP="00D165B5">
            <w:pPr>
              <w:tabs>
                <w:tab w:val="left" w:pos="88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5 </w:t>
            </w:r>
            <w:r w:rsidRPr="00742A04">
              <w:tab/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B9061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27</w:t>
            </w:r>
          </w:p>
        </w:tc>
      </w:tr>
      <w:tr w:rsidR="00B9061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B90613" w:rsidRPr="00742A04" w:rsidRDefault="00B90613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1.4.1</w:t>
            </w:r>
          </w:p>
        </w:tc>
        <w:tc>
          <w:tcPr>
            <w:tcW w:w="6500" w:type="dxa"/>
          </w:tcPr>
          <w:p w:rsidR="00B90613" w:rsidRPr="00742A04" w:rsidRDefault="00B90613" w:rsidP="00251C6F">
            <w:pPr>
              <w:tabs>
                <w:tab w:val="left" w:pos="292"/>
                <w:tab w:val="left" w:pos="88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5</w:t>
            </w:r>
            <w:r w:rsidR="00251C6F">
              <w:t xml:space="preserve"> </w:t>
            </w:r>
            <w:r w:rsidRPr="00251C6F">
              <w:rPr>
                <w:i/>
              </w:rPr>
              <w:t>a</w:t>
            </w:r>
            <w:r w:rsidRPr="00742A04">
              <w:t xml:space="preserve"> </w:t>
            </w:r>
            <w:r w:rsidRPr="00742A04">
              <w:tab/>
            </w:r>
            <w:r w:rsidR="00615664" w:rsidRPr="00742A04">
              <w:t>Roles de género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B9061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27</w:t>
            </w:r>
          </w:p>
        </w:tc>
      </w:tr>
      <w:tr w:rsidR="00B9061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B90613" w:rsidRPr="00742A04" w:rsidRDefault="00B90613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1.4.2</w:t>
            </w:r>
          </w:p>
        </w:tc>
        <w:tc>
          <w:tcPr>
            <w:tcW w:w="6500" w:type="dxa"/>
          </w:tcPr>
          <w:p w:rsidR="00B90613" w:rsidRPr="00742A04" w:rsidRDefault="00B90613" w:rsidP="00D165B5">
            <w:pPr>
              <w:tabs>
                <w:tab w:val="left" w:pos="292"/>
                <w:tab w:val="right" w:leader="dot" w:pos="7371"/>
                <w:tab w:val="right" w:leader="dot" w:pos="7430"/>
                <w:tab w:val="right" w:leader="dot" w:pos="8647"/>
              </w:tabs>
              <w:ind w:left="1339" w:hanging="1339"/>
            </w:pPr>
            <w:r w:rsidRPr="00742A04">
              <w:t>Artículo 5</w:t>
            </w:r>
            <w:r w:rsidR="00251C6F">
              <w:t xml:space="preserve"> </w:t>
            </w:r>
            <w:r w:rsidRPr="00251C6F">
              <w:rPr>
                <w:i/>
              </w:rPr>
              <w:t>b</w:t>
            </w:r>
            <w:r w:rsidRPr="00742A04">
              <w:t xml:space="preserve"> </w:t>
            </w:r>
            <w:r w:rsidRPr="00742A04">
              <w:tab/>
            </w:r>
            <w:r w:rsidR="00A05847" w:rsidRPr="00742A04">
              <w:t xml:space="preserve">La responsabilidad conjunta </w:t>
            </w:r>
            <w:r w:rsidR="004D313C" w:rsidRPr="00742A04">
              <w:t>de las mujeres</w:t>
            </w:r>
            <w:r w:rsidR="00A05847" w:rsidRPr="00742A04">
              <w:t xml:space="preserve"> y</w:t>
            </w:r>
            <w:r w:rsidR="00D11B2E">
              <w:t xml:space="preserve"> los</w:t>
            </w:r>
            <w:r w:rsidR="00A05847" w:rsidRPr="00742A04">
              <w:t xml:space="preserve"> hombres por los hijos y las familias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B9061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30</w:t>
            </w:r>
          </w:p>
        </w:tc>
      </w:tr>
      <w:tr w:rsidR="00B9061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</w:tcPr>
          <w:p w:rsidR="00B90613" w:rsidRPr="00742A04" w:rsidRDefault="00B9061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1.5</w:t>
            </w:r>
          </w:p>
        </w:tc>
        <w:tc>
          <w:tcPr>
            <w:tcW w:w="6770" w:type="dxa"/>
            <w:gridSpan w:val="2"/>
          </w:tcPr>
          <w:p w:rsidR="00B90613" w:rsidRPr="00742A04" w:rsidRDefault="00B90613" w:rsidP="00D165B5">
            <w:pPr>
              <w:tabs>
                <w:tab w:val="left" w:pos="292"/>
                <w:tab w:val="left" w:pos="882"/>
                <w:tab w:val="left" w:pos="115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6 </w:t>
            </w:r>
            <w:r w:rsidRPr="00742A04">
              <w:tab/>
            </w:r>
            <w:r w:rsidR="00A05847" w:rsidRPr="00742A04">
              <w:t xml:space="preserve">Violencia, trata </w:t>
            </w:r>
            <w:r w:rsidR="004D313C" w:rsidRPr="00742A04">
              <w:t>de mujeres</w:t>
            </w:r>
            <w:r w:rsidR="00A05847" w:rsidRPr="00742A04">
              <w:t xml:space="preserve"> y prostitución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B9061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31</w:t>
            </w:r>
          </w:p>
        </w:tc>
      </w:tr>
      <w:tr w:rsidR="00B9061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</w:tcPr>
          <w:p w:rsidR="00B90613" w:rsidRPr="00742A04" w:rsidRDefault="00B9061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>2.</w:t>
            </w:r>
          </w:p>
        </w:tc>
        <w:tc>
          <w:tcPr>
            <w:tcW w:w="6770" w:type="dxa"/>
            <w:gridSpan w:val="2"/>
          </w:tcPr>
          <w:p w:rsidR="00B90613" w:rsidRPr="00D11B2E" w:rsidRDefault="00A4446F" w:rsidP="00D165B5">
            <w:pPr>
              <w:tabs>
                <w:tab w:val="left" w:pos="882"/>
                <w:tab w:val="right" w:leader="dot" w:pos="7371"/>
                <w:tab w:val="right" w:leader="dot" w:pos="7430"/>
                <w:tab w:val="right" w:leader="dot" w:pos="8647"/>
              </w:tabs>
              <w:rPr>
                <w:smallCaps/>
              </w:rPr>
            </w:pPr>
            <w:r w:rsidRPr="00D11B2E">
              <w:rPr>
                <w:smallCaps/>
              </w:rPr>
              <w:t>Segunda Parte</w:t>
            </w:r>
            <w:r w:rsidR="00B90613" w:rsidRPr="00D11B2E">
              <w:rPr>
                <w:smallCaps/>
              </w:rPr>
              <w:t xml:space="preserve"> </w:t>
            </w:r>
            <w:r w:rsidR="00B90613" w:rsidRPr="00D11B2E">
              <w:rPr>
                <w:smallCaps/>
              </w:rPr>
              <w:tab/>
            </w:r>
            <w:r w:rsidR="00B90613" w:rsidRPr="00D11B2E">
              <w:rPr>
                <w:smallCaps/>
              </w:rPr>
              <w:tab/>
            </w:r>
          </w:p>
        </w:tc>
        <w:tc>
          <w:tcPr>
            <w:tcW w:w="990" w:type="dxa"/>
            <w:vAlign w:val="bottom"/>
          </w:tcPr>
          <w:p w:rsidR="00B9061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51</w:t>
            </w:r>
          </w:p>
        </w:tc>
      </w:tr>
      <w:tr w:rsidR="00B9061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</w:tcPr>
          <w:p w:rsidR="00B90613" w:rsidRPr="00742A04" w:rsidRDefault="00B9061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2.1</w:t>
            </w:r>
          </w:p>
        </w:tc>
        <w:tc>
          <w:tcPr>
            <w:tcW w:w="6770" w:type="dxa"/>
            <w:gridSpan w:val="2"/>
          </w:tcPr>
          <w:p w:rsidR="00B90613" w:rsidRPr="00742A04" w:rsidRDefault="00B90613" w:rsidP="00D165B5">
            <w:pPr>
              <w:tabs>
                <w:tab w:val="left" w:pos="292"/>
                <w:tab w:val="left" w:pos="882"/>
                <w:tab w:val="left" w:pos="115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7 </w:t>
            </w:r>
            <w:r w:rsidRPr="00742A04">
              <w:tab/>
            </w:r>
            <w:r w:rsidR="00A05847" w:rsidRPr="00742A04">
              <w:t>Participación política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B9061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51</w:t>
            </w:r>
          </w:p>
        </w:tc>
      </w:tr>
      <w:tr w:rsidR="005611C5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5611C5" w:rsidRPr="00742A04" w:rsidRDefault="005611C5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2.1.1</w:t>
            </w:r>
          </w:p>
        </w:tc>
        <w:tc>
          <w:tcPr>
            <w:tcW w:w="6500" w:type="dxa"/>
          </w:tcPr>
          <w:p w:rsidR="005611C5" w:rsidRPr="00742A04" w:rsidRDefault="00251C6F" w:rsidP="00D165B5">
            <w:pPr>
              <w:tabs>
                <w:tab w:val="left" w:pos="292"/>
                <w:tab w:val="left" w:pos="88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>
              <w:t xml:space="preserve">Artículo 7 </w:t>
            </w:r>
            <w:r w:rsidR="005611C5" w:rsidRPr="00251C6F">
              <w:rPr>
                <w:i/>
              </w:rPr>
              <w:t>a</w:t>
            </w:r>
            <w:r w:rsidR="005611C5" w:rsidRPr="00742A04">
              <w:t xml:space="preserve"> </w:t>
            </w:r>
            <w:r w:rsidR="005611C5" w:rsidRPr="00742A04">
              <w:tab/>
            </w:r>
            <w:r w:rsidR="00A05847" w:rsidRPr="00742A04">
              <w:t>Elecciones y órganos electivos</w:t>
            </w:r>
            <w:r w:rsidR="005611C5" w:rsidRPr="00742A04">
              <w:tab/>
            </w:r>
          </w:p>
        </w:tc>
        <w:tc>
          <w:tcPr>
            <w:tcW w:w="990" w:type="dxa"/>
            <w:vAlign w:val="bottom"/>
          </w:tcPr>
          <w:p w:rsidR="005611C5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51</w:t>
            </w:r>
          </w:p>
        </w:tc>
      </w:tr>
      <w:tr w:rsidR="005611C5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5611C5" w:rsidRPr="00742A04" w:rsidRDefault="005611C5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2.1.2</w:t>
            </w:r>
          </w:p>
        </w:tc>
        <w:tc>
          <w:tcPr>
            <w:tcW w:w="6500" w:type="dxa"/>
          </w:tcPr>
          <w:p w:rsidR="005611C5" w:rsidRPr="00742A04" w:rsidRDefault="00251C6F" w:rsidP="00D165B5">
            <w:pPr>
              <w:tabs>
                <w:tab w:val="left" w:pos="292"/>
                <w:tab w:val="left" w:pos="88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>
              <w:t xml:space="preserve">Artículo 7 </w:t>
            </w:r>
            <w:r w:rsidR="005611C5" w:rsidRPr="00251C6F">
              <w:rPr>
                <w:i/>
              </w:rPr>
              <w:t>b</w:t>
            </w:r>
            <w:r w:rsidR="005611C5" w:rsidRPr="00742A04">
              <w:t xml:space="preserve"> </w:t>
            </w:r>
            <w:r w:rsidR="005611C5" w:rsidRPr="00742A04">
              <w:tab/>
            </w:r>
            <w:r w:rsidR="00A05847" w:rsidRPr="00742A04">
              <w:t>Cargos públicos</w:t>
            </w:r>
            <w:r w:rsidR="005611C5" w:rsidRPr="00742A04">
              <w:tab/>
            </w:r>
          </w:p>
        </w:tc>
        <w:tc>
          <w:tcPr>
            <w:tcW w:w="990" w:type="dxa"/>
            <w:vAlign w:val="bottom"/>
          </w:tcPr>
          <w:p w:rsidR="005611C5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55</w:t>
            </w:r>
          </w:p>
        </w:tc>
      </w:tr>
      <w:tr w:rsidR="005611C5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5611C5" w:rsidRPr="00742A04" w:rsidRDefault="005611C5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2.1.3</w:t>
            </w:r>
          </w:p>
        </w:tc>
        <w:tc>
          <w:tcPr>
            <w:tcW w:w="6500" w:type="dxa"/>
          </w:tcPr>
          <w:p w:rsidR="005611C5" w:rsidRPr="00742A04" w:rsidRDefault="00251C6F" w:rsidP="00D165B5">
            <w:pPr>
              <w:tabs>
                <w:tab w:val="left" w:pos="292"/>
                <w:tab w:val="left" w:pos="88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>
              <w:t xml:space="preserve">Artículo 7 </w:t>
            </w:r>
            <w:r w:rsidR="005611C5" w:rsidRPr="00251C6F">
              <w:rPr>
                <w:i/>
              </w:rPr>
              <w:t>c</w:t>
            </w:r>
            <w:r w:rsidR="005611C5" w:rsidRPr="00742A04">
              <w:t xml:space="preserve"> </w:t>
            </w:r>
            <w:r w:rsidR="005611C5" w:rsidRPr="00742A04">
              <w:tab/>
            </w:r>
            <w:r>
              <w:t>O</w:t>
            </w:r>
            <w:r w:rsidR="00AE7B93" w:rsidRPr="00742A04">
              <w:t>rganizaciones no gubernamentales</w:t>
            </w:r>
            <w:r w:rsidR="005611C5" w:rsidRPr="00742A04">
              <w:tab/>
            </w:r>
          </w:p>
        </w:tc>
        <w:tc>
          <w:tcPr>
            <w:tcW w:w="990" w:type="dxa"/>
            <w:vAlign w:val="bottom"/>
          </w:tcPr>
          <w:p w:rsidR="005611C5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55</w:t>
            </w:r>
          </w:p>
        </w:tc>
      </w:tr>
      <w:tr w:rsidR="005611C5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  <w:shd w:val="clear" w:color="auto" w:fill="auto"/>
          </w:tcPr>
          <w:p w:rsidR="005611C5" w:rsidRPr="00742A04" w:rsidRDefault="005611C5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2.2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5611C5" w:rsidRPr="00742A04" w:rsidRDefault="005611C5" w:rsidP="00D165B5">
            <w:pPr>
              <w:tabs>
                <w:tab w:val="left" w:pos="292"/>
                <w:tab w:val="left" w:pos="882"/>
                <w:tab w:val="left" w:pos="115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8</w:t>
            </w:r>
            <w:r w:rsidRPr="00742A04">
              <w:tab/>
            </w:r>
            <w:r w:rsidRPr="00742A04">
              <w:tab/>
            </w:r>
            <w:r w:rsidR="00A05847" w:rsidRPr="00742A04">
              <w:t>Representación a nivel internacional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5611C5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56</w:t>
            </w:r>
          </w:p>
        </w:tc>
      </w:tr>
      <w:tr w:rsidR="005611C5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  <w:shd w:val="clear" w:color="auto" w:fill="auto"/>
          </w:tcPr>
          <w:p w:rsidR="005611C5" w:rsidRPr="00742A04" w:rsidRDefault="005611C5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2.3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5611C5" w:rsidRPr="00742A04" w:rsidRDefault="005611C5" w:rsidP="00D165B5">
            <w:pPr>
              <w:tabs>
                <w:tab w:val="left" w:pos="292"/>
                <w:tab w:val="left" w:pos="115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9 </w:t>
            </w:r>
            <w:r w:rsidRPr="00742A04">
              <w:tab/>
            </w:r>
            <w:r w:rsidR="00A05847" w:rsidRPr="00742A04">
              <w:t>Nacionalidad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5611C5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57</w:t>
            </w:r>
          </w:p>
        </w:tc>
      </w:tr>
      <w:tr w:rsidR="005611C5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  <w:shd w:val="clear" w:color="auto" w:fill="auto"/>
          </w:tcPr>
          <w:p w:rsidR="005611C5" w:rsidRPr="00742A04" w:rsidRDefault="005611C5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2.4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5611C5" w:rsidRPr="00742A04" w:rsidRDefault="005611C5" w:rsidP="00D165B5">
            <w:pPr>
              <w:tabs>
                <w:tab w:val="left" w:pos="292"/>
                <w:tab w:val="left" w:pos="882"/>
                <w:tab w:val="left" w:pos="115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10 </w:t>
            </w:r>
            <w:r w:rsidRPr="00742A04">
              <w:tab/>
            </w:r>
            <w:r w:rsidR="00A05847" w:rsidRPr="00742A04">
              <w:t>Educación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5611C5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57</w:t>
            </w:r>
          </w:p>
        </w:tc>
      </w:tr>
      <w:tr w:rsidR="005611C5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  <w:shd w:val="clear" w:color="auto" w:fill="auto"/>
          </w:tcPr>
          <w:p w:rsidR="005611C5" w:rsidRPr="00742A04" w:rsidRDefault="005611C5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2.5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5611C5" w:rsidRPr="00742A04" w:rsidRDefault="005611C5" w:rsidP="00D165B5">
            <w:pPr>
              <w:tabs>
                <w:tab w:val="left" w:pos="292"/>
                <w:tab w:val="left" w:pos="882"/>
                <w:tab w:val="left" w:pos="115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11 </w:t>
            </w:r>
            <w:r w:rsidRPr="00742A04">
              <w:tab/>
            </w:r>
            <w:r w:rsidR="00A05847" w:rsidRPr="00742A04">
              <w:t>Vida laboral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5611C5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72</w:t>
            </w:r>
          </w:p>
        </w:tc>
      </w:tr>
      <w:tr w:rsidR="005611C5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5611C5" w:rsidRPr="00742A04" w:rsidRDefault="005611C5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2.5.1</w:t>
            </w:r>
          </w:p>
        </w:tc>
        <w:tc>
          <w:tcPr>
            <w:tcW w:w="6500" w:type="dxa"/>
          </w:tcPr>
          <w:p w:rsidR="005611C5" w:rsidRPr="00742A04" w:rsidRDefault="005611C5" w:rsidP="00251C6F">
            <w:pPr>
              <w:tabs>
                <w:tab w:val="left" w:pos="292"/>
                <w:tab w:val="left" w:pos="882"/>
                <w:tab w:val="left" w:pos="106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11.1</w:t>
            </w:r>
            <w:r w:rsidR="00251C6F">
              <w:t xml:space="preserve"> </w:t>
            </w:r>
            <w:r w:rsidRPr="00251C6F">
              <w:rPr>
                <w:i/>
              </w:rPr>
              <w:t>a</w:t>
            </w:r>
            <w:r w:rsidR="00FE67A3" w:rsidRPr="00742A04">
              <w:tab/>
            </w:r>
            <w:r w:rsidR="00A05847" w:rsidRPr="00742A04">
              <w:t>El derecho al trabajo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5611C5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72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</w:tabs>
            </w:pPr>
            <w:r w:rsidRPr="00742A04">
              <w:tab/>
            </w:r>
            <w:r w:rsidRPr="00742A04">
              <w:tab/>
              <w:t>2.5.2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tabs>
                <w:tab w:val="left" w:pos="292"/>
                <w:tab w:val="left" w:pos="882"/>
                <w:tab w:val="left" w:pos="133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11.1</w:t>
            </w:r>
            <w:r w:rsidR="00251C6F">
              <w:t xml:space="preserve"> </w:t>
            </w:r>
            <w:r w:rsidRPr="00251C6F">
              <w:rPr>
                <w:i/>
              </w:rPr>
              <w:t>b</w:t>
            </w:r>
            <w:r w:rsidRPr="00742A04">
              <w:t xml:space="preserve"> </w:t>
            </w:r>
            <w:r w:rsidRPr="00742A04">
              <w:tab/>
            </w:r>
            <w:r w:rsidR="00A05847" w:rsidRPr="00742A04">
              <w:t>Igualdad de oportunidades en la vida laboral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76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</w:tabs>
            </w:pPr>
            <w:r w:rsidRPr="00742A04">
              <w:tab/>
            </w:r>
            <w:r w:rsidRPr="00742A04">
              <w:tab/>
              <w:t>2.5.3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tabs>
                <w:tab w:val="left" w:pos="292"/>
                <w:tab w:val="left" w:pos="882"/>
                <w:tab w:val="left" w:pos="133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11.1</w:t>
            </w:r>
            <w:r w:rsidR="00251C6F">
              <w:t xml:space="preserve"> </w:t>
            </w:r>
            <w:r w:rsidRPr="00251C6F">
              <w:rPr>
                <w:i/>
              </w:rPr>
              <w:t>c</w:t>
            </w:r>
            <w:r w:rsidRPr="00742A04">
              <w:t xml:space="preserve"> </w:t>
            </w:r>
            <w:r w:rsidRPr="00742A04">
              <w:tab/>
            </w:r>
            <w:r w:rsidR="00A05847" w:rsidRPr="00742A04">
              <w:t>Educación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85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</w:tabs>
            </w:pPr>
            <w:r w:rsidRPr="00742A04">
              <w:tab/>
            </w:r>
            <w:r w:rsidRPr="00742A04">
              <w:tab/>
              <w:t>2.5.4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tabs>
                <w:tab w:val="left" w:pos="292"/>
                <w:tab w:val="left" w:pos="882"/>
                <w:tab w:val="left" w:pos="133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11.1</w:t>
            </w:r>
            <w:r w:rsidR="00251C6F">
              <w:t xml:space="preserve"> </w:t>
            </w:r>
            <w:r w:rsidRPr="00251C6F">
              <w:rPr>
                <w:i/>
              </w:rPr>
              <w:t>d</w:t>
            </w:r>
            <w:r w:rsidRPr="00742A04">
              <w:t xml:space="preserve"> </w:t>
            </w:r>
            <w:r w:rsidRPr="00742A04">
              <w:tab/>
            </w:r>
            <w:r w:rsidR="00A05847" w:rsidRPr="00742A04">
              <w:t>Igualdad de remuneración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D10CF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85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</w:tabs>
            </w:pPr>
            <w:r w:rsidRPr="00742A04">
              <w:tab/>
            </w:r>
            <w:r w:rsidRPr="00742A04">
              <w:tab/>
              <w:t>2.5.5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tabs>
                <w:tab w:val="left" w:pos="292"/>
                <w:tab w:val="left" w:pos="882"/>
                <w:tab w:val="left" w:pos="133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11.1</w:t>
            </w:r>
            <w:r w:rsidR="00251C6F">
              <w:t xml:space="preserve"> </w:t>
            </w:r>
            <w:r w:rsidRPr="00251C6F">
              <w:rPr>
                <w:i/>
              </w:rPr>
              <w:t>e</w:t>
            </w:r>
            <w:r w:rsidRPr="00742A04">
              <w:t xml:space="preserve"> </w:t>
            </w:r>
            <w:r w:rsidRPr="00742A04">
              <w:tab/>
            </w:r>
            <w:r w:rsidR="00A05847" w:rsidRPr="00742A04">
              <w:t>Seguridad social y pensiones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89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</w:tabs>
            </w:pPr>
            <w:r w:rsidRPr="00742A04">
              <w:tab/>
            </w:r>
            <w:r w:rsidRPr="00742A04">
              <w:tab/>
              <w:t>2.5.6</w:t>
            </w:r>
          </w:p>
        </w:tc>
        <w:tc>
          <w:tcPr>
            <w:tcW w:w="6500" w:type="dxa"/>
          </w:tcPr>
          <w:p w:rsidR="00FE67A3" w:rsidRPr="00742A04" w:rsidRDefault="00FE67A3" w:rsidP="000F455B">
            <w:pPr>
              <w:tabs>
                <w:tab w:val="left" w:pos="292"/>
                <w:tab w:val="left" w:pos="882"/>
                <w:tab w:val="left" w:pos="133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  <w:ind w:left="1512" w:hanging="1512"/>
            </w:pPr>
            <w:r w:rsidRPr="00742A04">
              <w:t>Artículo 11.2</w:t>
            </w:r>
            <w:r w:rsidR="00251C6F">
              <w:t xml:space="preserve"> </w:t>
            </w:r>
            <w:r w:rsidRPr="00251C6F">
              <w:rPr>
                <w:i/>
              </w:rPr>
              <w:t>a</w:t>
            </w:r>
            <w:r w:rsidRPr="00742A04">
              <w:t xml:space="preserve"> </w:t>
            </w:r>
            <w:r w:rsidRPr="00742A04">
              <w:tab/>
            </w:r>
            <w:r w:rsidR="00A05847" w:rsidRPr="00742A04">
              <w:t>Discriminació</w:t>
            </w:r>
            <w:r w:rsidR="000F455B">
              <w:t>n por motivos de estado civil y</w:t>
            </w:r>
            <w:r w:rsidR="000F455B">
              <w:br/>
            </w:r>
            <w:r w:rsidR="00A05847" w:rsidRPr="00742A04">
              <w:t>embarazo</w:t>
            </w:r>
            <w:r w:rsidR="000F455B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90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</w:tabs>
            </w:pPr>
            <w:r w:rsidRPr="00742A04">
              <w:tab/>
            </w:r>
            <w:r w:rsidRPr="00742A04">
              <w:tab/>
              <w:t>2.5.7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keepNext/>
              <w:tabs>
                <w:tab w:val="left" w:pos="882"/>
                <w:tab w:val="left" w:pos="133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  <w:ind w:left="1332" w:hanging="1332"/>
            </w:pPr>
            <w:r w:rsidRPr="00742A04">
              <w:t>Artículo 11.2</w:t>
            </w:r>
            <w:r w:rsidR="00251C6F">
              <w:t xml:space="preserve"> </w:t>
            </w:r>
            <w:r w:rsidRPr="00251C6F">
              <w:rPr>
                <w:i/>
              </w:rPr>
              <w:t>b</w:t>
            </w:r>
            <w:r w:rsidRPr="00742A04">
              <w:t xml:space="preserve"> </w:t>
            </w:r>
            <w:r w:rsidRPr="00742A04">
              <w:tab/>
            </w:r>
            <w:r w:rsidR="00B83FEB" w:rsidRPr="00742A04">
              <w:t>Licencia por embarazo y parto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keepNext/>
              <w:tabs>
                <w:tab w:val="right" w:leader="dot" w:pos="7371"/>
                <w:tab w:val="right" w:leader="dot" w:pos="8647"/>
              </w:tabs>
              <w:jc w:val="right"/>
            </w:pPr>
            <w:r>
              <w:t>91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</w:tabs>
            </w:pPr>
            <w:r w:rsidRPr="00742A04">
              <w:tab/>
            </w:r>
            <w:r w:rsidRPr="00742A04">
              <w:tab/>
              <w:t>2.5.8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keepNext/>
              <w:tabs>
                <w:tab w:val="left" w:pos="292"/>
                <w:tab w:val="left" w:pos="882"/>
                <w:tab w:val="left" w:pos="133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11.2</w:t>
            </w:r>
            <w:r w:rsidR="00251C6F">
              <w:t xml:space="preserve"> </w:t>
            </w:r>
            <w:r w:rsidRPr="00251C6F">
              <w:rPr>
                <w:i/>
              </w:rPr>
              <w:t>c</w:t>
            </w:r>
            <w:r w:rsidRPr="00742A04">
              <w:t xml:space="preserve"> </w:t>
            </w:r>
            <w:r w:rsidRPr="00742A04">
              <w:tab/>
            </w:r>
            <w:r w:rsidR="00B83FEB" w:rsidRPr="00742A04">
              <w:t>Guarderías</w:t>
            </w:r>
            <w:r w:rsidRPr="00742A04">
              <w:t>, etc.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92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</w:tabs>
            </w:pPr>
            <w:r w:rsidRPr="00742A04">
              <w:tab/>
            </w:r>
            <w:r w:rsidRPr="00742A04">
              <w:tab/>
              <w:t>2.5.9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keepNext/>
              <w:tabs>
                <w:tab w:val="left" w:pos="292"/>
                <w:tab w:val="left" w:pos="882"/>
                <w:tab w:val="left" w:pos="133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11.2</w:t>
            </w:r>
            <w:r w:rsidR="00251C6F">
              <w:t xml:space="preserve"> </w:t>
            </w:r>
            <w:r w:rsidRPr="00251C6F">
              <w:rPr>
                <w:i/>
              </w:rPr>
              <w:t>d</w:t>
            </w:r>
            <w:r w:rsidRPr="00742A04">
              <w:t xml:space="preserve"> </w:t>
            </w:r>
            <w:r w:rsidRPr="00742A04">
              <w:tab/>
            </w:r>
            <w:r w:rsidR="00B83FEB" w:rsidRPr="00742A04">
              <w:t>Derechos durante el embarazo</w:t>
            </w:r>
            <w:r w:rsidR="000F455B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95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  <w:shd w:val="clear" w:color="auto" w:fill="auto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  <w:t>2.6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FE67A3" w:rsidRPr="00742A04" w:rsidRDefault="00FE67A3" w:rsidP="00D165B5">
            <w:pPr>
              <w:keepNext/>
              <w:tabs>
                <w:tab w:val="left" w:pos="292"/>
                <w:tab w:val="left" w:pos="115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12 </w:t>
            </w:r>
            <w:r w:rsidRPr="00742A04">
              <w:tab/>
            </w:r>
            <w:r w:rsidR="00B83FEB" w:rsidRPr="00742A04">
              <w:t>Salud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96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  <w:shd w:val="clear" w:color="auto" w:fill="auto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  <w:t>2.7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FE67A3" w:rsidRPr="00742A04" w:rsidRDefault="00FE67A3" w:rsidP="00D165B5">
            <w:pPr>
              <w:keepNext/>
              <w:tabs>
                <w:tab w:val="left" w:pos="-108"/>
                <w:tab w:val="left" w:pos="292"/>
                <w:tab w:val="left" w:pos="88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>Artículo 13</w:t>
            </w:r>
            <w:r w:rsidRPr="00742A04">
              <w:tab/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100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2.7.1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keepNext/>
              <w:tabs>
                <w:tab w:val="left" w:pos="292"/>
                <w:tab w:val="left" w:pos="882"/>
                <w:tab w:val="left" w:pos="106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13 </w:t>
            </w:r>
            <w:r w:rsidRPr="00251C6F">
              <w:rPr>
                <w:i/>
              </w:rPr>
              <w:t>a</w:t>
            </w:r>
            <w:r w:rsidRPr="00742A04">
              <w:t xml:space="preserve"> </w:t>
            </w:r>
            <w:r w:rsidRPr="00742A04">
              <w:tab/>
            </w:r>
            <w:r w:rsidR="00B83FEB" w:rsidRPr="00742A04">
              <w:t>Derecho a prestaciones familiares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100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left" w:pos="882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2.7.2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keepNext/>
              <w:tabs>
                <w:tab w:val="left" w:pos="292"/>
                <w:tab w:val="left" w:pos="882"/>
                <w:tab w:val="left" w:pos="97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13 </w:t>
            </w:r>
            <w:r w:rsidRPr="00251C6F">
              <w:rPr>
                <w:i/>
              </w:rPr>
              <w:t>b</w:t>
            </w:r>
            <w:r w:rsidRPr="00742A04">
              <w:t xml:space="preserve"> </w:t>
            </w:r>
            <w:r w:rsidRPr="00742A04">
              <w:tab/>
            </w:r>
            <w:r w:rsidR="00B83FEB" w:rsidRPr="00742A04">
              <w:t>Derechos económicos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100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2.7.3</w:t>
            </w:r>
          </w:p>
        </w:tc>
        <w:tc>
          <w:tcPr>
            <w:tcW w:w="6500" w:type="dxa"/>
          </w:tcPr>
          <w:p w:rsidR="00FE67A3" w:rsidRPr="00742A04" w:rsidRDefault="00FE67A3" w:rsidP="00251C6F">
            <w:pPr>
              <w:keepNext/>
              <w:tabs>
                <w:tab w:val="left" w:pos="162"/>
                <w:tab w:val="left" w:pos="1512"/>
                <w:tab w:val="right" w:leader="dot" w:pos="7371"/>
                <w:tab w:val="right" w:leader="dot" w:pos="7430"/>
                <w:tab w:val="right" w:leader="dot" w:pos="8647"/>
              </w:tabs>
              <w:ind w:left="1512" w:hanging="1512"/>
            </w:pPr>
            <w:r w:rsidRPr="00742A04">
              <w:t xml:space="preserve">Artículo 13 </w:t>
            </w:r>
            <w:r w:rsidRPr="00251C6F">
              <w:rPr>
                <w:i/>
              </w:rPr>
              <w:t>c</w:t>
            </w:r>
            <w:r w:rsidRPr="00742A04">
              <w:t xml:space="preserve"> </w:t>
            </w:r>
            <w:r w:rsidRPr="00742A04">
              <w:tab/>
            </w:r>
            <w:r w:rsidR="00B83FEB" w:rsidRPr="00742A04">
              <w:t>Derecho a participar en actividades recreativas y deportivas y en la vida cultural</w:t>
            </w:r>
            <w:r w:rsidRPr="00742A04">
              <w:tab/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0F455B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100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  <w:shd w:val="clear" w:color="auto" w:fill="auto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2.8</w:t>
            </w:r>
          </w:p>
        </w:tc>
        <w:tc>
          <w:tcPr>
            <w:tcW w:w="6770" w:type="dxa"/>
            <w:gridSpan w:val="2"/>
            <w:vMerge w:val="restart"/>
            <w:shd w:val="clear" w:color="auto" w:fill="auto"/>
          </w:tcPr>
          <w:p w:rsidR="00FE67A3" w:rsidRPr="00742A04" w:rsidRDefault="00FE67A3" w:rsidP="00D165B5">
            <w:pPr>
              <w:keepNext/>
              <w:tabs>
                <w:tab w:val="left" w:pos="292"/>
                <w:tab w:val="left" w:pos="115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14 </w:t>
            </w:r>
            <w:r w:rsidR="00481A1E" w:rsidRPr="00742A04">
              <w:tab/>
            </w:r>
            <w:r w:rsidR="00B83FEB" w:rsidRPr="00742A04">
              <w:t>La mujer de las zonas rurales</w:t>
            </w:r>
            <w:r w:rsidRPr="00742A04">
              <w:tab/>
            </w:r>
          </w:p>
          <w:p w:rsidR="00FE67A3" w:rsidRPr="00742A04" w:rsidRDefault="00FE67A3" w:rsidP="00D165B5">
            <w:pPr>
              <w:keepNext/>
              <w:tabs>
                <w:tab w:val="left" w:pos="292"/>
                <w:tab w:val="left" w:pos="115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15 </w:t>
            </w:r>
            <w:r w:rsidR="00481A1E" w:rsidRPr="00742A04">
              <w:tab/>
            </w:r>
            <w:r w:rsidR="00B83FEB" w:rsidRPr="00742A04">
              <w:t>La igualdad de género en el sistema jurídico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A67F99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102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  <w:shd w:val="clear" w:color="auto" w:fill="auto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2.9</w:t>
            </w:r>
          </w:p>
        </w:tc>
        <w:tc>
          <w:tcPr>
            <w:tcW w:w="6770" w:type="dxa"/>
            <w:gridSpan w:val="2"/>
            <w:vMerge/>
            <w:shd w:val="clear" w:color="auto" w:fill="auto"/>
          </w:tcPr>
          <w:p w:rsidR="00FE67A3" w:rsidRPr="00742A04" w:rsidRDefault="00FE67A3" w:rsidP="00D165B5">
            <w:pPr>
              <w:keepNext/>
              <w:tabs>
                <w:tab w:val="left" w:pos="29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</w:p>
        </w:tc>
        <w:tc>
          <w:tcPr>
            <w:tcW w:w="990" w:type="dxa"/>
            <w:vAlign w:val="bottom"/>
          </w:tcPr>
          <w:p w:rsidR="00FE67A3" w:rsidRPr="00742A04" w:rsidRDefault="00A67F99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104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gridSpan w:val="2"/>
            <w:shd w:val="clear" w:color="auto" w:fill="auto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  <w:t>2.10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FE67A3" w:rsidRPr="00742A04" w:rsidRDefault="00FE67A3" w:rsidP="00EB3DEF">
            <w:pPr>
              <w:keepNext/>
              <w:tabs>
                <w:tab w:val="left" w:pos="292"/>
                <w:tab w:val="left" w:pos="1152"/>
                <w:tab w:val="right" w:leader="dot" w:pos="7371"/>
                <w:tab w:val="right" w:leader="dot" w:pos="7430"/>
                <w:tab w:val="right" w:leader="dot" w:pos="8647"/>
              </w:tabs>
              <w:ind w:left="1166" w:hanging="1166"/>
            </w:pPr>
            <w:r w:rsidRPr="00742A04">
              <w:t xml:space="preserve">Artículo 16 </w:t>
            </w:r>
            <w:r w:rsidR="00481A1E" w:rsidRPr="00742A04">
              <w:tab/>
            </w:r>
            <w:r w:rsidR="00B83FEB" w:rsidRPr="00742A04">
              <w:t>Eliminar la discriminación contra la mujer en todas las cuestiones relacionadas con el matrimonio y los asuntos familiares</w:t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A67F99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104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2.10.1</w:t>
            </w:r>
          </w:p>
        </w:tc>
        <w:tc>
          <w:tcPr>
            <w:tcW w:w="6500" w:type="dxa"/>
          </w:tcPr>
          <w:p w:rsidR="00FE67A3" w:rsidRPr="00742A04" w:rsidRDefault="00FE67A3" w:rsidP="00D165B5">
            <w:pPr>
              <w:keepNext/>
              <w:tabs>
                <w:tab w:val="left" w:pos="29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16 </w:t>
            </w:r>
            <w:r w:rsidRPr="00251C6F">
              <w:rPr>
                <w:i/>
              </w:rPr>
              <w:t>b</w:t>
            </w:r>
            <w:r w:rsidRPr="00742A04">
              <w:t xml:space="preserve"> </w:t>
            </w:r>
            <w:r w:rsidRPr="00742A04">
              <w:tab/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A67F99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104</w:t>
            </w:r>
          </w:p>
        </w:tc>
      </w:tr>
      <w:tr w:rsidR="00FE67A3" w:rsidRPr="00742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3"/>
          </w:tcPr>
          <w:p w:rsidR="00FE67A3" w:rsidRPr="00742A04" w:rsidRDefault="00FE67A3" w:rsidP="00D165B5">
            <w:pPr>
              <w:tabs>
                <w:tab w:val="left" w:pos="180"/>
                <w:tab w:val="left" w:pos="320"/>
                <w:tab w:val="right" w:leader="dot" w:pos="7371"/>
                <w:tab w:val="right" w:leader="dot" w:pos="8647"/>
              </w:tabs>
            </w:pPr>
            <w:r w:rsidRPr="00742A04">
              <w:tab/>
            </w:r>
            <w:r w:rsidRPr="00742A04">
              <w:tab/>
              <w:t>2.10.2</w:t>
            </w:r>
          </w:p>
        </w:tc>
        <w:tc>
          <w:tcPr>
            <w:tcW w:w="6500" w:type="dxa"/>
          </w:tcPr>
          <w:p w:rsidR="00FE67A3" w:rsidRPr="00742A04" w:rsidRDefault="00FE67A3" w:rsidP="00D165B5">
            <w:pPr>
              <w:keepNext/>
              <w:tabs>
                <w:tab w:val="left" w:pos="292"/>
                <w:tab w:val="left" w:pos="1332"/>
                <w:tab w:val="right" w:leader="dot" w:pos="7371"/>
                <w:tab w:val="right" w:leader="dot" w:pos="7430"/>
                <w:tab w:val="right" w:leader="dot" w:pos="8647"/>
              </w:tabs>
            </w:pPr>
            <w:r w:rsidRPr="00742A04">
              <w:t xml:space="preserve">Artículo 16 </w:t>
            </w:r>
            <w:r w:rsidRPr="00251C6F">
              <w:rPr>
                <w:i/>
              </w:rPr>
              <w:t>d</w:t>
            </w:r>
            <w:r w:rsidRPr="00742A04">
              <w:t xml:space="preserve"> y </w:t>
            </w:r>
            <w:r w:rsidRPr="00251C6F">
              <w:rPr>
                <w:i/>
              </w:rPr>
              <w:t>f</w:t>
            </w:r>
            <w:r w:rsidRPr="00742A04">
              <w:t xml:space="preserve"> </w:t>
            </w:r>
            <w:r w:rsidRPr="00742A04">
              <w:tab/>
            </w:r>
            <w:r w:rsidRPr="00742A04">
              <w:tab/>
            </w:r>
          </w:p>
        </w:tc>
        <w:tc>
          <w:tcPr>
            <w:tcW w:w="990" w:type="dxa"/>
            <w:vAlign w:val="bottom"/>
          </w:tcPr>
          <w:p w:rsidR="00FE67A3" w:rsidRPr="00742A04" w:rsidRDefault="00A67F99" w:rsidP="00D165B5">
            <w:pPr>
              <w:tabs>
                <w:tab w:val="right" w:leader="dot" w:pos="7371"/>
                <w:tab w:val="right" w:leader="dot" w:pos="8647"/>
              </w:tabs>
              <w:jc w:val="right"/>
            </w:pPr>
            <w:r>
              <w:t>109</w:t>
            </w:r>
          </w:p>
        </w:tc>
      </w:tr>
    </w:tbl>
    <w:p w:rsidR="00B766C9" w:rsidRPr="00742A04" w:rsidRDefault="00B766C9" w:rsidP="00B766C9"/>
    <w:p w:rsidR="004B2748" w:rsidRPr="00742A04" w:rsidRDefault="001C6272" w:rsidP="004B27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47"/>
      </w:pPr>
      <w:r w:rsidRPr="00742A04">
        <w:br w:type="page"/>
      </w:r>
      <w:r w:rsidR="004B2748" w:rsidRPr="00742A04">
        <w:t>Introducción</w:t>
      </w:r>
    </w:p>
    <w:p w:rsidR="004B2748" w:rsidRPr="00742A04" w:rsidRDefault="004B2748" w:rsidP="004B2748">
      <w:pPr>
        <w:pStyle w:val="SingleTxt"/>
        <w:spacing w:after="0" w:line="120" w:lineRule="exact"/>
        <w:rPr>
          <w:sz w:val="10"/>
        </w:rPr>
      </w:pPr>
    </w:p>
    <w:p w:rsidR="004B2748" w:rsidRPr="00742A04" w:rsidRDefault="004B2748" w:rsidP="004B2748">
      <w:pPr>
        <w:pStyle w:val="SingleTxt"/>
        <w:spacing w:after="0" w:line="120" w:lineRule="exact"/>
        <w:rPr>
          <w:sz w:val="10"/>
        </w:rPr>
      </w:pPr>
    </w:p>
    <w:p w:rsidR="00545D1B" w:rsidRPr="00742A04" w:rsidRDefault="0084135E" w:rsidP="00230F13">
      <w:pPr>
        <w:pStyle w:val="SingleTxt"/>
        <w:ind w:firstLine="475"/>
      </w:pPr>
      <w:r w:rsidRPr="00742A04">
        <w:t>El presente es</w:t>
      </w:r>
      <w:r w:rsidR="00545D1B" w:rsidRPr="00742A04">
        <w:t xml:space="preserve"> </w:t>
      </w:r>
      <w:r w:rsidRPr="00742A04">
        <w:t>el séptimo informe periódico de Noruega</w:t>
      </w:r>
      <w:r w:rsidR="00545D1B" w:rsidRPr="00742A04">
        <w:t xml:space="preserve"> </w:t>
      </w:r>
      <w:r w:rsidRPr="00742A04">
        <w:t>a</w:t>
      </w:r>
      <w:r w:rsidR="00545D1B" w:rsidRPr="00742A04">
        <w:t xml:space="preserve"> </w:t>
      </w:r>
      <w:r w:rsidR="004B2748" w:rsidRPr="00742A04">
        <w:t>las Naciones Unidas</w:t>
      </w:r>
      <w:r w:rsidR="00545D1B" w:rsidRPr="00742A04">
        <w:t xml:space="preserve"> </w:t>
      </w:r>
      <w:r w:rsidRPr="00742A04">
        <w:t>sobre</w:t>
      </w:r>
      <w:r w:rsidR="00545D1B" w:rsidRPr="00742A04">
        <w:t xml:space="preserve"> </w:t>
      </w:r>
      <w:r w:rsidR="004B2748" w:rsidRPr="00742A04">
        <w:t xml:space="preserve">la aplicación </w:t>
      </w:r>
      <w:r w:rsidR="00F43124" w:rsidRPr="00742A04">
        <w:t xml:space="preserve">de la </w:t>
      </w:r>
      <w:r w:rsidRPr="00742A04">
        <w:t>Convención de las Naciones Unidas sobre la eliminación de todas las formas de discriminación contra la mujer por parte de Noruega</w:t>
      </w:r>
      <w:r w:rsidR="00545D1B" w:rsidRPr="00742A04">
        <w:t>.</w:t>
      </w:r>
      <w:r w:rsidR="001167D2" w:rsidRPr="00742A04">
        <w:t xml:space="preserve"> </w:t>
      </w:r>
      <w:r w:rsidR="0073499D" w:rsidRPr="00742A04">
        <w:t>E</w:t>
      </w:r>
      <w:r w:rsidR="001167D2" w:rsidRPr="00742A04">
        <w:t xml:space="preserve">l </w:t>
      </w:r>
      <w:r w:rsidR="00FB5EDF" w:rsidRPr="00742A04">
        <w:t>info</w:t>
      </w:r>
      <w:r w:rsidR="00FB5EDF" w:rsidRPr="00742A04">
        <w:t>r</w:t>
      </w:r>
      <w:r w:rsidR="00FB5EDF" w:rsidRPr="00742A04">
        <w:t>me</w:t>
      </w:r>
      <w:r w:rsidR="00545D1B" w:rsidRPr="00742A04">
        <w:t xml:space="preserve"> </w:t>
      </w:r>
      <w:r w:rsidRPr="00742A04">
        <w:t>aba</w:t>
      </w:r>
      <w:r w:rsidRPr="00742A04">
        <w:t>r</w:t>
      </w:r>
      <w:r w:rsidRPr="00742A04">
        <w:t>ca el período</w:t>
      </w:r>
      <w:r w:rsidR="00545D1B" w:rsidRPr="00742A04">
        <w:t xml:space="preserve"> </w:t>
      </w:r>
      <w:r w:rsidR="00FB5EDF" w:rsidRPr="00742A04">
        <w:t>2002-2005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fue terminado en septiembre de</w:t>
      </w:r>
      <w:r w:rsidR="00545D1B" w:rsidRPr="00742A04">
        <w:t xml:space="preserve"> 2006.</w:t>
      </w:r>
    </w:p>
    <w:p w:rsidR="00545D1B" w:rsidRPr="00742A04" w:rsidRDefault="000327E0" w:rsidP="00230F13">
      <w:pPr>
        <w:pStyle w:val="SingleTxt"/>
        <w:ind w:firstLine="475"/>
      </w:pPr>
      <w:r w:rsidRPr="00742A04">
        <w:t>De conformidad con</w:t>
      </w:r>
      <w:r w:rsidR="00545D1B" w:rsidRPr="00742A04">
        <w:t xml:space="preserve"> </w:t>
      </w:r>
      <w:r w:rsidRPr="00742A04">
        <w:t>las directrices para la elaboración de informes periódicos</w:t>
      </w:r>
      <w:r w:rsidR="00545D1B" w:rsidRPr="00742A04">
        <w:t xml:space="preserve">, </w:t>
      </w:r>
      <w:r w:rsidR="00C27C42" w:rsidRPr="00742A04">
        <w:t>hemos tratado de que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="00C27C42" w:rsidRPr="00742A04">
        <w:t>sea lo más conciso posible</w:t>
      </w:r>
      <w:r w:rsidR="00545D1B" w:rsidRPr="00742A04">
        <w:t>.</w:t>
      </w:r>
      <w:r w:rsidR="0073499D">
        <w:t xml:space="preserve"> E</w:t>
      </w:r>
      <w:r w:rsidR="001167D2" w:rsidRPr="00742A04">
        <w:t xml:space="preserve">l </w:t>
      </w:r>
      <w:r w:rsidR="00FB5EDF" w:rsidRPr="00742A04">
        <w:t>informe</w:t>
      </w:r>
      <w:r w:rsidR="00545D1B" w:rsidRPr="00742A04">
        <w:t xml:space="preserve"> </w:t>
      </w:r>
      <w:r w:rsidR="00C27C42" w:rsidRPr="00742A04">
        <w:t>se ajusta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27C42" w:rsidRPr="00742A04">
        <w:t xml:space="preserve">estructura </w:t>
      </w:r>
      <w:r w:rsidR="00C076F2" w:rsidRPr="00742A04">
        <w:t xml:space="preserve">de los </w:t>
      </w:r>
      <w:r w:rsidR="00C27C42" w:rsidRPr="00742A04">
        <w:t xml:space="preserve">artículos </w:t>
      </w:r>
      <w:r w:rsidR="00F43124" w:rsidRPr="00742A04">
        <w:t xml:space="preserve">de la </w:t>
      </w:r>
      <w:r w:rsidR="00545D1B" w:rsidRPr="00742A04">
        <w:t>Conven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C14BFF" w:rsidRPr="00742A04">
        <w:t>Nuestro objetivo ha sido</w:t>
      </w:r>
      <w:r w:rsidR="00545D1B" w:rsidRPr="00742A04">
        <w:t xml:space="preserve"> </w:t>
      </w:r>
      <w:r w:rsidR="0073499D" w:rsidRPr="00742A04">
        <w:t>describir</w:t>
      </w:r>
      <w:r w:rsidR="00C14BFF" w:rsidRPr="00742A04">
        <w:t xml:space="preserve"> los cambios</w:t>
      </w:r>
      <w:r w:rsidR="00545D1B" w:rsidRPr="00742A04">
        <w:t xml:space="preserve"> </w:t>
      </w:r>
      <w:r w:rsidR="00C14BFF" w:rsidRPr="00742A04">
        <w:t>que se han hecho después de</w:t>
      </w:r>
      <w:r w:rsidR="00545D1B" w:rsidRPr="00742A04">
        <w:t xml:space="preserve"> </w:t>
      </w:r>
      <w:r w:rsidR="00C14BFF" w:rsidRPr="00742A04">
        <w:t>nuestro último informe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14BFF" w:rsidRPr="00742A04">
        <w:t>hemos hecho remisiones a informes anteriores</w:t>
      </w:r>
      <w:r w:rsidR="00545D1B" w:rsidRPr="00742A04">
        <w:t xml:space="preserve"> </w:t>
      </w:r>
      <w:r w:rsidR="00C14BFF" w:rsidRPr="00742A04">
        <w:t>toda vez que ello fue procedente</w:t>
      </w:r>
      <w:r w:rsidR="00545D1B" w:rsidRPr="00742A04">
        <w:t xml:space="preserve">. </w:t>
      </w:r>
      <w:r w:rsidR="00C14BFF" w:rsidRPr="00742A04">
        <w:t>Asimismo hemos centrado la atención en</w:t>
      </w:r>
      <w:r w:rsidR="00545D1B" w:rsidRPr="00742A04">
        <w:t xml:space="preserve"> </w:t>
      </w:r>
      <w:r w:rsidR="00C14BFF" w:rsidRPr="00742A04">
        <w:t>dar respuesta a</w:t>
      </w:r>
      <w:r w:rsidR="00545D1B" w:rsidRPr="00742A04">
        <w:t xml:space="preserve"> </w:t>
      </w:r>
      <w:r w:rsidR="00C14BFF" w:rsidRPr="00742A04">
        <w:t>las observaciones</w:t>
      </w:r>
      <w:r w:rsidR="00545D1B" w:rsidRPr="00742A04">
        <w:t xml:space="preserve"> </w:t>
      </w:r>
      <w:r w:rsidR="0084135E" w:rsidRPr="00742A04">
        <w:t>del</w:t>
      </w:r>
      <w:r w:rsidR="00CE5FA4" w:rsidRPr="00742A04">
        <w:t xml:space="preserve"> Comité para la Elim</w:t>
      </w:r>
      <w:r w:rsidR="00CE5FA4" w:rsidRPr="00742A04">
        <w:t>i</w:t>
      </w:r>
      <w:r w:rsidR="00CE5FA4" w:rsidRPr="00742A04">
        <w:t xml:space="preserve">nación </w:t>
      </w:r>
      <w:r w:rsidR="00F43124" w:rsidRPr="00742A04">
        <w:t xml:space="preserve">de la </w:t>
      </w:r>
      <w:r w:rsidR="00CE5FA4" w:rsidRPr="00742A04">
        <w:t>Discriminación contra la Mujer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C27C42" w:rsidRPr="00742A04">
        <w:t>examen</w:t>
      </w:r>
      <w:r w:rsidR="00545D1B" w:rsidRPr="00742A04">
        <w:t xml:space="preserve"> </w:t>
      </w:r>
      <w:r w:rsidR="00C076F2" w:rsidRPr="00742A04">
        <w:t xml:space="preserve">de los </w:t>
      </w:r>
      <w:r w:rsidR="0084135E" w:rsidRPr="00742A04">
        <w:t>i</w:t>
      </w:r>
      <w:r w:rsidR="0084135E" w:rsidRPr="00742A04">
        <w:t>n</w:t>
      </w:r>
      <w:r w:rsidR="0084135E" w:rsidRPr="00742A04">
        <w:t>formes periódicos quinto y sexto de Noru</w:t>
      </w:r>
      <w:r w:rsidR="0084135E" w:rsidRPr="00742A04">
        <w:t>e</w:t>
      </w:r>
      <w:r w:rsidR="0084135E" w:rsidRPr="00742A04">
        <w:t>ga</w:t>
      </w:r>
      <w:r w:rsidR="00545D1B" w:rsidRPr="00742A04">
        <w:t xml:space="preserve">, </w:t>
      </w:r>
      <w:r w:rsidR="004A0730" w:rsidRPr="00742A04">
        <w:t>que tuvo lugar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enero de</w:t>
      </w:r>
      <w:r w:rsidR="00545D1B" w:rsidRPr="00742A04">
        <w:t xml:space="preserve"> 2003.</w:t>
      </w:r>
    </w:p>
    <w:p w:rsidR="00545D1B" w:rsidRPr="00742A04" w:rsidRDefault="004A0730" w:rsidP="00230F13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Pr="00742A04">
        <w:t>octubre de</w:t>
      </w:r>
      <w:r w:rsidR="00545D1B" w:rsidRPr="00742A04">
        <w:t xml:space="preserve"> 2005, </w:t>
      </w:r>
      <w:r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603216" w:rsidRPr="00742A04">
        <w:t>pidió a los d</w:t>
      </w:r>
      <w:r w:rsidR="00603216" w:rsidRPr="00742A04">
        <w:t>e</w:t>
      </w:r>
      <w:r w:rsidR="00603216" w:rsidRPr="00742A04">
        <w:t>más</w:t>
      </w:r>
      <w:r w:rsidR="00545D1B" w:rsidRPr="00742A04">
        <w:t xml:space="preserve"> </w:t>
      </w:r>
      <w:r w:rsidR="00603216" w:rsidRPr="00742A04">
        <w:t>ministerios</w:t>
      </w:r>
      <w:r w:rsidR="00545D1B" w:rsidRPr="00742A04">
        <w:t xml:space="preserve"> </w:t>
      </w:r>
      <w:r w:rsidR="00603216" w:rsidRPr="00742A04">
        <w:t>que aportaran informes relacionados con sus res</w:t>
      </w:r>
      <w:r w:rsidR="00EB47EC">
        <w:t>pectivas esferas de competencia</w:t>
      </w:r>
      <w:r w:rsidR="00545D1B" w:rsidRPr="00742A04">
        <w:t>.</w:t>
      </w:r>
      <w:r w:rsidR="001167D2" w:rsidRPr="00742A04">
        <w:t xml:space="preserve"> </w:t>
      </w:r>
      <w:r w:rsidR="0073499D" w:rsidRPr="00742A04">
        <w:t>El</w:t>
      </w:r>
      <w:r w:rsidR="001167D2" w:rsidRPr="00742A04">
        <w:t xml:space="preserve"> </w:t>
      </w:r>
      <w:r w:rsidRPr="00742A04">
        <w:t>Ministerio</w:t>
      </w:r>
      <w:r w:rsidR="00545D1B" w:rsidRPr="00742A04">
        <w:t xml:space="preserve"> </w:t>
      </w:r>
      <w:r w:rsidR="00603216" w:rsidRPr="00742A04">
        <w:t>también</w:t>
      </w:r>
      <w:r w:rsidR="00545D1B" w:rsidRPr="00742A04">
        <w:t xml:space="preserve"> </w:t>
      </w:r>
      <w:r w:rsidR="00603216" w:rsidRPr="00742A04">
        <w:t>se puso en contacto con</w:t>
      </w:r>
      <w:r w:rsidR="00545D1B" w:rsidRPr="00742A04">
        <w:t xml:space="preserve"> </w:t>
      </w:r>
      <w:r w:rsidR="00EB47EC">
        <w:t xml:space="preserve">la </w:t>
      </w:r>
      <w:r w:rsidR="006137EC" w:rsidRPr="00742A04">
        <w:t>Ombudsman</w:t>
      </w:r>
      <w:r w:rsidR="00640C6D" w:rsidRPr="00742A04">
        <w:t xml:space="preserve"> </w:t>
      </w:r>
      <w:r w:rsidR="00FC59C5" w:rsidRPr="00742A04">
        <w:t xml:space="preserve">de Promoción </w:t>
      </w:r>
      <w:r w:rsidR="00F43124" w:rsidRPr="00742A04">
        <w:t xml:space="preserve">de la </w:t>
      </w:r>
      <w:r w:rsidR="00FC59C5" w:rsidRPr="00742A04">
        <w:t>Igualdad y Lucha</w:t>
      </w:r>
      <w:r w:rsidR="00640C6D" w:rsidRPr="00742A04">
        <w:t xml:space="preserve"> contra la Discriminación</w:t>
      </w:r>
      <w:r w:rsidR="00545D1B" w:rsidRPr="00742A04">
        <w:t xml:space="preserve"> </w:t>
      </w:r>
      <w:r w:rsidR="00640C6D" w:rsidRPr="00742A04">
        <w:t>a fin de pedir asistencia para elaborar</w:t>
      </w:r>
      <w:r w:rsidR="00545D1B" w:rsidRPr="00742A04">
        <w:t xml:space="preserve"> </w:t>
      </w:r>
      <w:r w:rsidR="0084135E" w:rsidRPr="00742A04">
        <w:t>el séptimo informe periódico de Noruega</w:t>
      </w:r>
      <w:r w:rsidR="00545D1B" w:rsidRPr="00742A04">
        <w:t xml:space="preserve">. </w:t>
      </w:r>
      <w:r w:rsidR="00EB47EC">
        <w:t xml:space="preserve">La </w:t>
      </w:r>
      <w:r w:rsidR="006137EC" w:rsidRPr="00742A04">
        <w:t>Ombudsman</w:t>
      </w:r>
      <w:r w:rsidR="00545D1B" w:rsidRPr="00742A04">
        <w:t xml:space="preserve"> </w:t>
      </w:r>
      <w:r w:rsidR="00640C6D" w:rsidRPr="00742A04">
        <w:t>formuló o</w:t>
      </w:r>
      <w:r w:rsidR="00640C6D" w:rsidRPr="00742A04">
        <w:t>b</w:t>
      </w:r>
      <w:r w:rsidR="00640C6D" w:rsidRPr="00742A04">
        <w:t>servaciones sobre</w:t>
      </w:r>
      <w:r w:rsidR="00545D1B" w:rsidRPr="00742A04">
        <w:t xml:space="preserve"> </w:t>
      </w:r>
      <w:r w:rsidR="00640C6D" w:rsidRPr="00742A04">
        <w:t xml:space="preserve">los </w:t>
      </w:r>
      <w:r w:rsidR="008F0C8E" w:rsidRPr="00742A04">
        <w:t>aportes</w:t>
      </w:r>
      <w:r w:rsidR="00640C6D" w:rsidRPr="00742A04">
        <w:t xml:space="preserve"> </w:t>
      </w:r>
      <w:r w:rsidR="00C076F2" w:rsidRPr="00742A04">
        <w:t xml:space="preserve">de los </w:t>
      </w:r>
      <w:r w:rsidR="00640C6D" w:rsidRPr="00742A04">
        <w:t>ministerios</w:t>
      </w:r>
      <w:r w:rsidR="00545D1B" w:rsidRPr="00742A04">
        <w:t xml:space="preserve"> </w:t>
      </w:r>
      <w:r w:rsidR="00640C6D" w:rsidRPr="00742A04">
        <w:t>a</w:t>
      </w:r>
      <w:r w:rsidR="00C27C42" w:rsidRPr="00742A04">
        <w:t>l informe</w:t>
      </w:r>
      <w:r w:rsidR="00545D1B" w:rsidRPr="00742A04">
        <w:t xml:space="preserve">, </w:t>
      </w:r>
      <w:r w:rsidR="00640C6D" w:rsidRPr="00742A04">
        <w:t>además de brindar i</w:t>
      </w:r>
      <w:r w:rsidR="00640C6D" w:rsidRPr="00742A04">
        <w:t>n</w:t>
      </w:r>
      <w:r w:rsidR="00640C6D" w:rsidRPr="00742A04">
        <w:t xml:space="preserve">formación </w:t>
      </w:r>
      <w:r w:rsidR="0073499D" w:rsidRPr="00742A04">
        <w:t>sobre</w:t>
      </w:r>
      <w:r w:rsidR="00545D1B" w:rsidRPr="00742A04">
        <w:t xml:space="preserve"> </w:t>
      </w:r>
      <w:r w:rsidR="008F0C8E" w:rsidRPr="00742A04">
        <w:t>su propia</w:t>
      </w:r>
      <w:r w:rsidR="00545D1B" w:rsidRPr="00742A04">
        <w:t xml:space="preserve"> </w:t>
      </w:r>
      <w:r w:rsidR="008F0C8E" w:rsidRPr="00742A04">
        <w:t>experiencia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. </w:t>
      </w:r>
      <w:r w:rsidR="008F0C8E" w:rsidRPr="00742A04">
        <w:t xml:space="preserve">Sobre la base </w:t>
      </w:r>
      <w:r w:rsidR="00C076F2" w:rsidRPr="00742A04">
        <w:t xml:space="preserve">de los </w:t>
      </w:r>
      <w:r w:rsidR="008F0C8E" w:rsidRPr="00742A04">
        <w:t>aportes</w:t>
      </w:r>
      <w:r w:rsidR="00545D1B" w:rsidRPr="00742A04">
        <w:t xml:space="preserve"> </w:t>
      </w:r>
      <w:r w:rsidR="00C076F2" w:rsidRPr="00742A04">
        <w:t xml:space="preserve">de los </w:t>
      </w:r>
      <w:r w:rsidR="008F0C8E" w:rsidRPr="00742A04">
        <w:t>ministerios</w:t>
      </w:r>
      <w:r w:rsidR="00545D1B" w:rsidRPr="00742A04">
        <w:t xml:space="preserve"> </w:t>
      </w:r>
      <w:r w:rsidR="00BB4DB1" w:rsidRPr="00742A04">
        <w:t xml:space="preserve">y </w:t>
      </w:r>
      <w:r w:rsidR="00EB47EC">
        <w:t xml:space="preserve">la </w:t>
      </w:r>
      <w:r w:rsidR="006137EC" w:rsidRPr="00742A04">
        <w:t>Ombudsman</w:t>
      </w:r>
      <w:r w:rsidR="00545D1B" w:rsidRPr="00742A04">
        <w:t xml:space="preserve">, </w:t>
      </w:r>
      <w:r w:rsidR="008F0C8E" w:rsidRPr="00742A04">
        <w:t>se elaboró un proyecto de informe, que se d</w:t>
      </w:r>
      <w:r w:rsidR="008F0C8E" w:rsidRPr="00742A04">
        <w:t>i</w:t>
      </w:r>
      <w:r w:rsidR="008F0C8E" w:rsidRPr="00742A04">
        <w:t xml:space="preserve">fundió entre una cantidad de organizaciones </w:t>
      </w:r>
      <w:r w:rsidR="004D313C" w:rsidRPr="00742A04">
        <w:t>de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F0C8E" w:rsidRPr="00742A04">
        <w:t xml:space="preserve">de promoción </w:t>
      </w:r>
      <w:r w:rsidR="00F43124" w:rsidRPr="00742A04">
        <w:t xml:space="preserve">de la </w:t>
      </w:r>
      <w:r w:rsidR="00A05847" w:rsidRPr="00742A04">
        <w:t>igualdad de género</w:t>
      </w:r>
      <w:r w:rsidR="00545D1B" w:rsidRPr="00742A04">
        <w:t xml:space="preserve">, </w:t>
      </w:r>
      <w:r w:rsidR="00FB5EDF" w:rsidRPr="00742A04">
        <w:t>organizaciones de derechos humanos</w:t>
      </w:r>
      <w:r w:rsidR="00545D1B" w:rsidRPr="00742A04">
        <w:t xml:space="preserve">, </w:t>
      </w:r>
      <w:r w:rsidR="00EC5FA6" w:rsidRPr="00742A04">
        <w:t>las partes sociales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F0C8E" w:rsidRPr="00742A04">
        <w:t>ministerios g</w:t>
      </w:r>
      <w:r w:rsidR="008F0C8E" w:rsidRPr="00742A04">
        <w:t>u</w:t>
      </w:r>
      <w:r w:rsidR="008F0C8E" w:rsidRPr="00742A04">
        <w:t xml:space="preserve">bernamentales </w:t>
      </w:r>
      <w:r w:rsidR="0030626A" w:rsidRPr="00742A04">
        <w:t>solicitando sus</w:t>
      </w:r>
      <w:r w:rsidR="008F0C8E" w:rsidRPr="00742A04">
        <w:t xml:space="preserve"> observaciones </w:t>
      </w:r>
      <w:r w:rsidR="0030626A" w:rsidRPr="00742A04">
        <w:t xml:space="preserve">con carácter </w:t>
      </w:r>
      <w:r w:rsidR="008F0C8E" w:rsidRPr="00742A04">
        <w:t>consultiv</w:t>
      </w:r>
      <w:r w:rsidR="0030626A" w:rsidRPr="00742A04">
        <w:t>o</w:t>
      </w:r>
      <w:r w:rsidR="00545D1B" w:rsidRPr="00742A04">
        <w:t>.</w:t>
      </w:r>
      <w:r w:rsidR="001167D2" w:rsidRPr="00742A04">
        <w:t xml:space="preserve"> </w:t>
      </w:r>
      <w:r w:rsidR="0073499D" w:rsidRPr="00742A04">
        <w:t>El</w:t>
      </w:r>
      <w:r w:rsidR="001167D2" w:rsidRPr="00742A04">
        <w:t xml:space="preserve"> </w:t>
      </w:r>
      <w:r w:rsidR="008F0C8E" w:rsidRPr="00742A04">
        <w:t>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0626A" w:rsidRPr="00742A04">
        <w:t>invitó a todos los organismos co</w:t>
      </w:r>
      <w:r w:rsidR="0030626A" w:rsidRPr="00742A04">
        <w:t>n</w:t>
      </w:r>
      <w:r w:rsidR="0030626A" w:rsidRPr="00742A04">
        <w:t>sultivos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0626A" w:rsidRPr="00742A04">
        <w:t>una reunión</w:t>
      </w:r>
      <w:r w:rsidR="00545D1B" w:rsidRPr="00742A04">
        <w:t>.</w:t>
      </w:r>
      <w:r w:rsidR="001167D2" w:rsidRPr="00742A04">
        <w:t xml:space="preserve"> </w:t>
      </w:r>
      <w:r w:rsidR="0073499D" w:rsidRPr="00742A04">
        <w:t>El</w:t>
      </w:r>
      <w:r w:rsidR="001167D2" w:rsidRPr="00742A04">
        <w:t xml:space="preserve"> </w:t>
      </w:r>
      <w:r w:rsidRPr="00742A04">
        <w:t>Ministerio</w:t>
      </w:r>
      <w:r w:rsidR="00545D1B" w:rsidRPr="00742A04">
        <w:t xml:space="preserve"> </w:t>
      </w:r>
      <w:r w:rsidR="0030626A" w:rsidRPr="00742A04">
        <w:t>i</w:t>
      </w:r>
      <w:r w:rsidR="00545D1B" w:rsidRPr="00742A04">
        <w:t>ncorpor</w:t>
      </w:r>
      <w:r w:rsidR="0030626A" w:rsidRPr="00742A04">
        <w:t>ó los aportes</w:t>
      </w:r>
      <w:r w:rsidR="00545D1B" w:rsidRPr="00742A04">
        <w:t xml:space="preserve"> </w:t>
      </w:r>
      <w:r w:rsidR="00F43124" w:rsidRPr="00742A04">
        <w:t xml:space="preserve">de la </w:t>
      </w:r>
      <w:r w:rsidR="0030626A" w:rsidRPr="00742A04">
        <w:t>ronda consultiva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B47EC">
        <w:t xml:space="preserve">de </w:t>
      </w:r>
      <w:r w:rsidR="0030626A" w:rsidRPr="00742A04">
        <w:t>la reunión</w:t>
      </w:r>
      <w:r w:rsidR="001E30D6" w:rsidRPr="00742A04">
        <w:t xml:space="preserve"> </w:t>
      </w:r>
      <w:r w:rsidR="00EB47EC">
        <w:t xml:space="preserve">para redactar </w:t>
      </w:r>
      <w:r w:rsidR="00A80F26">
        <w:t>la</w:t>
      </w:r>
      <w:r w:rsidR="001E30D6" w:rsidRPr="00742A04">
        <w:t xml:space="preserve"> </w:t>
      </w:r>
      <w:r w:rsidR="0030626A" w:rsidRPr="00742A04">
        <w:t xml:space="preserve">versión definitiva del </w:t>
      </w:r>
      <w:r w:rsidR="0084135E" w:rsidRPr="00742A04">
        <w:t>séptimo informe periódico de Noruega</w:t>
      </w:r>
      <w:r w:rsidR="00545D1B" w:rsidRPr="00742A04">
        <w:t>.</w:t>
      </w:r>
      <w:r w:rsidR="001167D2" w:rsidRPr="00742A04">
        <w:t xml:space="preserve"> </w:t>
      </w:r>
      <w:r w:rsidR="0073499D" w:rsidRPr="00742A04">
        <w:t>El</w:t>
      </w:r>
      <w:r w:rsidR="001167D2" w:rsidRPr="00742A04">
        <w:t xml:space="preserve"> </w:t>
      </w:r>
      <w:r w:rsidR="0030626A" w:rsidRPr="00742A04">
        <w:t>i</w:t>
      </w:r>
      <w:r w:rsidR="0030626A" w:rsidRPr="00742A04">
        <w:t>n</w:t>
      </w:r>
      <w:r w:rsidR="0030626A" w:rsidRPr="00742A04">
        <w:t>forme definit</w:t>
      </w:r>
      <w:r w:rsidR="0030626A" w:rsidRPr="00742A04">
        <w:t>i</w:t>
      </w:r>
      <w:r w:rsidR="0030626A" w:rsidRPr="00742A04">
        <w:t>vo</w:t>
      </w:r>
      <w:r w:rsidR="00545D1B" w:rsidRPr="00742A04">
        <w:t xml:space="preserve"> </w:t>
      </w:r>
      <w:r w:rsidR="0030626A" w:rsidRPr="00742A04">
        <w:t>se distribuirá</w:t>
      </w:r>
      <w:r w:rsidR="00545D1B" w:rsidRPr="00742A04">
        <w:t xml:space="preserve"> </w:t>
      </w:r>
      <w:r w:rsidR="0030626A" w:rsidRPr="00742A04">
        <w:t>a todos los organismos consultivos</w:t>
      </w:r>
      <w:r w:rsidR="00545D1B" w:rsidRPr="00742A04">
        <w:t>.</w:t>
      </w:r>
    </w:p>
    <w:p w:rsidR="00545D1B" w:rsidRPr="00742A04" w:rsidRDefault="00BD47D3" w:rsidP="00230F13">
      <w:pPr>
        <w:pStyle w:val="SingleTxt"/>
        <w:ind w:firstLine="475"/>
      </w:pPr>
      <w:r w:rsidRPr="00742A04">
        <w:t>Con arreglo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0626A" w:rsidRPr="00742A04">
        <w:t>las directrices del Comité para la presentación de informes</w:t>
      </w:r>
      <w:r w:rsidR="00545D1B" w:rsidRPr="00742A04">
        <w:t xml:space="preserve">, </w:t>
      </w:r>
      <w:r w:rsidR="002E41F3" w:rsidRPr="00742A04">
        <w:t xml:space="preserve">en </w:t>
      </w:r>
      <w:r w:rsidR="00C27C42" w:rsidRPr="00742A04">
        <w:t>el informe</w:t>
      </w:r>
      <w:r w:rsidR="00545D1B" w:rsidRPr="00742A04">
        <w:t xml:space="preserve"> </w:t>
      </w:r>
      <w:r w:rsidR="002E41F3" w:rsidRPr="00742A04">
        <w:t>se deben</w:t>
      </w:r>
      <w:r w:rsidR="00545D1B" w:rsidRPr="00742A04">
        <w:t xml:space="preserve"> describ</w:t>
      </w:r>
      <w:r w:rsidR="002E41F3" w:rsidRPr="00742A04">
        <w:t>ir las medidas adoptadas por</w:t>
      </w:r>
      <w:r w:rsidR="004B2748" w:rsidRPr="00742A04">
        <w:t xml:space="preserve"> Noruega</w:t>
      </w:r>
      <w:r w:rsidR="00545D1B" w:rsidRPr="00742A04">
        <w:t xml:space="preserve"> </w:t>
      </w:r>
      <w:r w:rsidR="002E41F3" w:rsidRPr="00742A04">
        <w:t xml:space="preserve">como seguimiento </w:t>
      </w:r>
      <w:r w:rsidR="00F43124" w:rsidRPr="00742A04">
        <w:t xml:space="preserve">de la </w:t>
      </w:r>
      <w:r w:rsidR="004B2748" w:rsidRPr="00742A04">
        <w:t>Plataforma de Acción de Beijing</w:t>
      </w:r>
      <w:r w:rsidR="00545D1B" w:rsidRPr="00742A04">
        <w:t xml:space="preserve">. </w:t>
      </w:r>
      <w:r w:rsidR="00EA26AB" w:rsidRPr="00742A04">
        <w:t>Noruega</w:t>
      </w:r>
      <w:r w:rsidR="00545D1B" w:rsidRPr="00742A04">
        <w:t xml:space="preserve"> </w:t>
      </w:r>
      <w:r w:rsidR="002E41F3" w:rsidRPr="00742A04">
        <w:t>ha presentado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4B2748" w:rsidRPr="00742A04">
        <w:t>las Naciones Unidas</w:t>
      </w:r>
      <w:r w:rsidR="00545D1B" w:rsidRPr="00742A04">
        <w:t xml:space="preserve"> </w:t>
      </w:r>
      <w:r w:rsidR="002E41F3" w:rsidRPr="00742A04">
        <w:t xml:space="preserve">tres informes sobre el seguimiento </w:t>
      </w:r>
      <w:r w:rsidR="00F43124" w:rsidRPr="00742A04">
        <w:t xml:space="preserve">de la </w:t>
      </w:r>
      <w:r w:rsidR="004B2748" w:rsidRPr="00742A04">
        <w:t>Plataforma de Acción de Beijing</w:t>
      </w:r>
      <w:r w:rsidR="00545D1B" w:rsidRPr="00742A04">
        <w:t xml:space="preserve">, </w:t>
      </w:r>
      <w:r w:rsidR="002E41F3" w:rsidRPr="00742A04">
        <w:t>el último de ellos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2004. </w:t>
      </w:r>
      <w:r w:rsidR="00B34971" w:rsidRPr="00742A04">
        <w:t>Asimismo señalamos que a partir de</w:t>
      </w:r>
      <w:r w:rsidR="00EB47EC">
        <w:t>l año</w:t>
      </w:r>
      <w:r w:rsidR="00B34971" w:rsidRPr="00742A04">
        <w:t xml:space="preserve"> 2000 el Gobierno, </w:t>
      </w:r>
      <w:r w:rsidR="009F34B6" w:rsidRPr="00742A04">
        <w:t>en c</w:t>
      </w:r>
      <w:r w:rsidR="009F34B6" w:rsidRPr="00742A04">
        <w:t>o</w:t>
      </w:r>
      <w:r w:rsidR="009F34B6" w:rsidRPr="00742A04">
        <w:t>operación</w:t>
      </w:r>
      <w:r w:rsidR="00B34971" w:rsidRPr="00742A04">
        <w:t xml:space="preserve"> con la organización coordinadora FOKUS </w:t>
      </w:r>
      <w:r w:rsidR="00BB4DB1" w:rsidRPr="00742A04">
        <w:t xml:space="preserve">y el </w:t>
      </w:r>
      <w:r w:rsidR="00B34971" w:rsidRPr="00742A04">
        <w:t xml:space="preserve">anterior </w:t>
      </w:r>
      <w:r w:rsidR="00AE0831" w:rsidRPr="00742A04">
        <w:t>Centro para la Igualdad de Género</w:t>
      </w:r>
      <w:r w:rsidR="009F34B6" w:rsidRPr="00742A04">
        <w:t>,</w:t>
      </w:r>
      <w:r w:rsidR="00B34971" w:rsidRPr="00742A04">
        <w:t xml:space="preserve"> </w:t>
      </w:r>
      <w:r w:rsidR="009F34B6" w:rsidRPr="00742A04">
        <w:t>organiz</w:t>
      </w:r>
      <w:r w:rsidR="00B34971" w:rsidRPr="00742A04">
        <w:t xml:space="preserve">a </w:t>
      </w:r>
      <w:r w:rsidR="009F34B6" w:rsidRPr="00742A04">
        <w:t xml:space="preserve">anualmente </w:t>
      </w:r>
      <w:r w:rsidR="00B34971" w:rsidRPr="00742A04">
        <w:t xml:space="preserve">una </w:t>
      </w:r>
      <w:r w:rsidR="003673DD">
        <w:t>conferencia denominada Jalones</w:t>
      </w:r>
      <w:r w:rsidR="00B34971" w:rsidRPr="00742A04">
        <w:t xml:space="preserve"> (</w:t>
      </w:r>
      <w:r w:rsidR="00B34971" w:rsidRPr="00742A04">
        <w:rPr>
          <w:i/>
        </w:rPr>
        <w:t>M</w:t>
      </w:r>
      <w:r w:rsidR="00B34971" w:rsidRPr="00742A04">
        <w:rPr>
          <w:i/>
        </w:rPr>
        <w:t>i</w:t>
      </w:r>
      <w:r w:rsidR="00B34971" w:rsidRPr="00742A04">
        <w:rPr>
          <w:i/>
        </w:rPr>
        <w:t>lestones</w:t>
      </w:r>
      <w:r w:rsidR="00B34971" w:rsidRPr="00742A04">
        <w:t>)</w:t>
      </w:r>
      <w:r w:rsidR="00545D1B" w:rsidRPr="00742A04">
        <w:t xml:space="preserve"> </w:t>
      </w:r>
      <w:r w:rsidR="00B34971" w:rsidRPr="00742A04">
        <w:t xml:space="preserve">para monitorear el seguimiento </w:t>
      </w:r>
      <w:r w:rsidR="00F43124" w:rsidRPr="00742A04">
        <w:t xml:space="preserve">de la </w:t>
      </w:r>
      <w:r w:rsidR="004B2748" w:rsidRPr="00742A04">
        <w:t>Plataforma de Acción de Beijing</w:t>
      </w:r>
      <w:r w:rsidR="00545D1B" w:rsidRPr="00742A04">
        <w:t xml:space="preserve">. </w:t>
      </w:r>
      <w:r w:rsidR="009F34B6" w:rsidRPr="00742A04">
        <w:t>FOKUS coordina</w:t>
      </w:r>
      <w:r w:rsidR="00CD2FF0" w:rsidRPr="00742A04">
        <w:t xml:space="preserve"> a</w:t>
      </w:r>
      <w:r w:rsidR="00545D1B" w:rsidRPr="00742A04">
        <w:t xml:space="preserve"> </w:t>
      </w:r>
      <w:r w:rsidR="00CD2FF0" w:rsidRPr="00742A04">
        <w:t xml:space="preserve">las </w:t>
      </w:r>
      <w:r w:rsidR="00AE7B93" w:rsidRPr="00742A04">
        <w:t>organizaciones no gubernamentales</w:t>
      </w:r>
      <w:r w:rsidR="00CD2FF0" w:rsidRPr="00742A04">
        <w:t xml:space="preserve"> noruegas</w:t>
      </w:r>
      <w:r w:rsidR="00545D1B" w:rsidRPr="00742A04">
        <w:t xml:space="preserve"> </w:t>
      </w:r>
      <w:r w:rsidR="00CD2FF0" w:rsidRPr="00742A04">
        <w:t>dedicadas</w:t>
      </w:r>
      <w:r w:rsidR="009F34B6" w:rsidRPr="00742A04">
        <w:t xml:space="preserve"> a l</w:t>
      </w:r>
      <w:r w:rsidR="001E30D6" w:rsidRPr="00742A04">
        <w:t xml:space="preserve">a </w:t>
      </w:r>
      <w:r w:rsidR="00CD2FF0" w:rsidRPr="00742A04">
        <w:t>cooper</w:t>
      </w:r>
      <w:r w:rsidR="00CD2FF0" w:rsidRPr="00742A04">
        <w:t>a</w:t>
      </w:r>
      <w:r w:rsidR="00CD2FF0" w:rsidRPr="00742A04">
        <w:t>ción para el desarrollo</w:t>
      </w:r>
      <w:r w:rsidR="00C14BFF" w:rsidRPr="00742A04">
        <w:t xml:space="preserve"> </w:t>
      </w:r>
      <w:r w:rsidR="00CD2FF0" w:rsidRPr="00742A04">
        <w:t>que realizan actividades para la mujer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D2FF0" w:rsidRPr="00742A04">
        <w:t>recibe</w:t>
      </w:r>
      <w:r w:rsidR="00545D1B" w:rsidRPr="00742A04">
        <w:t xml:space="preserve"> </w:t>
      </w:r>
      <w:r w:rsidR="00CD2FF0" w:rsidRPr="00742A04">
        <w:t>apoyo fina</w:t>
      </w:r>
      <w:r w:rsidR="00CD2FF0" w:rsidRPr="00742A04">
        <w:t>n</w:t>
      </w:r>
      <w:r w:rsidR="00CD2FF0" w:rsidRPr="00742A04">
        <w:t>ciero</w:t>
      </w:r>
      <w:r w:rsidR="0030626A" w:rsidRPr="00742A04">
        <w:t xml:space="preserve"> del </w:t>
      </w:r>
      <w:r w:rsidR="004B2748" w:rsidRPr="00742A04">
        <w:t>Ministerio de Relaciones Exteriores</w:t>
      </w:r>
      <w:r w:rsidR="00545D1B" w:rsidRPr="00742A04">
        <w:t xml:space="preserve">. </w:t>
      </w:r>
      <w:r w:rsidR="00CD2FF0" w:rsidRPr="00742A04">
        <w:t>En</w:t>
      </w:r>
      <w:r w:rsidR="009F34B6" w:rsidRPr="00742A04">
        <w:t>tre l</w:t>
      </w:r>
      <w:r w:rsidR="00CD2FF0" w:rsidRPr="00742A04">
        <w:t xml:space="preserve">os temas </w:t>
      </w:r>
      <w:r w:rsidR="00F43124" w:rsidRPr="00742A04">
        <w:t xml:space="preserve">de la </w:t>
      </w:r>
      <w:r w:rsidR="00CD2FF0" w:rsidRPr="00742A04">
        <w:t>conferencia de 2004 figuraron el examen del sexto informe periódico de Noruega llevado a cabo por el Comité</w:t>
      </w:r>
      <w:r w:rsidR="00CE5FA4" w:rsidRPr="00742A04">
        <w:t xml:space="preserve"> para la Eliminación </w:t>
      </w:r>
      <w:r w:rsidR="00F43124" w:rsidRPr="00742A04">
        <w:t xml:space="preserve">de la </w:t>
      </w:r>
      <w:r w:rsidR="00CE5FA4" w:rsidRPr="00742A04">
        <w:t xml:space="preserve">Discriminación </w:t>
      </w:r>
      <w:r w:rsidR="00CD2FF0" w:rsidRPr="00742A04">
        <w:t>contra la M</w:t>
      </w:r>
      <w:r w:rsidR="00CD2FF0" w:rsidRPr="00742A04">
        <w:t>u</w:t>
      </w:r>
      <w:r w:rsidR="00CD2FF0" w:rsidRPr="00742A04">
        <w:t>jer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enero de</w:t>
      </w:r>
      <w:r w:rsidR="00545D1B" w:rsidRPr="00742A04">
        <w:t xml:space="preserve"> 2003 </w:t>
      </w:r>
      <w:r w:rsidR="00877AA0" w:rsidRPr="00742A04">
        <w:t>y</w:t>
      </w:r>
      <w:r w:rsidR="00545D1B" w:rsidRPr="00742A04">
        <w:t xml:space="preserve"> </w:t>
      </w:r>
      <w:r w:rsidR="004B2748" w:rsidRPr="00742A04">
        <w:t>la aplicación por parte de Noruega</w:t>
      </w:r>
      <w:r w:rsidR="00545D1B" w:rsidRPr="00742A04">
        <w:t xml:space="preserve"> </w:t>
      </w:r>
      <w:r w:rsidR="00F43124" w:rsidRPr="00742A04">
        <w:t xml:space="preserve">de la </w:t>
      </w:r>
      <w:r w:rsidR="00CE5FA4" w:rsidRPr="00742A04">
        <w:t>Convención sobre la elim</w:t>
      </w:r>
      <w:r w:rsidR="00CE5FA4" w:rsidRPr="00742A04">
        <w:t>i</w:t>
      </w:r>
      <w:r w:rsidR="00CE5FA4" w:rsidRPr="00742A04">
        <w:t>nación de todas las formas de discriminación contra la mujer</w:t>
      </w:r>
      <w:r w:rsidR="00545D1B" w:rsidRPr="00742A04">
        <w:t>.</w:t>
      </w:r>
    </w:p>
    <w:p w:rsidR="002A4469" w:rsidRPr="00742A04" w:rsidRDefault="002A4469" w:rsidP="002A44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47"/>
      </w:pPr>
      <w:r w:rsidRPr="00742A04">
        <w:t>Primera parte</w:t>
      </w:r>
    </w:p>
    <w:p w:rsidR="002A4469" w:rsidRPr="00742A04" w:rsidRDefault="002A4469" w:rsidP="002A44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2534" w:right="1260" w:hanging="1267"/>
        <w:rPr>
          <w:sz w:val="10"/>
        </w:rPr>
      </w:pPr>
    </w:p>
    <w:p w:rsidR="002A4469" w:rsidRPr="00742A04" w:rsidRDefault="002A4469" w:rsidP="002A44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2534" w:right="1260" w:hanging="1267"/>
        <w:rPr>
          <w:sz w:val="10"/>
        </w:rPr>
      </w:pPr>
    </w:p>
    <w:p w:rsidR="002A4469" w:rsidRPr="00742A04" w:rsidRDefault="002A4469" w:rsidP="002A44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2A04">
        <w:tab/>
      </w:r>
      <w:r w:rsidRPr="00742A04">
        <w:tab/>
        <w:t xml:space="preserve">Legislación, </w:t>
      </w:r>
      <w:r w:rsidR="00CD2FF0" w:rsidRPr="00742A04">
        <w:t>mecanismo para</w:t>
      </w:r>
      <w:r w:rsidRPr="00742A04">
        <w:t xml:space="preserve"> la igualdad de género y derechos fund</w:t>
      </w:r>
      <w:r w:rsidRPr="00742A04">
        <w:t>a</w:t>
      </w:r>
      <w:r w:rsidRPr="00742A04">
        <w:t>mentales</w:t>
      </w:r>
    </w:p>
    <w:p w:rsidR="002A4469" w:rsidRPr="00742A04" w:rsidRDefault="002A4469" w:rsidP="002A4469">
      <w:pPr>
        <w:pStyle w:val="SingleTxt"/>
        <w:keepNext/>
        <w:spacing w:after="0" w:line="120" w:lineRule="exact"/>
        <w:rPr>
          <w:sz w:val="10"/>
        </w:rPr>
      </w:pPr>
    </w:p>
    <w:p w:rsidR="002A4469" w:rsidRPr="00742A04" w:rsidRDefault="002A4469" w:rsidP="002A4469">
      <w:pPr>
        <w:pStyle w:val="SingleTxt"/>
        <w:keepNext/>
        <w:spacing w:after="0" w:line="120" w:lineRule="exact"/>
        <w:rPr>
          <w:sz w:val="10"/>
        </w:rPr>
      </w:pPr>
    </w:p>
    <w:p w:rsidR="002A4469" w:rsidRPr="00742A04" w:rsidRDefault="002A4469" w:rsidP="002A44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2A04">
        <w:tab/>
      </w:r>
      <w:r w:rsidRPr="00742A04">
        <w:tab/>
        <w:t>Artículo 2</w:t>
      </w:r>
    </w:p>
    <w:p w:rsidR="003D07B5" w:rsidRPr="00742A04" w:rsidRDefault="003D07B5" w:rsidP="003D07B5">
      <w:pPr>
        <w:pStyle w:val="H1"/>
        <w:spacing w:line="120" w:lineRule="exact"/>
        <w:ind w:left="2534" w:right="1260" w:hanging="1267"/>
        <w:rPr>
          <w:bCs/>
          <w:sz w:val="10"/>
        </w:rPr>
      </w:pPr>
    </w:p>
    <w:p w:rsidR="003673DD" w:rsidRDefault="003673DD" w:rsidP="003673DD">
      <w:pPr>
        <w:pStyle w:val="H23"/>
        <w:ind w:left="1267"/>
        <w:rPr>
          <w:bCs/>
        </w:rPr>
      </w:pPr>
      <w:r>
        <w:rPr>
          <w:bCs/>
        </w:rPr>
        <w:t xml:space="preserve">Artículo 2 </w:t>
      </w:r>
      <w:r>
        <w:rPr>
          <w:bCs/>
          <w:i/>
        </w:rPr>
        <w:t>a</w:t>
      </w:r>
    </w:p>
    <w:p w:rsidR="003673DD" w:rsidRPr="003673DD" w:rsidRDefault="003673DD" w:rsidP="003673DD">
      <w:pPr>
        <w:ind w:left="1267"/>
      </w:pPr>
      <w:r>
        <w:rPr>
          <w:b/>
          <w:bCs/>
          <w:spacing w:val="2"/>
        </w:rPr>
        <w:t>La igualdad de género en la legislación básica</w:t>
      </w:r>
    </w:p>
    <w:p w:rsidR="004A6192" w:rsidRPr="003673DD" w:rsidRDefault="004A6192" w:rsidP="004A6192">
      <w:pPr>
        <w:pStyle w:val="H23"/>
        <w:ind w:left="1267"/>
        <w:rPr>
          <w:bCs/>
          <w:sz w:val="10"/>
        </w:rPr>
      </w:pPr>
    </w:p>
    <w:p w:rsidR="00545D1B" w:rsidRPr="004A6192" w:rsidRDefault="00A05847" w:rsidP="003673DD">
      <w:pPr>
        <w:pStyle w:val="H23"/>
        <w:ind w:left="1267"/>
        <w:rPr>
          <w:b w:val="0"/>
          <w:bCs/>
          <w:i/>
        </w:rPr>
      </w:pPr>
      <w:r w:rsidRPr="004A6192">
        <w:rPr>
          <w:b w:val="0"/>
          <w:bCs/>
          <w:i/>
        </w:rPr>
        <w:t>La Ley sobre la Igualdad de Género</w:t>
      </w:r>
    </w:p>
    <w:p w:rsidR="002A4469" w:rsidRPr="003673DD" w:rsidRDefault="002A4469" w:rsidP="003673DD">
      <w:pPr>
        <w:pStyle w:val="H23"/>
        <w:ind w:left="1267"/>
        <w:rPr>
          <w:bCs/>
          <w:sz w:val="10"/>
        </w:rPr>
      </w:pPr>
    </w:p>
    <w:p w:rsidR="00545D1B" w:rsidRPr="00742A04" w:rsidRDefault="00A05847" w:rsidP="002A4469">
      <w:pPr>
        <w:pStyle w:val="SingleTxt"/>
        <w:ind w:firstLine="360"/>
      </w:pPr>
      <w:r w:rsidRPr="00742A04">
        <w:t>La Ley sobre la Igualdad de Género</w:t>
      </w:r>
      <w:r w:rsidR="00545D1B" w:rsidRPr="00742A04">
        <w:t xml:space="preserve"> </w:t>
      </w:r>
      <w:r w:rsidR="00230F13" w:rsidRPr="00742A04">
        <w:t>prohíbe la discriminación</w:t>
      </w:r>
      <w:r w:rsidR="00545D1B" w:rsidRPr="00742A04">
        <w:t xml:space="preserve"> </w:t>
      </w:r>
      <w:r w:rsidR="00230F13" w:rsidRPr="00742A04">
        <w:t>por motivos de género</w:t>
      </w:r>
      <w:r w:rsidR="00545D1B" w:rsidRPr="00742A04">
        <w:t xml:space="preserve"> </w:t>
      </w:r>
      <w:r w:rsidR="00230F13" w:rsidRPr="00742A04">
        <w:t xml:space="preserve">en todas las esferas </w:t>
      </w:r>
      <w:r w:rsidR="00F43124" w:rsidRPr="00742A04">
        <w:t xml:space="preserve">de la </w:t>
      </w:r>
      <w:r w:rsidR="00230F13" w:rsidRPr="00742A04">
        <w:t>sociedad</w:t>
      </w:r>
      <w:r w:rsidR="00545D1B" w:rsidRPr="00742A04">
        <w:t xml:space="preserve">, </w:t>
      </w:r>
      <w:r w:rsidR="00230F13" w:rsidRPr="00742A04">
        <w:t>salvo en lo tocante a los asuntos internos de las</w:t>
      </w:r>
      <w:r w:rsidR="00545D1B" w:rsidRPr="00742A04">
        <w:t xml:space="preserve"> </w:t>
      </w:r>
      <w:r w:rsidR="00230F13" w:rsidRPr="00742A04">
        <w:t>comunidades religiosas</w:t>
      </w:r>
      <w:r w:rsidR="00545D1B" w:rsidRPr="00742A04">
        <w:t xml:space="preserve">. </w:t>
      </w:r>
      <w:r w:rsidR="00230F13" w:rsidRPr="00742A04">
        <w:t>La Ley</w:t>
      </w:r>
      <w:r w:rsidR="00545D1B" w:rsidRPr="00742A04">
        <w:t xml:space="preserve"> </w:t>
      </w:r>
      <w:r w:rsidR="00230F13" w:rsidRPr="00742A04">
        <w:t>permite</w:t>
      </w:r>
      <w:r w:rsidR="00545D1B" w:rsidRPr="00742A04">
        <w:t xml:space="preserve"> </w:t>
      </w:r>
      <w:r w:rsidR="00230F13" w:rsidRPr="00742A04">
        <w:t>el tratamiento diferencial positivo</w:t>
      </w:r>
      <w:r w:rsidR="00545D1B" w:rsidRPr="00742A04">
        <w:t xml:space="preserve"> </w:t>
      </w:r>
      <w:r w:rsidR="00230F13" w:rsidRPr="00742A04">
        <w:t>a fin de promover</w:t>
      </w:r>
      <w:r w:rsidR="00545D1B" w:rsidRPr="00742A04">
        <w:t xml:space="preserve"> </w:t>
      </w:r>
      <w:r w:rsidR="00DC0DB8" w:rsidRPr="00742A04">
        <w:t xml:space="preserve">la </w:t>
      </w:r>
      <w:r w:rsidRPr="00742A04">
        <w:t>igualdad de género</w:t>
      </w:r>
      <w:r w:rsidR="00545D1B" w:rsidRPr="00742A04">
        <w:t xml:space="preserve">, </w:t>
      </w:r>
      <w:r w:rsidR="00230F13" w:rsidRPr="00742A04">
        <w:t>en particular</w:t>
      </w:r>
      <w:r w:rsidR="00545D1B" w:rsidRPr="00742A04">
        <w:t xml:space="preserve"> </w:t>
      </w:r>
      <w:r w:rsidR="00230F13" w:rsidRPr="00742A04">
        <w:t>con miras a</w:t>
      </w:r>
      <w:r w:rsidR="00545D1B" w:rsidRPr="00742A04">
        <w:t xml:space="preserve"> </w:t>
      </w:r>
      <w:r w:rsidR="00C14BFF" w:rsidRPr="00742A04">
        <w:t>promover la pos</w:t>
      </w:r>
      <w:r w:rsidR="00C14BFF" w:rsidRPr="00742A04">
        <w:t>i</w:t>
      </w:r>
      <w:r w:rsidR="00C14BFF" w:rsidRPr="00742A04">
        <w:t xml:space="preserve">ción </w:t>
      </w:r>
      <w:r w:rsidR="00F43124" w:rsidRPr="00742A04">
        <w:t xml:space="preserve">de la </w:t>
      </w:r>
      <w:r w:rsidR="00C14BFF" w:rsidRPr="00742A04">
        <w:t>mujer</w:t>
      </w:r>
      <w:r w:rsidR="00545D1B" w:rsidRPr="00742A04">
        <w:t xml:space="preserve">. </w:t>
      </w:r>
      <w:r w:rsidR="00230F13" w:rsidRPr="00742A04">
        <w:t>La Ley</w:t>
      </w:r>
      <w:r w:rsidR="00545D1B" w:rsidRPr="00742A04">
        <w:t xml:space="preserve"> </w:t>
      </w:r>
      <w:r w:rsidR="00C14BFF" w:rsidRPr="00742A04">
        <w:t>entró en vigor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1979, </w:t>
      </w:r>
      <w:r w:rsidR="00877AA0" w:rsidRPr="00742A04">
        <w:t>y</w:t>
      </w:r>
      <w:r w:rsidR="00545D1B" w:rsidRPr="00742A04">
        <w:t xml:space="preserve"> </w:t>
      </w:r>
      <w:r w:rsidR="00C14BFF" w:rsidRPr="00742A04">
        <w:t>posteriormente fue enmendada</w:t>
      </w:r>
      <w:r w:rsidR="00545D1B" w:rsidRPr="00742A04">
        <w:t xml:space="preserve"> </w:t>
      </w:r>
      <w:r w:rsidR="00C14BFF" w:rsidRPr="00742A04">
        <w:t>varias veces</w:t>
      </w:r>
      <w:r w:rsidR="00A93B9E" w:rsidRPr="00742A04">
        <w:t xml:space="preserve">, la </w:t>
      </w:r>
      <w:r w:rsidR="00C14BFF" w:rsidRPr="00742A04">
        <w:t xml:space="preserve">última </w:t>
      </w:r>
      <w:r w:rsidR="00DC0DB8" w:rsidRPr="00742A04">
        <w:t>de ellas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2005. </w:t>
      </w:r>
      <w:r w:rsidR="00C14BFF" w:rsidRPr="00742A04">
        <w:t>En informes anteriores se brindó más</w:t>
      </w:r>
      <w:r w:rsidR="00545D1B" w:rsidRPr="00742A04">
        <w:t xml:space="preserve"> i</w:t>
      </w:r>
      <w:r w:rsidR="00545D1B" w:rsidRPr="00742A04">
        <w:t>n</w:t>
      </w:r>
      <w:r w:rsidR="00545D1B" w:rsidRPr="00742A04">
        <w:t>forma</w:t>
      </w:r>
      <w:r w:rsidR="00C14BFF" w:rsidRPr="00742A04">
        <w:t>ción</w:t>
      </w:r>
      <w:r w:rsidR="00DC0DB8" w:rsidRPr="00742A04">
        <w:t xml:space="preserve"> acerca </w:t>
      </w:r>
      <w:r w:rsidR="00F43124" w:rsidRPr="00742A04">
        <w:t xml:space="preserve">de la </w:t>
      </w:r>
      <w:r w:rsidRPr="00742A04">
        <w:t>Ley sobre la Igualdad de Género</w:t>
      </w:r>
      <w:r w:rsidR="00545D1B" w:rsidRPr="00742A04">
        <w:t xml:space="preserve">. </w:t>
      </w:r>
      <w:r w:rsidR="00CD2FF0" w:rsidRPr="00742A04">
        <w:t>La información sobre las enmiendas</w:t>
      </w:r>
      <w:r w:rsidR="00545D1B" w:rsidRPr="00742A04">
        <w:t xml:space="preserve"> </w:t>
      </w:r>
      <w:r w:rsidR="00CD2FF0" w:rsidRPr="00742A04">
        <w:t xml:space="preserve">más recientes figura </w:t>
      </w:r>
      <w:r w:rsidR="00CD2FF0" w:rsidRPr="00742A04">
        <w:rPr>
          <w:i/>
        </w:rPr>
        <w:t>infra,</w:t>
      </w:r>
      <w:r w:rsidR="00CD2FF0" w:rsidRPr="00742A04">
        <w:t xml:space="preserve"> en la sección relativa al apartado b) del</w:t>
      </w:r>
      <w:r w:rsidR="00545D1B" w:rsidRPr="00742A04">
        <w:t xml:space="preserve"> </w:t>
      </w:r>
      <w:r w:rsidR="00CD2FF0" w:rsidRPr="00742A04">
        <w:t>a</w:t>
      </w:r>
      <w:r w:rsidR="00814B5D" w:rsidRPr="00742A04">
        <w:t>rtíc</w:t>
      </w:r>
      <w:r w:rsidR="00814B5D" w:rsidRPr="00742A04">
        <w:t>u</w:t>
      </w:r>
      <w:r w:rsidR="00814B5D" w:rsidRPr="00742A04">
        <w:t>lo</w:t>
      </w:r>
      <w:r w:rsidR="00545D1B" w:rsidRPr="00742A04">
        <w:t xml:space="preserve"> 2.</w:t>
      </w:r>
    </w:p>
    <w:p w:rsidR="00BD47D3" w:rsidRPr="00742A04" w:rsidRDefault="00BD47D3" w:rsidP="00BD47D3">
      <w:pPr>
        <w:pStyle w:val="H23"/>
        <w:spacing w:line="120" w:lineRule="exact"/>
        <w:ind w:left="1267"/>
        <w:rPr>
          <w:bCs/>
          <w:sz w:val="10"/>
        </w:rPr>
      </w:pPr>
    </w:p>
    <w:p w:rsidR="00545D1B" w:rsidRPr="004A6192" w:rsidRDefault="00545D1B" w:rsidP="00BD47D3">
      <w:pPr>
        <w:pStyle w:val="H23"/>
        <w:ind w:left="1267"/>
        <w:rPr>
          <w:b w:val="0"/>
          <w:bCs/>
          <w:i/>
        </w:rPr>
      </w:pPr>
      <w:r w:rsidRPr="004A6192">
        <w:rPr>
          <w:b w:val="0"/>
          <w:bCs/>
          <w:i/>
        </w:rPr>
        <w:t>Incorpora</w:t>
      </w:r>
      <w:r w:rsidR="00C14BFF" w:rsidRPr="004A6192">
        <w:rPr>
          <w:b w:val="0"/>
          <w:bCs/>
          <w:i/>
        </w:rPr>
        <w:t xml:space="preserve">ción </w:t>
      </w:r>
      <w:r w:rsidR="00F43124" w:rsidRPr="004A6192">
        <w:rPr>
          <w:b w:val="0"/>
          <w:bCs/>
          <w:i/>
        </w:rPr>
        <w:t xml:space="preserve">de la </w:t>
      </w:r>
      <w:r w:rsidR="00CD2FF0" w:rsidRPr="004A6192">
        <w:rPr>
          <w:b w:val="0"/>
          <w:bCs/>
          <w:i/>
        </w:rPr>
        <w:t>Convención</w:t>
      </w:r>
      <w:r w:rsidR="00EA776F" w:rsidRPr="004A6192">
        <w:rPr>
          <w:b w:val="0"/>
          <w:bCs/>
          <w:i/>
        </w:rPr>
        <w:t xml:space="preserve"> de </w:t>
      </w:r>
      <w:r w:rsidR="00230F13" w:rsidRPr="004A6192">
        <w:rPr>
          <w:b w:val="0"/>
          <w:bCs/>
          <w:i/>
        </w:rPr>
        <w:t>las Naciones Unidas</w:t>
      </w:r>
      <w:r w:rsidR="00462F01">
        <w:rPr>
          <w:b w:val="0"/>
          <w:bCs/>
          <w:i/>
        </w:rPr>
        <w:t xml:space="preserve"> sobre</w:t>
      </w:r>
      <w:r w:rsidR="004A6192">
        <w:rPr>
          <w:b w:val="0"/>
          <w:bCs/>
          <w:i/>
        </w:rPr>
        <w:br/>
      </w:r>
      <w:r w:rsidR="00CD2FF0" w:rsidRPr="004A6192">
        <w:rPr>
          <w:b w:val="0"/>
          <w:bCs/>
          <w:i/>
        </w:rPr>
        <w:t>la</w:t>
      </w:r>
      <w:r w:rsidR="004A6192">
        <w:rPr>
          <w:b w:val="0"/>
          <w:bCs/>
          <w:i/>
        </w:rPr>
        <w:t xml:space="preserve"> eliminación de d</w:t>
      </w:r>
      <w:r w:rsidR="00CE5FA4" w:rsidRPr="004A6192">
        <w:rPr>
          <w:b w:val="0"/>
          <w:bCs/>
          <w:i/>
        </w:rPr>
        <w:t>e todas las formas de discriminación contra</w:t>
      </w:r>
      <w:r w:rsidR="00462F01">
        <w:rPr>
          <w:b w:val="0"/>
          <w:bCs/>
          <w:i/>
        </w:rPr>
        <w:br/>
      </w:r>
      <w:r w:rsidR="00CE5FA4" w:rsidRPr="004A6192">
        <w:rPr>
          <w:b w:val="0"/>
          <w:bCs/>
          <w:i/>
        </w:rPr>
        <w:t>la mujer</w:t>
      </w:r>
      <w:r w:rsidR="004A6192">
        <w:rPr>
          <w:b w:val="0"/>
          <w:bCs/>
          <w:i/>
        </w:rPr>
        <w:t xml:space="preserve"> </w:t>
      </w:r>
      <w:r w:rsidR="00CD2FF0" w:rsidRPr="004A6192">
        <w:rPr>
          <w:b w:val="0"/>
          <w:bCs/>
          <w:i/>
        </w:rPr>
        <w:t>a</w:t>
      </w:r>
      <w:r w:rsidRPr="004A6192">
        <w:rPr>
          <w:b w:val="0"/>
          <w:bCs/>
          <w:i/>
        </w:rPr>
        <w:t xml:space="preserve"> </w:t>
      </w:r>
      <w:r w:rsidR="00A05847" w:rsidRPr="004A6192">
        <w:rPr>
          <w:b w:val="0"/>
          <w:bCs/>
          <w:i/>
        </w:rPr>
        <w:t>la Ley sobre la Igualdad de Género</w:t>
      </w:r>
    </w:p>
    <w:p w:rsidR="00BD47D3" w:rsidRPr="00742A04" w:rsidRDefault="00BD47D3" w:rsidP="00BD47D3">
      <w:pPr>
        <w:pStyle w:val="SingleTxt"/>
        <w:spacing w:after="0" w:line="120" w:lineRule="exact"/>
        <w:ind w:firstLine="360"/>
        <w:rPr>
          <w:sz w:val="10"/>
        </w:rPr>
      </w:pPr>
    </w:p>
    <w:p w:rsidR="00545D1B" w:rsidRPr="00742A04" w:rsidRDefault="00EA26AB" w:rsidP="002A4469">
      <w:pPr>
        <w:pStyle w:val="SingleTxt"/>
        <w:ind w:firstLine="360"/>
      </w:pPr>
      <w:r w:rsidRPr="00742A04">
        <w:t>Noruega</w:t>
      </w:r>
      <w:r w:rsidR="00545D1B" w:rsidRPr="00742A04">
        <w:t xml:space="preserve"> </w:t>
      </w:r>
      <w:r w:rsidR="00355EC3" w:rsidRPr="00742A04">
        <w:t>ratificó la Convención</w:t>
      </w:r>
      <w:r w:rsidR="00EA776F" w:rsidRPr="00742A04">
        <w:t xml:space="preserve"> de </w:t>
      </w:r>
      <w:r w:rsidR="00230F13" w:rsidRPr="00742A04">
        <w:t>las Naciones Unidas</w:t>
      </w:r>
      <w:r w:rsidR="00CE5FA4" w:rsidRPr="00742A04">
        <w:t xml:space="preserve"> sobre la eliminación de todas las formas de discriminación contra la mujer</w:t>
      </w:r>
      <w:r w:rsidR="00545D1B" w:rsidRPr="00742A04">
        <w:t xml:space="preserve"> </w:t>
      </w:r>
      <w:r w:rsidR="00CD2FF0" w:rsidRPr="00742A04">
        <w:t>sin reservas</w:t>
      </w:r>
      <w:r w:rsidR="00C14BFF" w:rsidRPr="00742A04">
        <w:t xml:space="preserve"> </w:t>
      </w:r>
      <w:r w:rsidR="00CD2FF0" w:rsidRPr="00742A04">
        <w:t>el</w:t>
      </w:r>
      <w:r w:rsidR="00545D1B" w:rsidRPr="00742A04">
        <w:t xml:space="preserve"> 21 </w:t>
      </w:r>
      <w:r w:rsidR="00CD2FF0" w:rsidRPr="00742A04">
        <w:t>de mayo de</w:t>
      </w:r>
      <w:r w:rsidR="00545D1B" w:rsidRPr="00742A04">
        <w:t xml:space="preserve"> 1981, </w:t>
      </w:r>
      <w:r w:rsidR="00CD2FF0" w:rsidRPr="00742A04">
        <w:t>y la entrada en vigor se produj</w:t>
      </w:r>
      <w:r w:rsidR="0056679F" w:rsidRPr="00742A04">
        <w:t xml:space="preserve">o el </w:t>
      </w:r>
      <w:r w:rsidR="00545D1B" w:rsidRPr="00742A04">
        <w:t xml:space="preserve">3 </w:t>
      </w:r>
      <w:r w:rsidR="00CD2FF0" w:rsidRPr="00742A04">
        <w:t>de septiembre</w:t>
      </w:r>
      <w:r w:rsidR="00545D1B" w:rsidRPr="00742A04">
        <w:t xml:space="preserve"> </w:t>
      </w:r>
      <w:r w:rsidR="00CD2FF0" w:rsidRPr="00742A04">
        <w:t>del mismo año</w:t>
      </w:r>
      <w:r w:rsidR="00545D1B" w:rsidRPr="00742A04">
        <w:t>.</w:t>
      </w:r>
      <w:r w:rsidR="001167D2" w:rsidRPr="00742A04">
        <w:t xml:space="preserve"> </w:t>
      </w:r>
      <w:r w:rsidR="0073499D" w:rsidRPr="00742A04">
        <w:t>El</w:t>
      </w:r>
      <w:r w:rsidR="001167D2" w:rsidRPr="00742A04">
        <w:t xml:space="preserve"> </w:t>
      </w:r>
      <w:r w:rsidR="00545D1B" w:rsidRPr="00742A04">
        <w:t xml:space="preserve">6 </w:t>
      </w:r>
      <w:r w:rsidR="00CD2FF0" w:rsidRPr="00742A04">
        <w:t xml:space="preserve">de </w:t>
      </w:r>
      <w:r w:rsidR="004A0730" w:rsidRPr="00742A04">
        <w:t>o</w:t>
      </w:r>
      <w:r w:rsidR="004A0730" w:rsidRPr="00742A04">
        <w:t>c</w:t>
      </w:r>
      <w:r w:rsidR="004A0730" w:rsidRPr="00742A04">
        <w:t>tubre de</w:t>
      </w:r>
      <w:r w:rsidR="00545D1B" w:rsidRPr="00742A04">
        <w:t xml:space="preserve"> 1999</w:t>
      </w:r>
      <w:r w:rsidR="00A93B9E" w:rsidRPr="00742A04">
        <w:t xml:space="preserve">, la </w:t>
      </w:r>
      <w:r w:rsidR="00230F13" w:rsidRPr="00742A04">
        <w:t>Asamblea General, en su quincuagésimo cuarto período de sesi</w:t>
      </w:r>
      <w:r w:rsidR="00230F13" w:rsidRPr="00742A04">
        <w:t>o</w:t>
      </w:r>
      <w:r w:rsidR="00230F13" w:rsidRPr="00742A04">
        <w:t>nes,</w:t>
      </w:r>
      <w:r w:rsidR="00545D1B" w:rsidRPr="00742A04">
        <w:t xml:space="preserve"> a</w:t>
      </w:r>
      <w:r w:rsidR="00494EA8" w:rsidRPr="00742A04">
        <w:t>probó</w:t>
      </w:r>
      <w:r w:rsidR="00545D1B" w:rsidRPr="00742A04">
        <w:t xml:space="preserve"> </w:t>
      </w:r>
      <w:r w:rsidR="00494EA8" w:rsidRPr="00742A04">
        <w:t xml:space="preserve">un protocolo facultativo </w:t>
      </w:r>
      <w:r w:rsidR="00F43124" w:rsidRPr="00742A04">
        <w:t xml:space="preserve">de la </w:t>
      </w:r>
      <w:r w:rsidR="00CE5FA4" w:rsidRPr="00742A04">
        <w:t>Convención sobre la eliminación de todas las formas de discriminación contra la mujer</w:t>
      </w:r>
      <w:r w:rsidR="00545D1B" w:rsidRPr="00742A04">
        <w:t xml:space="preserve">, </w:t>
      </w:r>
      <w:r w:rsidR="00EA776F" w:rsidRPr="00742A04">
        <w:t>que fue ratificad</w:t>
      </w:r>
      <w:r w:rsidR="00494EA8" w:rsidRPr="00742A04">
        <w:t>o</w:t>
      </w:r>
      <w:r w:rsidR="00EA776F" w:rsidRPr="00742A04">
        <w:t xml:space="preserve"> por</w:t>
      </w:r>
      <w:r w:rsidR="00545D1B" w:rsidRPr="00742A04">
        <w:t xml:space="preserve"> </w:t>
      </w:r>
      <w:r w:rsidRPr="00742A04">
        <w:t>Noruega</w:t>
      </w:r>
      <w:r w:rsidR="00545D1B" w:rsidRPr="00742A04">
        <w:t xml:space="preserve"> </w:t>
      </w:r>
      <w:r w:rsidR="00EA776F" w:rsidRPr="00742A04">
        <w:t>el</w:t>
      </w:r>
      <w:r w:rsidR="00545D1B" w:rsidRPr="00742A04">
        <w:t xml:space="preserve"> 5 </w:t>
      </w:r>
      <w:r w:rsidR="00EA776F" w:rsidRPr="00742A04">
        <w:t>de marzo de</w:t>
      </w:r>
      <w:r w:rsidR="00545D1B" w:rsidRPr="00742A04">
        <w:t xml:space="preserve"> 2002.</w:t>
      </w:r>
    </w:p>
    <w:p w:rsidR="00545D1B" w:rsidRPr="00742A04" w:rsidRDefault="00CE5FA4" w:rsidP="002A4469">
      <w:pPr>
        <w:pStyle w:val="SingleTxt"/>
        <w:ind w:firstLine="360"/>
      </w:pPr>
      <w:r w:rsidRPr="00742A04">
        <w:t>La Convención sobre la eliminación de todas las formas de discriminación c</w:t>
      </w:r>
      <w:r w:rsidRPr="00742A04">
        <w:t>o</w:t>
      </w:r>
      <w:r w:rsidRPr="00742A04">
        <w:t>n</w:t>
      </w:r>
      <w:r w:rsidR="00B11C93" w:rsidRPr="00742A04">
        <w:softHyphen/>
      </w:r>
      <w:r w:rsidRPr="00742A04">
        <w:t>tra la mujer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94EA8" w:rsidRPr="00742A04">
        <w:t xml:space="preserve">su </w:t>
      </w:r>
      <w:r w:rsidR="00B11C93" w:rsidRPr="00742A04">
        <w:t>Protocolo Facultativo</w:t>
      </w:r>
      <w:r w:rsidR="00545D1B" w:rsidRPr="00742A04">
        <w:t xml:space="preserve"> </w:t>
      </w:r>
      <w:r w:rsidR="00B11C93" w:rsidRPr="00742A04">
        <w:t>fueron incorporados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Ley sobre la Igua</w:t>
      </w:r>
      <w:r w:rsidR="00A05847" w:rsidRPr="00742A04">
        <w:t>l</w:t>
      </w:r>
      <w:r w:rsidR="00A05847" w:rsidRPr="00742A04">
        <w:t>dad de Género</w:t>
      </w:r>
      <w:r w:rsidR="00545D1B" w:rsidRPr="00742A04">
        <w:t xml:space="preserve"> </w:t>
      </w:r>
      <w:r w:rsidR="00614C7D" w:rsidRPr="00742A04">
        <w:t xml:space="preserve">por la </w:t>
      </w:r>
      <w:r w:rsidR="00230F13" w:rsidRPr="00742A04">
        <w:t>Ley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10 </w:t>
      </w:r>
      <w:r w:rsidR="00EA776F" w:rsidRPr="00742A04">
        <w:t>de junio de</w:t>
      </w:r>
      <w:r w:rsidR="00545D1B" w:rsidRPr="00742A04">
        <w:t xml:space="preserve"> 2005. </w:t>
      </w:r>
      <w:r w:rsidR="00EB47EC">
        <w:t xml:space="preserve">La </w:t>
      </w:r>
      <w:r w:rsidR="006137EC" w:rsidRPr="00742A04">
        <w:t>Ombudsman</w:t>
      </w:r>
      <w:r w:rsidR="00BD47D3" w:rsidRPr="00742A04">
        <w:t xml:space="preserve"> </w:t>
      </w:r>
      <w:r w:rsidR="00FC59C5" w:rsidRPr="00742A04">
        <w:t xml:space="preserve">de Promoción </w:t>
      </w:r>
      <w:r w:rsidR="00F43124" w:rsidRPr="00742A04">
        <w:t xml:space="preserve">de la </w:t>
      </w:r>
      <w:r w:rsidR="00FC59C5" w:rsidRPr="00742A04">
        <w:t>Igualdad y Lucha</w:t>
      </w:r>
      <w:r w:rsidR="00BD47D3" w:rsidRPr="00742A04">
        <w:t xml:space="preserve"> contra la Discriminación</w:t>
      </w:r>
      <w:r w:rsidR="00545D1B" w:rsidRPr="00742A04">
        <w:t xml:space="preserve"> </w:t>
      </w:r>
      <w:r w:rsidR="00BD47D3" w:rsidRPr="00742A04">
        <w:t>tiene el cometido de</w:t>
      </w:r>
      <w:r w:rsidR="00545D1B" w:rsidRPr="00742A04">
        <w:t xml:space="preserve"> </w:t>
      </w:r>
      <w:r w:rsidR="00BD47D3" w:rsidRPr="00742A04">
        <w:t>fiscalizar que</w:t>
      </w:r>
      <w:r w:rsidR="00545D1B" w:rsidRPr="00742A04">
        <w:t xml:space="preserve"> </w:t>
      </w:r>
      <w:r w:rsidR="00BD47D3" w:rsidRPr="00742A04">
        <w:t>el derecho y la práctica administrativa de Noruega</w:t>
      </w:r>
      <w:r w:rsidR="00545D1B" w:rsidRPr="00742A04">
        <w:t xml:space="preserve"> </w:t>
      </w:r>
      <w:r w:rsidR="00BD47D3" w:rsidRPr="00742A04">
        <w:t>se ajusten a</w:t>
      </w:r>
      <w:r w:rsidR="00545D1B" w:rsidRPr="00742A04">
        <w:t xml:space="preserve"> </w:t>
      </w:r>
      <w:r w:rsidR="00BD47D3" w:rsidRPr="00742A04">
        <w:t>las obligaciones de N</w:t>
      </w:r>
      <w:r w:rsidR="00BD47D3" w:rsidRPr="00742A04">
        <w:t>o</w:t>
      </w:r>
      <w:r w:rsidR="00BD47D3" w:rsidRPr="00742A04">
        <w:t>ruega</w:t>
      </w:r>
      <w:r w:rsidR="00545D1B" w:rsidRPr="00742A04">
        <w:t xml:space="preserve"> </w:t>
      </w:r>
      <w:r w:rsidR="00BD47D3" w:rsidRPr="00742A04">
        <w:t xml:space="preserve">en virtud </w:t>
      </w:r>
      <w:r w:rsidR="00F43124" w:rsidRPr="00742A04">
        <w:t xml:space="preserve">de la </w:t>
      </w:r>
      <w:r w:rsidR="00CD2FF0" w:rsidRPr="00742A04">
        <w:t>Convención</w:t>
      </w:r>
      <w:r w:rsidR="00C27C42" w:rsidRPr="00742A04">
        <w:t>.</w:t>
      </w:r>
      <w:r w:rsidR="00545D1B" w:rsidRPr="00742A04">
        <w:t xml:space="preserve"> </w:t>
      </w:r>
      <w:r w:rsidR="00BD47D3" w:rsidRPr="00742A04">
        <w:t xml:space="preserve">Cabe poner </w:t>
      </w:r>
      <w:r w:rsidR="00963214" w:rsidRPr="00742A04">
        <w:t>de relieve</w:t>
      </w:r>
      <w:r w:rsidR="00BD47D3" w:rsidRPr="00742A04">
        <w:t xml:space="preserve"> que ello no cambia</w:t>
      </w:r>
      <w:r w:rsidR="00545D1B" w:rsidRPr="00742A04">
        <w:t xml:space="preserve"> </w:t>
      </w:r>
      <w:r w:rsidR="00BD47D3" w:rsidRPr="00742A04">
        <w:t>el hecho de que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8F0C8E" w:rsidRPr="00742A04">
        <w:t>el Gobierno</w:t>
      </w:r>
      <w:r w:rsidR="00545D1B" w:rsidRPr="00742A04">
        <w:t xml:space="preserve">, </w:t>
      </w:r>
      <w:r w:rsidR="00BD47D3" w:rsidRPr="00742A04">
        <w:t>y n</w:t>
      </w:r>
      <w:r w:rsidR="0056679F" w:rsidRPr="00742A04">
        <w:t xml:space="preserve">o </w:t>
      </w:r>
      <w:r w:rsidR="00EB47EC">
        <w:t xml:space="preserve">la </w:t>
      </w:r>
      <w:r w:rsidR="006137EC" w:rsidRPr="00742A04">
        <w:t>Ombudsman</w:t>
      </w:r>
      <w:r w:rsidR="00545D1B" w:rsidRPr="00742A04">
        <w:t xml:space="preserve">, </w:t>
      </w:r>
      <w:r w:rsidR="00BD47D3" w:rsidRPr="00742A04">
        <w:t xml:space="preserve">quien tiene la </w:t>
      </w:r>
      <w:r w:rsidR="0073499D" w:rsidRPr="00742A04">
        <w:t>responsabilidad</w:t>
      </w:r>
      <w:r w:rsidR="00462F01">
        <w:t xml:space="preserve"> general</w:t>
      </w:r>
      <w:r w:rsidR="00BD47D3" w:rsidRPr="00742A04">
        <w:t xml:space="preserve"> de</w:t>
      </w:r>
      <w:r w:rsidR="00545D1B" w:rsidRPr="00742A04">
        <w:t xml:space="preserve"> monitor</w:t>
      </w:r>
      <w:r w:rsidR="00BD47D3" w:rsidRPr="00742A04">
        <w:t>ear</w:t>
      </w:r>
      <w:r w:rsidR="00A30B35" w:rsidRPr="00742A04">
        <w:t xml:space="preserve"> la </w:t>
      </w:r>
      <w:r w:rsidR="004F2F8A" w:rsidRPr="00742A04">
        <w:t>implementación</w:t>
      </w:r>
      <w:r w:rsidR="00C14BFF" w:rsidRPr="00742A04">
        <w:t xml:space="preserve"> </w:t>
      </w:r>
      <w:r w:rsidR="004A0730" w:rsidRPr="00742A04">
        <w:t>de</w:t>
      </w:r>
      <w:r w:rsidR="00462F01">
        <w:t xml:space="preserve"> las convenciones</w:t>
      </w:r>
      <w:r w:rsidR="00545D1B" w:rsidRPr="00742A04">
        <w:t xml:space="preserve"> </w:t>
      </w:r>
      <w:r w:rsidR="00BD47D3" w:rsidRPr="00742A04">
        <w:t>en los planos nacional e intern</w:t>
      </w:r>
      <w:r w:rsidR="00BD47D3" w:rsidRPr="00742A04">
        <w:t>a</w:t>
      </w:r>
      <w:r w:rsidR="00BD47D3" w:rsidRPr="00742A04">
        <w:t>cional</w:t>
      </w:r>
      <w:r w:rsidR="00462F01">
        <w:t>,</w:t>
      </w:r>
      <w:r w:rsidR="00545D1B" w:rsidRPr="00742A04">
        <w:t xml:space="preserve"> </w:t>
      </w:r>
      <w:r w:rsidR="00462F01">
        <w:t>así como</w:t>
      </w:r>
      <w:r w:rsidR="00BD47D3" w:rsidRPr="00742A04">
        <w:t xml:space="preserve"> el deber de</w:t>
      </w:r>
      <w:r w:rsidR="00545D1B" w:rsidRPr="00742A04">
        <w:t xml:space="preserve"> </w:t>
      </w:r>
      <w:r w:rsidR="00BD47D3" w:rsidRPr="00742A04">
        <w:t>presentar informes</w:t>
      </w:r>
      <w:r w:rsidR="00545D1B" w:rsidRPr="00742A04">
        <w:t>.</w:t>
      </w:r>
    </w:p>
    <w:p w:rsidR="00545D1B" w:rsidRPr="00742A04" w:rsidRDefault="0073499D" w:rsidP="002A4469">
      <w:pPr>
        <w:pStyle w:val="SingleTxt"/>
        <w:ind w:firstLine="360"/>
      </w:pPr>
      <w:r w:rsidRPr="00742A04">
        <w:t>Antes de la resolución aprobada por el Storting (el parlamento de Noruega) rel</w:t>
      </w:r>
      <w:r w:rsidRPr="00742A04">
        <w:t>a</w:t>
      </w:r>
      <w:r w:rsidRPr="00742A04">
        <w:t xml:space="preserve">tiva </w:t>
      </w:r>
      <w:r w:rsidR="00A80F26">
        <w:t>a la</w:t>
      </w:r>
      <w:r w:rsidRPr="00742A04">
        <w:t xml:space="preserve"> incorporación de la Convención </w:t>
      </w:r>
      <w:r w:rsidR="00A80F26">
        <w:t>a la</w:t>
      </w:r>
      <w:r w:rsidRPr="00742A04">
        <w:t xml:space="preserve"> Ley sobre la Igualdad de Género, hubo un prolongado debate público sobre la forma adecuada de incorporar las convenci</w:t>
      </w:r>
      <w:r w:rsidRPr="00742A04">
        <w:t>o</w:t>
      </w:r>
      <w:r w:rsidRPr="00742A04">
        <w:t>nes de derechos humanos al derecho de Noruega. El</w:t>
      </w:r>
      <w:r w:rsidR="001167D2" w:rsidRPr="00742A04">
        <w:t xml:space="preserve"> </w:t>
      </w:r>
      <w:r w:rsidR="00BD47D3" w:rsidRPr="00742A04">
        <w:t>punto de partida</w:t>
      </w:r>
      <w:r w:rsidR="00545D1B" w:rsidRPr="00742A04">
        <w:t xml:space="preserve"> </w:t>
      </w:r>
      <w:r w:rsidR="00BD47D3" w:rsidRPr="00742A04">
        <w:t>del</w:t>
      </w:r>
      <w:r w:rsidR="00545D1B" w:rsidRPr="00742A04">
        <w:t xml:space="preserve"> debate </w:t>
      </w:r>
      <w:r w:rsidR="00BD47D3" w:rsidRPr="00742A04">
        <w:t>fue</w:t>
      </w:r>
      <w:r w:rsidR="00545D1B" w:rsidRPr="00742A04">
        <w:t xml:space="preserve"> </w:t>
      </w:r>
      <w:r w:rsidR="00BD47D3" w:rsidRPr="00742A04">
        <w:t>el hecho de que</w:t>
      </w:r>
      <w:r w:rsidR="00545D1B" w:rsidRPr="00742A04">
        <w:t xml:space="preserve"> </w:t>
      </w:r>
      <w:r w:rsidR="00BD47D3" w:rsidRPr="00742A04">
        <w:t>los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E9353D" w:rsidRPr="00742A04">
        <w:t>instrumentos generales de derechos humanos</w:t>
      </w:r>
      <w:r w:rsidR="00545D1B" w:rsidRPr="00742A04">
        <w:t xml:space="preserve"> </w:t>
      </w:r>
      <w:r w:rsidR="00EA776F" w:rsidRPr="00742A04">
        <w:t>ratif</w:t>
      </w:r>
      <w:r w:rsidR="00EA776F" w:rsidRPr="00742A04">
        <w:t>i</w:t>
      </w:r>
      <w:r w:rsidR="00EA776F" w:rsidRPr="00742A04">
        <w:t>cados por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– </w:t>
      </w:r>
      <w:r w:rsidR="00E9353D" w:rsidRPr="00742A04">
        <w:t>el Convenio Europeo de Derechos Humanos</w:t>
      </w:r>
      <w:r w:rsidR="00545D1B" w:rsidRPr="00742A04">
        <w:t xml:space="preserve">, </w:t>
      </w:r>
      <w:r w:rsidR="00E9353D" w:rsidRPr="00742A04">
        <w:t>el Pacto Internacional de Derechos Económicos, Sociales y Culturales</w:t>
      </w:r>
      <w:r w:rsidR="00545D1B" w:rsidRPr="00742A04">
        <w:t xml:space="preserve"> </w:t>
      </w:r>
      <w:r w:rsidR="00BB4DB1" w:rsidRPr="00742A04">
        <w:t xml:space="preserve">y el </w:t>
      </w:r>
      <w:r w:rsidR="007D66F2" w:rsidRPr="00742A04">
        <w:t>Pacto Internacional de Derechos Civiles y Políticos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9353D" w:rsidRPr="00742A04">
        <w:t>los Protocolos</w:t>
      </w:r>
      <w:r w:rsidR="00545D1B" w:rsidRPr="00742A04">
        <w:t xml:space="preserve"> </w:t>
      </w:r>
      <w:r w:rsidR="007D66F2" w:rsidRPr="00742A04">
        <w:t>de</w:t>
      </w:r>
      <w:r w:rsidR="00E9353D" w:rsidRPr="00742A04">
        <w:t xml:space="preserve"> dichas convenciones</w:t>
      </w:r>
      <w:r w:rsidR="00545D1B" w:rsidRPr="00742A04">
        <w:t xml:space="preserve"> – </w:t>
      </w:r>
      <w:r w:rsidR="00B11C93" w:rsidRPr="00742A04">
        <w:t>fueron i</w:t>
      </w:r>
      <w:r w:rsidR="00B11C93" w:rsidRPr="00742A04">
        <w:t>n</w:t>
      </w:r>
      <w:r w:rsidR="00B11C93" w:rsidRPr="00742A04">
        <w:t>corporados</w:t>
      </w:r>
      <w:r w:rsidR="00545D1B" w:rsidRPr="00742A04">
        <w:t xml:space="preserve"> </w:t>
      </w:r>
      <w:r w:rsidR="00BD47D3" w:rsidRPr="00742A04">
        <w:t>al derecho de Noruega</w:t>
      </w:r>
      <w:r w:rsidR="00545D1B" w:rsidRPr="00742A04">
        <w:t xml:space="preserve"> </w:t>
      </w:r>
      <w:r w:rsidR="007D66F2" w:rsidRPr="00742A04">
        <w:t>mediante</w:t>
      </w:r>
      <w:r w:rsidR="00545D1B" w:rsidRPr="00742A04">
        <w:t xml:space="preserve"> </w:t>
      </w:r>
      <w:r w:rsidR="00E9353D" w:rsidRPr="00742A04">
        <w:t>la Ley de Derechos Humanos de 1999</w:t>
      </w:r>
      <w:r w:rsidR="00545D1B" w:rsidRPr="00742A04">
        <w:t xml:space="preserve">. </w:t>
      </w:r>
      <w:r w:rsidRPr="00742A04">
        <w:t>En 2003, la Convención de las Naciones Unidas sobre los Derechos del Niño</w:t>
      </w:r>
      <w:r>
        <w:t xml:space="preserve"> fue incorpor</w:t>
      </w:r>
      <w:r w:rsidRPr="00742A04">
        <w:t xml:space="preserve">ada por conducto de la misma ley. </w:t>
      </w:r>
      <w:r w:rsidR="007D66F2" w:rsidRPr="00742A04">
        <w:t>La</w:t>
      </w:r>
      <w:r w:rsidR="00545D1B" w:rsidRPr="00742A04">
        <w:t xml:space="preserve"> </w:t>
      </w:r>
      <w:r w:rsidR="007D66F2" w:rsidRPr="00742A04">
        <w:t>fuerza e</w:t>
      </w:r>
      <w:r w:rsidR="00545D1B" w:rsidRPr="00742A04">
        <w:t xml:space="preserve">special </w:t>
      </w:r>
      <w:r w:rsidR="007D66F2" w:rsidRPr="00742A04">
        <w:t xml:space="preserve">conferida </w:t>
      </w:r>
      <w:r w:rsidR="00614C7D" w:rsidRPr="00742A04">
        <w:t xml:space="preserve">por la </w:t>
      </w:r>
      <w:r w:rsidR="00545D1B" w:rsidRPr="00742A04">
        <w:t>incorpora</w:t>
      </w:r>
      <w:r w:rsidR="007D66F2" w:rsidRPr="00742A04">
        <w:t xml:space="preserve">ción </w:t>
      </w:r>
      <w:r w:rsidR="00F43124" w:rsidRPr="00742A04">
        <w:t xml:space="preserve">de la </w:t>
      </w:r>
      <w:r w:rsidR="007D66F2" w:rsidRPr="00742A04">
        <w:t>convención</w:t>
      </w:r>
      <w:r w:rsidR="00C14BFF" w:rsidRPr="00742A04">
        <w:t xml:space="preserve"> </w:t>
      </w:r>
      <w:r w:rsidR="007D66F2" w:rsidRPr="00742A04">
        <w:t>mediante</w:t>
      </w:r>
      <w:r w:rsidR="00545D1B" w:rsidRPr="00742A04">
        <w:t xml:space="preserve"> </w:t>
      </w:r>
      <w:r w:rsidR="00EA776F" w:rsidRPr="00742A04">
        <w:t>la Ley sobre Derechos Humanos</w:t>
      </w:r>
      <w:r w:rsidR="00545D1B" w:rsidRPr="00742A04">
        <w:t xml:space="preserve"> </w:t>
      </w:r>
      <w:r w:rsidR="007D66F2" w:rsidRPr="00742A04">
        <w:t xml:space="preserve">radica en </w:t>
      </w:r>
      <w:r w:rsidR="00BD47D3" w:rsidRPr="00742A04">
        <w:t>que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EA776F" w:rsidRPr="00742A04">
        <w:t>Ley s</w:t>
      </w:r>
      <w:r w:rsidR="00EA776F" w:rsidRPr="00742A04">
        <w:t>o</w:t>
      </w:r>
      <w:r w:rsidR="00EA776F" w:rsidRPr="00742A04">
        <w:t>bre Derechos Humanos</w:t>
      </w:r>
      <w:r w:rsidR="00545D1B" w:rsidRPr="00742A04">
        <w:t xml:space="preserve"> </w:t>
      </w:r>
      <w:r w:rsidR="007D66F2" w:rsidRPr="00742A04">
        <w:t xml:space="preserve">se le ha otorgado precedencia sobre el resto </w:t>
      </w:r>
      <w:r w:rsidR="00F43124" w:rsidRPr="00742A04">
        <w:t xml:space="preserve">de la </w:t>
      </w:r>
      <w:r w:rsidR="007D66F2" w:rsidRPr="00742A04">
        <w:t>legislación de Noruega</w:t>
      </w:r>
      <w:r w:rsidR="00C27C42" w:rsidRPr="00742A04">
        <w:t>.</w:t>
      </w:r>
      <w:r w:rsidR="00545D1B" w:rsidRPr="00742A04">
        <w:t xml:space="preserve"> </w:t>
      </w:r>
      <w:r w:rsidRPr="00742A04">
        <w:t xml:space="preserve">Así pues, en caso de conflicto entre las convenciones incorporadas </w:t>
      </w:r>
      <w:r>
        <w:t>m</w:t>
      </w:r>
      <w:r>
        <w:t>e</w:t>
      </w:r>
      <w:r>
        <w:t xml:space="preserve">diante </w:t>
      </w:r>
      <w:r w:rsidR="00A80F26">
        <w:t>la</w:t>
      </w:r>
      <w:r w:rsidRPr="00742A04">
        <w:t xml:space="preserve"> Ley sobre Derechos Humanos y otras partes de la legislación de Noruega, las convenciones incorporadas</w:t>
      </w:r>
      <w:r>
        <w:t xml:space="preserve"> mediante</w:t>
      </w:r>
      <w:r w:rsidRPr="00742A04">
        <w:t xml:space="preserve"> </w:t>
      </w:r>
      <w:r w:rsidR="00A80F26">
        <w:t>la</w:t>
      </w:r>
      <w:r w:rsidRPr="00742A04">
        <w:t xml:space="preserve"> Ley sobre Derechos Humanos tendrán precedencia sobre las demás leyes de Noruega. </w:t>
      </w:r>
      <w:r w:rsidR="00FF575F" w:rsidRPr="00742A04">
        <w:t>Dicha</w:t>
      </w:r>
      <w:r w:rsidR="00BD47D3" w:rsidRPr="00742A04">
        <w:t>s convenciones</w:t>
      </w:r>
      <w:r w:rsidR="00545D1B" w:rsidRPr="00742A04">
        <w:t xml:space="preserve"> </w:t>
      </w:r>
      <w:r w:rsidR="00FF575F" w:rsidRPr="00742A04">
        <w:t>contienen v</w:t>
      </w:r>
      <w:r w:rsidR="00FF575F" w:rsidRPr="00742A04">
        <w:t>a</w:t>
      </w:r>
      <w:r w:rsidR="00FF575F" w:rsidRPr="00742A04">
        <w:t>rios artículos</w:t>
      </w:r>
      <w:r w:rsidR="00545D1B" w:rsidRPr="00742A04">
        <w:t xml:space="preserve"> </w:t>
      </w:r>
      <w:r w:rsidR="00FF575F" w:rsidRPr="00742A04">
        <w:t>que prohíben</w:t>
      </w:r>
      <w:r w:rsidR="00545D1B" w:rsidRPr="00742A04">
        <w:t xml:space="preserve"> </w:t>
      </w:r>
      <w:r w:rsidR="00FF575F" w:rsidRPr="00742A04">
        <w:t>la discriminación por motivos de género</w:t>
      </w:r>
      <w:r w:rsidR="00545D1B" w:rsidRPr="00742A04">
        <w:t xml:space="preserve">. </w:t>
      </w:r>
      <w:r w:rsidR="00FF575F" w:rsidRPr="00742A04">
        <w:t>Debe menci</w:t>
      </w:r>
      <w:r w:rsidR="00FF575F" w:rsidRPr="00742A04">
        <w:t>o</w:t>
      </w:r>
      <w:r w:rsidR="00FF575F" w:rsidRPr="00742A04">
        <w:t>narse, en p</w:t>
      </w:r>
      <w:r w:rsidR="00545D1B" w:rsidRPr="00742A04">
        <w:t>articular</w:t>
      </w:r>
      <w:r w:rsidR="00FF575F" w:rsidRPr="00742A04">
        <w:t>, el artículo</w:t>
      </w:r>
      <w:r w:rsidR="00545D1B" w:rsidRPr="00742A04">
        <w:t xml:space="preserve"> 26</w:t>
      </w:r>
      <w:r w:rsidR="00FF575F" w:rsidRPr="00742A04">
        <w:t xml:space="preserve"> del </w:t>
      </w:r>
      <w:r w:rsidR="007D66F2" w:rsidRPr="00742A04">
        <w:t>Pacto Internacional de Derechos Civiles y P</w:t>
      </w:r>
      <w:r w:rsidR="007D66F2" w:rsidRPr="00742A04">
        <w:t>o</w:t>
      </w:r>
      <w:r w:rsidR="007D66F2" w:rsidRPr="00742A04">
        <w:t>líticos</w:t>
      </w:r>
      <w:r w:rsidR="00FF575F" w:rsidRPr="00742A04">
        <w:t>,</w:t>
      </w:r>
      <w:r w:rsidR="00545D1B" w:rsidRPr="00742A04">
        <w:t xml:space="preserve"> </w:t>
      </w:r>
      <w:r w:rsidR="00FF575F" w:rsidRPr="00742A04">
        <w:t>que afirma que</w:t>
      </w:r>
      <w:r w:rsidR="00545D1B" w:rsidRPr="00742A04">
        <w:t xml:space="preserve"> </w:t>
      </w:r>
      <w:r w:rsidR="00CB0483" w:rsidRPr="00742A04">
        <w:t xml:space="preserve">todas las personas son iguales ante la ley y tienen derecho sin discriminación a igual protección </w:t>
      </w:r>
      <w:r w:rsidR="00F43124" w:rsidRPr="00742A04">
        <w:t xml:space="preserve">de la </w:t>
      </w:r>
      <w:r w:rsidR="00CB0483" w:rsidRPr="00742A04">
        <w:t>ley. Este</w:t>
      </w:r>
      <w:r w:rsidR="00FF575F" w:rsidRPr="00742A04">
        <w:t xml:space="preserve"> artículo</w:t>
      </w:r>
      <w:r w:rsidR="00545D1B" w:rsidRPr="00742A04">
        <w:t xml:space="preserve"> </w:t>
      </w:r>
      <w:r w:rsidR="00CB0483" w:rsidRPr="00742A04">
        <w:t>se ha interpretado en el sentido de que</w:t>
      </w:r>
      <w:r w:rsidR="00545D1B" w:rsidRPr="00742A04">
        <w:t xml:space="preserve"> </w:t>
      </w:r>
      <w:r w:rsidR="00CB0483" w:rsidRPr="00742A04">
        <w:t>abarca a todas las esferas sujetas a reglamentación</w:t>
      </w:r>
      <w:r w:rsidR="00545D1B" w:rsidRPr="00742A04">
        <w:t xml:space="preserve">, </w:t>
      </w:r>
      <w:r w:rsidR="00CB0483" w:rsidRPr="00742A04">
        <w:t>y no sólo</w:t>
      </w:r>
      <w:r w:rsidR="00462F01">
        <w:t xml:space="preserve"> a</w:t>
      </w:r>
      <w:r w:rsidR="00CB0483" w:rsidRPr="00742A04">
        <w:t xml:space="preserve"> las que están comprendidas dentro </w:t>
      </w:r>
      <w:r w:rsidR="00F43124" w:rsidRPr="00742A04">
        <w:t xml:space="preserve">de la </w:t>
      </w:r>
      <w:r w:rsidR="00CB0483" w:rsidRPr="00742A04">
        <w:t>convención</w:t>
      </w:r>
      <w:r w:rsidR="00545D1B" w:rsidRPr="00742A04">
        <w:t xml:space="preserve">, </w:t>
      </w:r>
      <w:r w:rsidR="00CB0483" w:rsidRPr="00742A04">
        <w:t>lo cual significa que exige a</w:t>
      </w:r>
      <w:r w:rsidR="00545D1B" w:rsidRPr="00742A04">
        <w:t xml:space="preserve"> </w:t>
      </w:r>
      <w:r w:rsidR="00CB0483" w:rsidRPr="00742A04">
        <w:t>los Estados</w:t>
      </w:r>
      <w:r w:rsidR="00545D1B" w:rsidRPr="00742A04">
        <w:t xml:space="preserve"> </w:t>
      </w:r>
      <w:r w:rsidR="00CB0483" w:rsidRPr="00742A04">
        <w:t xml:space="preserve">Partes en </w:t>
      </w:r>
      <w:r w:rsidR="00CD2FF0" w:rsidRPr="00742A04">
        <w:t>la Convención</w:t>
      </w:r>
      <w:r w:rsidR="00C14BFF" w:rsidRPr="00742A04">
        <w:t xml:space="preserve"> </w:t>
      </w:r>
      <w:r w:rsidR="00CB0483" w:rsidRPr="00742A04">
        <w:t>eliminar</w:t>
      </w:r>
      <w:r w:rsidR="00545D1B" w:rsidRPr="00742A04">
        <w:t xml:space="preserve"> </w:t>
      </w:r>
      <w:r w:rsidR="00FF575F" w:rsidRPr="00742A04">
        <w:t>la discriminación por motivos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B0483" w:rsidRPr="00742A04">
        <w:t>toda la legislación</w:t>
      </w:r>
      <w:r w:rsidR="00C27C42" w:rsidRPr="00742A04">
        <w:t>.</w:t>
      </w:r>
      <w:r w:rsidR="00545D1B" w:rsidRPr="00742A04">
        <w:t xml:space="preserve"> </w:t>
      </w:r>
      <w:r w:rsidR="00CB0483" w:rsidRPr="00742A04">
        <w:t>Sin embargo</w:t>
      </w:r>
      <w:r w:rsidR="00545D1B" w:rsidRPr="00742A04">
        <w:t xml:space="preserve">, </w:t>
      </w:r>
      <w:r w:rsidR="00230F13" w:rsidRPr="00742A04">
        <w:t>el tratamiento diferencial positivo</w:t>
      </w:r>
      <w:r w:rsidR="00545D1B" w:rsidRPr="00742A04">
        <w:t xml:space="preserve"> </w:t>
      </w:r>
      <w:r w:rsidR="00CB0483" w:rsidRPr="00742A04">
        <w:t>está permit</w:t>
      </w:r>
      <w:r w:rsidR="00CB0483" w:rsidRPr="00742A04">
        <w:t>i</w:t>
      </w:r>
      <w:r w:rsidR="00CB0483" w:rsidRPr="00742A04">
        <w:t>do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B0483" w:rsidRPr="00742A04">
        <w:t>debe hacerse una distinción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CB0483" w:rsidRPr="00742A04">
        <w:t>discriminación justa e injusta</w:t>
      </w:r>
      <w:r w:rsidR="00545D1B" w:rsidRPr="00742A04">
        <w:t xml:space="preserve">. </w:t>
      </w:r>
      <w:r w:rsidR="00FF575F" w:rsidRPr="00742A04">
        <w:t xml:space="preserve">También </w:t>
      </w:r>
      <w:r w:rsidR="003A355B" w:rsidRPr="00742A04">
        <w:t>pu</w:t>
      </w:r>
      <w:r w:rsidR="003A355B" w:rsidRPr="00742A04">
        <w:t>e</w:t>
      </w:r>
      <w:r w:rsidR="003A355B" w:rsidRPr="00742A04">
        <w:t>de</w:t>
      </w:r>
      <w:r w:rsidR="00FF575F" w:rsidRPr="00742A04">
        <w:t xml:space="preserve"> hacerse r</w:t>
      </w:r>
      <w:r w:rsidR="00545D1B" w:rsidRPr="00742A04">
        <w:t>efer</w:t>
      </w:r>
      <w:r w:rsidR="00FF575F" w:rsidRPr="00742A04">
        <w:t xml:space="preserve">encia </w:t>
      </w:r>
      <w:r w:rsidR="00CB0483" w:rsidRPr="00742A04">
        <w:t xml:space="preserve">al </w:t>
      </w:r>
      <w:r w:rsidR="00FF575F" w:rsidRPr="00742A04">
        <w:t>artículo</w:t>
      </w:r>
      <w:r w:rsidR="00545D1B" w:rsidRPr="00742A04">
        <w:t xml:space="preserve"> 14 </w:t>
      </w:r>
      <w:r w:rsidR="00CB0483" w:rsidRPr="00742A04">
        <w:t>del Convenio</w:t>
      </w:r>
      <w:r w:rsidR="00BD47D3" w:rsidRPr="00742A04">
        <w:t xml:space="preserve"> Europeo de Derechos Humanos</w:t>
      </w:r>
      <w:r w:rsidR="00545D1B" w:rsidRPr="00742A04">
        <w:t>,</w:t>
      </w:r>
      <w:r w:rsidR="00FF575F" w:rsidRPr="00742A04">
        <w:t xml:space="preserve"> </w:t>
      </w:r>
      <w:r w:rsidR="00CB0483" w:rsidRPr="00742A04">
        <w:t xml:space="preserve">el </w:t>
      </w:r>
      <w:r w:rsidR="00FF575F" w:rsidRPr="00742A04">
        <w:t>artículo</w:t>
      </w:r>
      <w:r w:rsidR="00545D1B" w:rsidRPr="00742A04">
        <w:t xml:space="preserve"> 3 </w:t>
      </w:r>
      <w:r w:rsidR="00CB0483" w:rsidRPr="00742A04">
        <w:t>del Pacto</w:t>
      </w:r>
      <w:r w:rsidR="00E9353D" w:rsidRPr="00742A04">
        <w:t xml:space="preserve"> I</w:t>
      </w:r>
      <w:r w:rsidR="00E9353D" w:rsidRPr="00742A04">
        <w:t>n</w:t>
      </w:r>
      <w:r w:rsidR="00E9353D" w:rsidRPr="00742A04">
        <w:t>ternacional de Derechos Económicos, Sociales y Culturales</w:t>
      </w:r>
      <w:r w:rsidR="00545D1B" w:rsidRPr="00742A04">
        <w:t xml:space="preserve"> </w:t>
      </w:r>
      <w:r w:rsidR="00BB4DB1" w:rsidRPr="00742A04">
        <w:t xml:space="preserve">y el </w:t>
      </w:r>
      <w:r w:rsidR="00FF575F" w:rsidRPr="00742A04">
        <w:t>artículo</w:t>
      </w:r>
      <w:r w:rsidR="00545D1B" w:rsidRPr="00742A04">
        <w:t xml:space="preserve"> 3 </w:t>
      </w:r>
      <w:r w:rsidR="00CB0483" w:rsidRPr="00742A04">
        <w:t>del Pacto</w:t>
      </w:r>
      <w:r w:rsidR="00E9353D" w:rsidRPr="00742A04">
        <w:t xml:space="preserve"> Internacional de Derechos Civiles y Políticos</w:t>
      </w:r>
      <w:r w:rsidR="00545D1B" w:rsidRPr="00742A04">
        <w:t xml:space="preserve">, </w:t>
      </w:r>
      <w:r w:rsidR="00CB0483" w:rsidRPr="00742A04">
        <w:t xml:space="preserve">en virtud </w:t>
      </w:r>
      <w:r w:rsidR="00C076F2" w:rsidRPr="00742A04">
        <w:t xml:space="preserve">de los </w:t>
      </w:r>
      <w:r w:rsidR="00CB0483" w:rsidRPr="00742A04">
        <w:t>cuales</w:t>
      </w:r>
      <w:r w:rsidR="00545D1B" w:rsidRPr="00742A04">
        <w:t xml:space="preserve"> </w:t>
      </w:r>
      <w:r w:rsidR="00CB0483" w:rsidRPr="00742A04">
        <w:t>los Estados</w:t>
      </w:r>
      <w:r w:rsidR="00545D1B" w:rsidRPr="00742A04">
        <w:t xml:space="preserve"> </w:t>
      </w:r>
      <w:r w:rsidR="00CB0483" w:rsidRPr="00742A04">
        <w:t>Partes se comprometen a hacer efectivos los derechos enunciados en</w:t>
      </w:r>
      <w:r w:rsidR="00545D1B" w:rsidRPr="00742A04">
        <w:t xml:space="preserve"> </w:t>
      </w:r>
      <w:r w:rsidR="00CB0483" w:rsidRPr="00742A04">
        <w:t>dichas</w:t>
      </w:r>
      <w:r w:rsidR="00BD47D3" w:rsidRPr="00742A04">
        <w:t xml:space="preserve"> conve</w:t>
      </w:r>
      <w:r w:rsidR="00BD47D3" w:rsidRPr="00742A04">
        <w:t>n</w:t>
      </w:r>
      <w:r w:rsidR="00BD47D3" w:rsidRPr="00742A04">
        <w:t>ciones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230F13" w:rsidRPr="00742A04">
        <w:t>por motivos de género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980475" w:rsidRPr="00742A04">
        <w:t>la medida en que las</w:t>
      </w:r>
      <w:r w:rsidR="00545D1B" w:rsidRPr="00742A04">
        <w:t xml:space="preserve"> </w:t>
      </w:r>
      <w:r w:rsidR="003A355B" w:rsidRPr="00742A04">
        <w:t>disposiciones legislativas de Noruega</w:t>
      </w:r>
      <w:r w:rsidR="00545D1B" w:rsidRPr="00742A04">
        <w:t xml:space="preserve"> </w:t>
      </w:r>
      <w:r w:rsidR="00980475" w:rsidRPr="00742A04">
        <w:t xml:space="preserve">entren en </w:t>
      </w:r>
      <w:r w:rsidR="007D66F2" w:rsidRPr="00742A04">
        <w:t>conflicto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980475" w:rsidRPr="00742A04">
        <w:t xml:space="preserve">las </w:t>
      </w:r>
      <w:r w:rsidRPr="00742A04">
        <w:t>disposici</w:t>
      </w:r>
      <w:r w:rsidRPr="00742A04">
        <w:t>o</w:t>
      </w:r>
      <w:r w:rsidRPr="00742A04">
        <w:t>nes</w:t>
      </w:r>
      <w:r w:rsidR="00B2334F" w:rsidRPr="00742A04">
        <w:t xml:space="preserve"> menciona</w:t>
      </w:r>
      <w:r w:rsidR="00462F01">
        <w:t>das</w:t>
      </w:r>
      <w:r w:rsidR="00545D1B" w:rsidRPr="00742A04">
        <w:t xml:space="preserve"> </w:t>
      </w:r>
      <w:r w:rsidR="00980475" w:rsidRPr="00742A04">
        <w:t>u otras</w:t>
      </w:r>
      <w:r w:rsidR="00545D1B" w:rsidRPr="00742A04">
        <w:t xml:space="preserve"> </w:t>
      </w:r>
      <w:r w:rsidR="00980475" w:rsidRPr="00742A04">
        <w:t>disposiciones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80475" w:rsidRPr="00742A04">
        <w:t>esos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980475" w:rsidRPr="00742A04">
        <w:t>tratados</w:t>
      </w:r>
      <w:r w:rsidR="00545D1B" w:rsidRPr="00742A04">
        <w:t xml:space="preserve">, </w:t>
      </w:r>
      <w:r w:rsidR="003A355B" w:rsidRPr="00742A04">
        <w:t>las disposiciones</w:t>
      </w:r>
      <w:r w:rsidR="00545D1B" w:rsidRPr="00742A04">
        <w:t xml:space="preserve"> </w:t>
      </w:r>
      <w:r w:rsidR="00F43124" w:rsidRPr="00742A04">
        <w:t xml:space="preserve">de la </w:t>
      </w:r>
      <w:r w:rsidR="00CD2FF0" w:rsidRPr="00742A04">
        <w:t>Convención</w:t>
      </w:r>
      <w:r w:rsidR="00C14BFF" w:rsidRPr="00742A04">
        <w:t xml:space="preserve"> </w:t>
      </w:r>
      <w:r w:rsidR="00980475" w:rsidRPr="00742A04">
        <w:t>tendrán</w:t>
      </w:r>
      <w:r w:rsidR="00545D1B" w:rsidRPr="00742A04">
        <w:t xml:space="preserve"> </w:t>
      </w:r>
      <w:r w:rsidR="00980475" w:rsidRPr="00742A04">
        <w:t>necesariamente</w:t>
      </w:r>
      <w:r w:rsidR="00545D1B" w:rsidRPr="00742A04">
        <w:t xml:space="preserve"> </w:t>
      </w:r>
      <w:r w:rsidR="007D66F2" w:rsidRPr="00742A04">
        <w:t>precedencia</w:t>
      </w:r>
      <w:r w:rsidR="00545D1B" w:rsidRPr="00742A04">
        <w:t xml:space="preserve"> </w:t>
      </w:r>
      <w:r w:rsidR="00980475" w:rsidRPr="00742A04">
        <w:t>sobre</w:t>
      </w:r>
      <w:r w:rsidR="00545D1B" w:rsidRPr="00742A04">
        <w:t xml:space="preserve"> </w:t>
      </w:r>
      <w:r w:rsidR="003A355B" w:rsidRPr="00742A04">
        <w:t>las disposiciones legislativas de N</w:t>
      </w:r>
      <w:r w:rsidR="003A355B" w:rsidRPr="00742A04">
        <w:t>o</w:t>
      </w:r>
      <w:r w:rsidR="003A355B" w:rsidRPr="00742A04">
        <w:t>ruega</w:t>
      </w:r>
      <w:r w:rsidR="00545D1B" w:rsidRPr="00742A04">
        <w:t>.</w:t>
      </w:r>
    </w:p>
    <w:p w:rsidR="002A4469" w:rsidRPr="00742A04" w:rsidRDefault="003C25BF" w:rsidP="002A4469">
      <w:pPr>
        <w:pStyle w:val="SingleTxt"/>
        <w:ind w:firstLine="360"/>
      </w:pPr>
      <w:r w:rsidRPr="00742A04">
        <w:t>Cuand</w:t>
      </w:r>
      <w:r w:rsidR="0056679F" w:rsidRPr="00742A04">
        <w:t xml:space="preserve">o el </w:t>
      </w:r>
      <w:r w:rsidR="008F0C8E" w:rsidRPr="00742A04">
        <w:t>Gobierno</w:t>
      </w:r>
      <w:r w:rsidR="00545D1B" w:rsidRPr="00742A04">
        <w:t xml:space="preserve"> </w:t>
      </w:r>
      <w:r w:rsidRPr="00742A04">
        <w:t>circuló</w:t>
      </w:r>
      <w:r w:rsidR="00545D1B" w:rsidRPr="00742A04">
        <w:t xml:space="preserve"> </w:t>
      </w:r>
      <w:r w:rsidRPr="00742A04">
        <w:t>ampliamente una propuesta de</w:t>
      </w:r>
      <w:r w:rsidR="00545D1B" w:rsidRPr="00742A04">
        <w:t xml:space="preserve"> incorpora</w:t>
      </w:r>
      <w:r w:rsidR="00C14BFF" w:rsidRPr="00742A04">
        <w:t xml:space="preserve">ción </w:t>
      </w:r>
      <w:r w:rsidR="00F43124" w:rsidRPr="00742A04">
        <w:t xml:space="preserve">de la </w:t>
      </w:r>
      <w:r w:rsidR="00CD2FF0" w:rsidRPr="00742A04">
        <w:t>Convención</w:t>
      </w:r>
      <w:r w:rsidR="00C14BFF" w:rsidRPr="00742A04">
        <w:t xml:space="preserve"> </w:t>
      </w:r>
      <w:r w:rsidRPr="00742A04">
        <w:t>para que se formularan observaciones generales de carácter consultivo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2003, </w:t>
      </w:r>
      <w:r w:rsidR="0030626A" w:rsidRPr="00742A04">
        <w:t>los organismos consultivos</w:t>
      </w:r>
      <w:r w:rsidR="00545D1B" w:rsidRPr="00742A04">
        <w:t xml:space="preserve"> </w:t>
      </w:r>
      <w:r w:rsidRPr="00742A04">
        <w:t>casi</w:t>
      </w:r>
      <w:r w:rsidR="00545D1B" w:rsidRPr="00742A04">
        <w:t xml:space="preserve"> </w:t>
      </w:r>
      <w:r w:rsidRPr="00742A04">
        <w:t>unánimemente</w:t>
      </w:r>
      <w:r w:rsidR="00545D1B" w:rsidRPr="00742A04">
        <w:t xml:space="preserve"> </w:t>
      </w:r>
      <w:r w:rsidRPr="00742A04">
        <w:t>expresaron</w:t>
      </w:r>
      <w:r w:rsidR="00545D1B" w:rsidRPr="00742A04">
        <w:t xml:space="preserve"> </w:t>
      </w:r>
      <w:r w:rsidRPr="00742A04">
        <w:t>la opinión</w:t>
      </w:r>
      <w:r w:rsidR="00545D1B" w:rsidRPr="00742A04">
        <w:t xml:space="preserve"> </w:t>
      </w:r>
      <w:r w:rsidRPr="00742A04">
        <w:t>de que</w:t>
      </w:r>
      <w:r w:rsidR="00545D1B" w:rsidRPr="00742A04">
        <w:t xml:space="preserve"> </w:t>
      </w:r>
      <w:r w:rsidR="00CD2FF0" w:rsidRPr="00742A04">
        <w:t>la Convención</w:t>
      </w:r>
      <w:r w:rsidR="00C14BFF" w:rsidRPr="00742A04">
        <w:t xml:space="preserve"> </w:t>
      </w:r>
      <w:r w:rsidRPr="00742A04">
        <w:t>tenía que</w:t>
      </w:r>
      <w:r w:rsidR="00545D1B" w:rsidRPr="00742A04">
        <w:t xml:space="preserve"> </w:t>
      </w:r>
      <w:r w:rsidRPr="00742A04">
        <w:t>ser incorporada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EA776F" w:rsidRPr="00742A04">
        <w:t>Ley sobre Derechos Humanos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que se le debía otorgar</w:t>
      </w:r>
      <w:r w:rsidR="00545D1B" w:rsidRPr="00742A04">
        <w:t xml:space="preserve"> </w:t>
      </w:r>
      <w:r w:rsidRPr="00742A04">
        <w:t>la misma</w:t>
      </w:r>
      <w:r w:rsidR="00545D1B" w:rsidRPr="00742A04">
        <w:t xml:space="preserve"> </w:t>
      </w:r>
      <w:r w:rsidR="007D66F2" w:rsidRPr="00742A04">
        <w:t>precedencia</w:t>
      </w:r>
      <w:r w:rsidR="00545D1B" w:rsidRPr="00742A04">
        <w:t xml:space="preserve"> </w:t>
      </w:r>
      <w:r w:rsidRPr="00742A04">
        <w:t xml:space="preserve">que a las demás </w:t>
      </w:r>
      <w:r w:rsidR="00BD47D3" w:rsidRPr="00742A04">
        <w:t>convenciones</w:t>
      </w:r>
      <w:r w:rsidRPr="00742A04">
        <w:t xml:space="preserve"> princ</w:t>
      </w:r>
      <w:r w:rsidRPr="00742A04">
        <w:t>i</w:t>
      </w:r>
      <w:r w:rsidRPr="00742A04">
        <w:t>pales</w:t>
      </w:r>
      <w:r w:rsidR="00545D1B" w:rsidRPr="00742A04">
        <w:t>.</w:t>
      </w:r>
      <w:r w:rsidR="001167D2" w:rsidRPr="00742A04">
        <w:t xml:space="preserve"> </w:t>
      </w:r>
      <w:r w:rsidR="0073499D" w:rsidRPr="00742A04">
        <w:t>El</w:t>
      </w:r>
      <w:r w:rsidR="001167D2" w:rsidRPr="00742A04">
        <w:t xml:space="preserve"> </w:t>
      </w:r>
      <w:r w:rsidR="008F0C8E" w:rsidRPr="00742A04">
        <w:t>Gobierno</w:t>
      </w:r>
      <w:r w:rsidR="00545D1B" w:rsidRPr="00742A04">
        <w:t xml:space="preserve"> </w:t>
      </w:r>
      <w:r w:rsidRPr="00742A04">
        <w:t xml:space="preserve">optó por </w:t>
      </w:r>
      <w:r w:rsidR="00545D1B" w:rsidRPr="00742A04">
        <w:t>propo</w:t>
      </w:r>
      <w:r w:rsidRPr="00742A04">
        <w:t>ner que se incorporara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Ley sobre la Igualdad de Género</w:t>
      </w:r>
      <w:r w:rsidR="00545D1B" w:rsidRPr="00742A04">
        <w:t xml:space="preserve">, </w:t>
      </w:r>
      <w:r w:rsidRPr="00742A04">
        <w:t>véase la</w:t>
      </w:r>
      <w:r w:rsidR="00545D1B" w:rsidRPr="00742A04">
        <w:t xml:space="preserve"> Proposi</w:t>
      </w:r>
      <w:r w:rsidR="00C14BFF" w:rsidRPr="00742A04">
        <w:t xml:space="preserve">ción </w:t>
      </w:r>
      <w:r w:rsidRPr="00742A04">
        <w:t>N°</w:t>
      </w:r>
      <w:r w:rsidR="00545D1B" w:rsidRPr="00742A04">
        <w:t xml:space="preserve"> 35 (2004-2005) </w:t>
      </w:r>
      <w:r w:rsidRPr="00742A04">
        <w:t>al Odelsting</w:t>
      </w:r>
      <w:r w:rsidR="00545D1B" w:rsidRPr="00742A04">
        <w:t xml:space="preserve">. </w:t>
      </w:r>
      <w:r w:rsidRPr="00742A04">
        <w:t xml:space="preserve">Uno </w:t>
      </w:r>
      <w:r w:rsidR="00C076F2" w:rsidRPr="00742A04">
        <w:t xml:space="preserve">de los </w:t>
      </w:r>
      <w:r w:rsidRPr="00742A04">
        <w:t>arg</w:t>
      </w:r>
      <w:r w:rsidRPr="00742A04">
        <w:t>u</w:t>
      </w:r>
      <w:r w:rsidRPr="00742A04">
        <w:t>mentos principales fue que</w:t>
      </w:r>
      <w:r w:rsidR="00545D1B" w:rsidRPr="00742A04">
        <w:t xml:space="preserve"> </w:t>
      </w:r>
      <w:r w:rsidR="00A05847" w:rsidRPr="00742A04">
        <w:t>la Ley sobre la Igualdad de Género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Pr="00742A04">
        <w:t>e</w:t>
      </w:r>
      <w:r w:rsidR="00545D1B" w:rsidRPr="00742A04">
        <w:t xml:space="preserve">special </w:t>
      </w:r>
      <w:r w:rsidRPr="00742A04">
        <w:t>o</w:t>
      </w:r>
      <w:r w:rsidRPr="00742A04">
        <w:t>b</w:t>
      </w:r>
      <w:r w:rsidRPr="00742A04">
        <w:t>jetivo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mejorar la condición </w:t>
      </w:r>
      <w:r w:rsidR="00F43124" w:rsidRPr="00742A04">
        <w:t xml:space="preserve">de la </w:t>
      </w:r>
      <w:r w:rsidRPr="00742A04">
        <w:t>mujer</w:t>
      </w:r>
      <w:r w:rsidR="00545D1B" w:rsidRPr="00742A04">
        <w:t xml:space="preserve">, </w:t>
      </w:r>
      <w:r w:rsidR="001167D2" w:rsidRPr="00742A04">
        <w:t>era el lugar nat</w:t>
      </w:r>
      <w:r w:rsidRPr="00742A04">
        <w:t>ural par</w:t>
      </w:r>
      <w:r w:rsidR="0030626A" w:rsidRPr="00742A04">
        <w:t>a</w:t>
      </w:r>
      <w:r w:rsidR="00545D1B" w:rsidRPr="00742A04">
        <w:t xml:space="preserve"> incorpora</w:t>
      </w:r>
      <w:r w:rsidRPr="00742A04">
        <w:t>r</w:t>
      </w:r>
      <w:r w:rsidR="00545D1B" w:rsidRPr="00742A04">
        <w:t xml:space="preserve"> </w:t>
      </w:r>
      <w:r w:rsidR="00CD2FF0" w:rsidRPr="00742A04">
        <w:t>la Convención</w:t>
      </w:r>
      <w:r w:rsidR="00C27C42" w:rsidRPr="00742A04">
        <w:t>.</w:t>
      </w:r>
      <w:r w:rsidR="00545D1B" w:rsidRPr="00742A04">
        <w:t xml:space="preserve"> </w:t>
      </w:r>
      <w:r w:rsidRPr="00742A04">
        <w:t>Tal incorporación aseguraría el mayor grado de claridad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coher</w:t>
      </w:r>
      <w:r w:rsidR="00FF575F" w:rsidRPr="00742A04">
        <w:t xml:space="preserve">encia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legisla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1167D2" w:rsidRPr="00742A04">
        <w:t xml:space="preserve"> </w:t>
      </w:r>
      <w:r w:rsidR="0073499D" w:rsidRPr="00742A04">
        <w:t>El</w:t>
      </w:r>
      <w:r w:rsidR="001167D2" w:rsidRPr="00742A04">
        <w:t xml:space="preserve"> </w:t>
      </w:r>
      <w:r w:rsidRPr="00742A04">
        <w:t>hecho de que la</w:t>
      </w:r>
      <w:r w:rsidR="00545D1B" w:rsidRPr="00742A04">
        <w:t xml:space="preserve"> incorpora</w:t>
      </w:r>
      <w:r w:rsidR="00C14BFF" w:rsidRPr="00742A04">
        <w:t>ción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Ley sobre la Igualdad de Género</w:t>
      </w:r>
      <w:r w:rsidR="00545D1B" w:rsidRPr="00742A04">
        <w:t xml:space="preserve"> </w:t>
      </w:r>
      <w:r w:rsidRPr="00742A04">
        <w:t xml:space="preserve">no otorgaría </w:t>
      </w:r>
      <w:r w:rsidR="007D66F2" w:rsidRPr="00742A04">
        <w:t>precedencia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Convención no fue considerado</w:t>
      </w:r>
      <w:r w:rsidR="00545D1B" w:rsidRPr="00742A04">
        <w:t xml:space="preserve"> </w:t>
      </w:r>
      <w:r w:rsidRPr="00742A04">
        <w:t>una objeción</w:t>
      </w:r>
      <w:r w:rsidR="00545D1B" w:rsidRPr="00742A04">
        <w:t xml:space="preserve"> decisiv</w:t>
      </w:r>
      <w:r w:rsidRPr="00742A04">
        <w:t>a</w:t>
      </w:r>
      <w:r w:rsidR="00545D1B" w:rsidRPr="00742A04">
        <w:t xml:space="preserve">, </w:t>
      </w:r>
      <w:r w:rsidR="00130F7F" w:rsidRPr="00742A04">
        <w:t xml:space="preserve">pues se presume en todo caso que </w:t>
      </w:r>
      <w:r w:rsidR="00FF575F" w:rsidRPr="00742A04">
        <w:t xml:space="preserve">el </w:t>
      </w:r>
      <w:r w:rsidR="00BD47D3" w:rsidRPr="00742A04">
        <w:t>derecho de Noruega</w:t>
      </w:r>
      <w:r w:rsidR="00545D1B" w:rsidRPr="00742A04">
        <w:t xml:space="preserve"> </w:t>
      </w:r>
      <w:r w:rsidR="00130F7F" w:rsidRPr="00742A04">
        <w:t xml:space="preserve">debe estar </w:t>
      </w:r>
      <w:r w:rsidR="00C14BFF" w:rsidRPr="00742A04">
        <w:t>en</w:t>
      </w:r>
      <w:r w:rsidR="00130F7F" w:rsidRPr="00742A04">
        <w:t xml:space="preserve"> consonancia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130F7F" w:rsidRPr="00742A04">
        <w:t>las normas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30F7F" w:rsidRPr="00742A04">
        <w:t>derecho internacional</w:t>
      </w:r>
      <w:r w:rsidR="00545D1B" w:rsidRPr="00742A04">
        <w:t xml:space="preserve"> </w:t>
      </w:r>
      <w:r w:rsidR="00130F7F" w:rsidRPr="00742A04">
        <w:t>obligatorias para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130F7F" w:rsidRPr="00742A04">
        <w:t>otras palabras</w:t>
      </w:r>
      <w:r w:rsidR="00545D1B" w:rsidRPr="00742A04">
        <w:t xml:space="preserve">, </w:t>
      </w:r>
      <w:r w:rsidR="00130F7F" w:rsidRPr="00742A04">
        <w:t>se pensó que todos los que aplicaran la ley deberían en todo caso i</w:t>
      </w:r>
      <w:r w:rsidR="00130F7F" w:rsidRPr="00742A04">
        <w:t>n</w:t>
      </w:r>
      <w:r w:rsidR="00130F7F" w:rsidRPr="00742A04">
        <w:t>terpretar a las</w:t>
      </w:r>
      <w:r w:rsidR="00545D1B" w:rsidRPr="00742A04">
        <w:t xml:space="preserve"> </w:t>
      </w:r>
      <w:r w:rsidR="003A355B" w:rsidRPr="00742A04">
        <w:t>disposiciones legislativas de Noruega</w:t>
      </w:r>
      <w:r w:rsidR="00545D1B" w:rsidRPr="00742A04">
        <w:t xml:space="preserve"> </w:t>
      </w:r>
      <w:r w:rsidR="00130F7F" w:rsidRPr="00742A04">
        <w:t>de manera</w:t>
      </w:r>
      <w:r w:rsidR="00545D1B" w:rsidRPr="00742A04">
        <w:t xml:space="preserve"> </w:t>
      </w:r>
      <w:r w:rsidR="00130F7F" w:rsidRPr="00742A04">
        <w:t>armónica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CE5FA4" w:rsidRPr="00742A04">
        <w:t>la Convención sobre la eliminación de todas las formas de discriminación contra la mujer</w:t>
      </w:r>
      <w:r w:rsidR="00545D1B" w:rsidRPr="00742A04">
        <w:t xml:space="preserve">. </w:t>
      </w:r>
      <w:r w:rsidR="00130F7F" w:rsidRPr="00742A04">
        <w:t>Además</w:t>
      </w:r>
      <w:r w:rsidR="00545D1B" w:rsidRPr="00742A04">
        <w:t xml:space="preserve">, </w:t>
      </w:r>
      <w:r w:rsidR="00130F7F" w:rsidRPr="00742A04">
        <w:t>al mismo tiempo se estaba haciendo un</w:t>
      </w:r>
      <w:r w:rsidR="00545D1B" w:rsidRPr="00742A04">
        <w:t>a evalua</w:t>
      </w:r>
      <w:r w:rsidR="00C14BFF" w:rsidRPr="00742A04">
        <w:t xml:space="preserve">ción </w:t>
      </w:r>
      <w:r w:rsidR="00130F7F" w:rsidRPr="00742A04">
        <w:t>análoga con</w:t>
      </w:r>
      <w:r w:rsidR="00545D1B" w:rsidRPr="00742A04">
        <w:t xml:space="preserve"> respect</w:t>
      </w:r>
      <w:r w:rsidR="00130F7F" w:rsidRPr="00742A04">
        <w:t>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7D66F2" w:rsidRPr="00742A04">
        <w:t>Convención de las Naciones Unidas</w:t>
      </w:r>
      <w:r w:rsidR="00C14BFF" w:rsidRPr="00742A04">
        <w:t xml:space="preserve"> </w:t>
      </w:r>
      <w:r w:rsidR="00130F7F" w:rsidRPr="00742A04">
        <w:t>sobre la</w:t>
      </w:r>
      <w:r w:rsidR="00545D1B" w:rsidRPr="00742A04">
        <w:t xml:space="preserve"> Elimina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130F7F" w:rsidRPr="00742A04">
        <w:t>todas las</w:t>
      </w:r>
      <w:r w:rsidR="00545D1B" w:rsidRPr="00742A04">
        <w:t xml:space="preserve"> Form</w:t>
      </w:r>
      <w:r w:rsidR="00130F7F" w:rsidRPr="00742A04">
        <w:t>a</w:t>
      </w:r>
      <w:r w:rsidR="00545D1B" w:rsidRPr="00742A04">
        <w:t xml:space="preserve">s </w:t>
      </w:r>
      <w:r w:rsidR="004A0730" w:rsidRPr="00742A04">
        <w:t>de</w:t>
      </w:r>
      <w:r w:rsidR="00545D1B" w:rsidRPr="00742A04">
        <w:t xml:space="preserve"> Discrimina</w:t>
      </w:r>
      <w:r w:rsidR="00C14BFF" w:rsidRPr="00742A04">
        <w:t xml:space="preserve">ción </w:t>
      </w:r>
      <w:r w:rsidR="00130F7F" w:rsidRPr="00742A04">
        <w:t>Racial</w:t>
      </w:r>
      <w:r w:rsidR="00545D1B" w:rsidRPr="00742A04">
        <w:t xml:space="preserve">, </w:t>
      </w:r>
      <w:r w:rsidR="00130F7F" w:rsidRPr="00742A04">
        <w:t>que fue</w:t>
      </w:r>
      <w:r w:rsidR="00545D1B" w:rsidRPr="00742A04">
        <w:t xml:space="preserve"> incorpora</w:t>
      </w:r>
      <w:r w:rsidR="00130F7F" w:rsidRPr="00742A04">
        <w:t>da</w:t>
      </w:r>
      <w:r w:rsidR="001E30D6" w:rsidRPr="00742A04">
        <w:t xml:space="preserve"> </w:t>
      </w:r>
      <w:r w:rsidR="00835D56">
        <w:t>a un</w:t>
      </w:r>
      <w:r w:rsidR="00A80F26">
        <w:t>a</w:t>
      </w:r>
      <w:r w:rsidR="001E30D6" w:rsidRPr="00742A04">
        <w:t xml:space="preserve"> </w:t>
      </w:r>
      <w:r w:rsidR="00130F7F" w:rsidRPr="00742A04">
        <w:t>nueva</w:t>
      </w:r>
      <w:r w:rsidR="00545D1B" w:rsidRPr="00742A04">
        <w:t xml:space="preserve"> </w:t>
      </w:r>
      <w:r w:rsidR="00130F7F" w:rsidRPr="00742A04">
        <w:t>Ley</w:t>
      </w:r>
      <w:r w:rsidR="00545D1B" w:rsidRPr="00742A04">
        <w:t xml:space="preserve"> </w:t>
      </w:r>
      <w:r w:rsidR="00614C7D" w:rsidRPr="00742A04">
        <w:t xml:space="preserve">por la </w:t>
      </w:r>
      <w:r w:rsidR="00130F7F" w:rsidRPr="00742A04">
        <w:t xml:space="preserve">que se </w:t>
      </w:r>
      <w:r w:rsidR="00545D1B" w:rsidRPr="00742A04">
        <w:t>proh</w:t>
      </w:r>
      <w:r w:rsidR="00130F7F" w:rsidRPr="00742A04">
        <w:t>í</w:t>
      </w:r>
      <w:r w:rsidR="00545D1B" w:rsidRPr="00742A04">
        <w:t>b</w:t>
      </w:r>
      <w:r w:rsidR="00130F7F" w:rsidRPr="00742A04">
        <w:t>e la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130F7F" w:rsidRPr="00742A04">
        <w:t>por motivos de origen étnico</w:t>
      </w:r>
      <w:r w:rsidR="00545D1B" w:rsidRPr="00742A04">
        <w:t xml:space="preserve">, </w:t>
      </w:r>
      <w:r w:rsidR="00130F7F" w:rsidRPr="00742A04">
        <w:t>religión</w:t>
      </w:r>
      <w:r w:rsidR="00545D1B" w:rsidRPr="00742A04">
        <w:t>, etc. (</w:t>
      </w:r>
      <w:r w:rsidR="00130F7F" w:rsidRPr="00742A04">
        <w:t>la Ley de Lucha contra la Discriminación</w:t>
      </w:r>
      <w:r w:rsidR="00545D1B" w:rsidRPr="00742A04">
        <w:t>).</w:t>
      </w:r>
    </w:p>
    <w:p w:rsidR="00545D1B" w:rsidRPr="00742A04" w:rsidRDefault="001167D2" w:rsidP="002A4469">
      <w:pPr>
        <w:pStyle w:val="SingleTxt"/>
        <w:ind w:firstLine="360"/>
      </w:pPr>
      <w:r w:rsidRPr="00742A04">
        <w:t>La elección</w:t>
      </w:r>
      <w:r w:rsidR="00545D1B" w:rsidRPr="00742A04">
        <w:t xml:space="preserve"> </w:t>
      </w:r>
      <w:r w:rsidR="00F43124" w:rsidRPr="00742A04">
        <w:t xml:space="preserve">de la </w:t>
      </w:r>
      <w:r w:rsidRPr="00742A04">
        <w:t>ley de incorporación</w:t>
      </w:r>
      <w:r w:rsidR="00545D1B" w:rsidRPr="00742A04">
        <w:t xml:space="preserve"> </w:t>
      </w:r>
      <w:r w:rsidRPr="00742A04">
        <w:t>suscitó un importante</w:t>
      </w:r>
      <w:r w:rsidR="00545D1B" w:rsidRPr="00742A04">
        <w:t xml:space="preserve"> </w:t>
      </w:r>
      <w:r w:rsidRPr="00742A04">
        <w:t>debate público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estuvo influida</w:t>
      </w:r>
      <w:r w:rsidR="00545D1B" w:rsidRPr="00742A04">
        <w:t xml:space="preserve"> </w:t>
      </w:r>
      <w:r w:rsidRPr="00742A04">
        <w:t xml:space="preserve">por el </w:t>
      </w:r>
      <w:r w:rsidR="0030626A" w:rsidRPr="00742A04">
        <w:t>informe definitivo</w:t>
      </w:r>
      <w:r w:rsidR="00545D1B" w:rsidRPr="00742A04">
        <w:t xml:space="preserve"> </w:t>
      </w:r>
      <w:r w:rsidR="008F0C8E" w:rsidRPr="00742A04">
        <w:t>de</w:t>
      </w:r>
      <w:r w:rsidRPr="00742A04">
        <w:t>l</w:t>
      </w:r>
      <w:r w:rsidR="00545D1B" w:rsidRPr="00742A04">
        <w:t xml:space="preserve"> </w:t>
      </w:r>
      <w:r w:rsidRPr="00742A04">
        <w:t>Estudio sobre el Poder y la Democracia en Noruega</w:t>
      </w:r>
      <w:r w:rsidR="00545D1B" w:rsidRPr="00742A04">
        <w:t xml:space="preserve">, </w:t>
      </w:r>
      <w:r w:rsidRPr="00742A04">
        <w:t>que fue presentado a</w:t>
      </w:r>
      <w:r w:rsidR="008F0C8E" w:rsidRPr="00742A04">
        <w:t>l Gobierno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2003. </w:t>
      </w:r>
      <w:r w:rsidR="0073499D" w:rsidRPr="00742A04">
        <w:t>La mayoría del grupo de i</w:t>
      </w:r>
      <w:r w:rsidR="0073499D" w:rsidRPr="00742A04">
        <w:t>n</w:t>
      </w:r>
      <w:r w:rsidR="0073499D" w:rsidRPr="00742A04">
        <w:t>vestigación expresó preocupación por el hecho de que se estaba restringiendo la e</w:t>
      </w:r>
      <w:r w:rsidR="0073499D" w:rsidRPr="00742A04">
        <w:t>s</w:t>
      </w:r>
      <w:r w:rsidR="0073499D" w:rsidRPr="00742A04">
        <w:t>fera de acción del Storting</w:t>
      </w:r>
      <w:r w:rsidR="0073499D">
        <w:t xml:space="preserve"> </w:t>
      </w:r>
      <w:r w:rsidR="0073499D" w:rsidRPr="00742A04">
        <w:t>– y consiguientemente del sistema de gobierno represe</w:t>
      </w:r>
      <w:r w:rsidR="0073499D" w:rsidRPr="00742A04">
        <w:t>n</w:t>
      </w:r>
      <w:r w:rsidR="0073499D" w:rsidRPr="00742A04">
        <w:t xml:space="preserve">tativo </w:t>
      </w:r>
      <w:r w:rsidR="00065E60" w:rsidRPr="00742A04">
        <w:t xml:space="preserve">de Noruega </w:t>
      </w:r>
      <w:r w:rsidR="0073499D" w:rsidRPr="00742A04">
        <w:t>– a causa de la cantidad cada vez mayor de tratados internacion</w:t>
      </w:r>
      <w:r w:rsidR="0073499D" w:rsidRPr="00742A04">
        <w:t>a</w:t>
      </w:r>
      <w:r w:rsidR="0073499D" w:rsidRPr="00742A04">
        <w:t xml:space="preserve">les que han sido ratificados por Noruega. </w:t>
      </w:r>
      <w:r w:rsidRPr="00742A04">
        <w:t>La minoría</w:t>
      </w:r>
      <w:r w:rsidR="00545D1B" w:rsidRPr="00742A04">
        <w:t xml:space="preserve"> </w:t>
      </w:r>
      <w:r w:rsidRPr="00742A04">
        <w:t>sost</w:t>
      </w:r>
      <w:r w:rsidR="00065E60">
        <w:t>uvo</w:t>
      </w:r>
      <w:r w:rsidRPr="00742A04">
        <w:t xml:space="preserve"> que</w:t>
      </w:r>
      <w:r w:rsidR="00545D1B" w:rsidRPr="00742A04">
        <w:t xml:space="preserve"> </w:t>
      </w:r>
      <w:r w:rsidRPr="00742A04">
        <w:t>los instrumentos internacionales de derechos humanos</w:t>
      </w:r>
      <w:r w:rsidR="00545D1B" w:rsidRPr="00742A04">
        <w:t xml:space="preserve">, </w:t>
      </w:r>
      <w:r w:rsidR="000220D6" w:rsidRPr="00742A04">
        <w:t>entre ellos</w:t>
      </w:r>
      <w:r w:rsidR="00A93B9E" w:rsidRPr="00742A04">
        <w:t xml:space="preserve">, la </w:t>
      </w:r>
      <w:r w:rsidR="00CE5FA4" w:rsidRPr="00742A04">
        <w:t>Convención sobre la elimin</w:t>
      </w:r>
      <w:r w:rsidR="00CE5FA4" w:rsidRPr="00742A04">
        <w:t>a</w:t>
      </w:r>
      <w:r w:rsidR="00CE5FA4" w:rsidRPr="00742A04">
        <w:t>ción de todas las formas de discriminación contra la mujer</w:t>
      </w:r>
      <w:r w:rsidR="00545D1B" w:rsidRPr="00742A04">
        <w:t>, represent</w:t>
      </w:r>
      <w:r w:rsidR="000220D6" w:rsidRPr="00742A04">
        <w:t>an</w:t>
      </w:r>
      <w:r w:rsidR="00545D1B" w:rsidRPr="00742A04">
        <w:t xml:space="preserve"> </w:t>
      </w:r>
      <w:r w:rsidR="000220D6" w:rsidRPr="00742A04">
        <w:t xml:space="preserve">una forma </w:t>
      </w:r>
      <w:r w:rsidR="004A0730" w:rsidRPr="00742A04">
        <w:t>de</w:t>
      </w:r>
      <w:r w:rsidR="00545D1B" w:rsidRPr="00742A04">
        <w:t xml:space="preserve"> </w:t>
      </w:r>
      <w:r w:rsidR="000220D6" w:rsidRPr="00742A04">
        <w:t>redistribución del poder</w:t>
      </w:r>
      <w:r w:rsidR="00C14BFF" w:rsidRPr="00742A04">
        <w:t xml:space="preserve"> </w:t>
      </w:r>
      <w:r w:rsidR="000220D6" w:rsidRPr="00742A04">
        <w:t>que desafía</w:t>
      </w:r>
      <w:r w:rsidR="00545D1B" w:rsidRPr="00742A04">
        <w:t xml:space="preserve"> </w:t>
      </w:r>
      <w:r w:rsidR="000220D6" w:rsidRPr="00742A04">
        <w:t>la dominación estructural masculina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C1297" w:rsidRPr="00742A04">
        <w:t>las formas patriarcales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C1297" w:rsidRPr="00742A04">
        <w:t>cultura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30F7F" w:rsidRPr="00742A04">
        <w:t>religión</w:t>
      </w:r>
      <w:r w:rsidR="00545D1B" w:rsidRPr="00742A04">
        <w:t xml:space="preserve">. </w:t>
      </w:r>
      <w:r w:rsidR="006C1297" w:rsidRPr="00742A04">
        <w:t>Los d</w:t>
      </w:r>
      <w:r w:rsidR="00A05847" w:rsidRPr="00742A04">
        <w:t>erechos humanos</w:t>
      </w:r>
      <w:r w:rsidR="00545D1B" w:rsidRPr="00742A04">
        <w:t xml:space="preserve"> </w:t>
      </w:r>
      <w:r w:rsidR="006C1297" w:rsidRPr="00742A04">
        <w:t>se co</w:t>
      </w:r>
      <w:r w:rsidR="006C1297" w:rsidRPr="00742A04">
        <w:t>n</w:t>
      </w:r>
      <w:r w:rsidR="006C1297" w:rsidRPr="00742A04">
        <w:t>vierten en un instrumento</w:t>
      </w:r>
      <w:r w:rsidR="00545D1B" w:rsidRPr="00742A04">
        <w:t xml:space="preserve">, </w:t>
      </w:r>
      <w:r w:rsidR="006C1297" w:rsidRPr="00742A04">
        <w:t>por así decirlo</w:t>
      </w:r>
      <w:r w:rsidR="00545D1B" w:rsidRPr="00742A04">
        <w:t xml:space="preserve">, </w:t>
      </w:r>
      <w:r w:rsidR="006C1297" w:rsidRPr="00742A04">
        <w:t>para lograr una más justa</w:t>
      </w:r>
      <w:r w:rsidR="00545D1B" w:rsidRPr="00742A04">
        <w:t xml:space="preserve"> distribu</w:t>
      </w:r>
      <w:r w:rsidR="00C14BFF" w:rsidRPr="00742A04">
        <w:t xml:space="preserve">ción </w:t>
      </w:r>
      <w:r w:rsidR="004A0730" w:rsidRPr="00742A04">
        <w:t>de</w:t>
      </w:r>
      <w:r w:rsidR="006C1297" w:rsidRPr="00742A04">
        <w:t>l</w:t>
      </w:r>
      <w:r w:rsidR="00545D1B" w:rsidRPr="00742A04">
        <w:t xml:space="preserve"> </w:t>
      </w:r>
      <w:r w:rsidR="000220D6" w:rsidRPr="00742A04">
        <w:t>poder</w:t>
      </w:r>
      <w:r w:rsidR="00545D1B" w:rsidRPr="00742A04">
        <w:t xml:space="preserve"> </w:t>
      </w:r>
      <w:r w:rsidR="006C1297" w:rsidRPr="00742A04">
        <w:t>e</w:t>
      </w:r>
      <w:r w:rsidR="00545D1B" w:rsidRPr="00742A04">
        <w:t xml:space="preserve">, </w:t>
      </w:r>
      <w:r w:rsidR="0073499D" w:rsidRPr="00742A04">
        <w:t>i</w:t>
      </w:r>
      <w:r w:rsidR="0073499D" w:rsidRPr="00742A04">
        <w:t>m</w:t>
      </w:r>
      <w:r w:rsidR="0073499D" w:rsidRPr="00742A04">
        <w:t>plícitamente</w:t>
      </w:r>
      <w:r w:rsidR="00545D1B" w:rsidRPr="00742A04">
        <w:t xml:space="preserve">, </w:t>
      </w:r>
      <w:r w:rsidR="006C1297" w:rsidRPr="00742A04">
        <w:t>en un medio</w:t>
      </w:r>
      <w:r w:rsidR="00545D1B" w:rsidRPr="00742A04">
        <w:t xml:space="preserve"> </w:t>
      </w:r>
      <w:r w:rsidR="006C1297" w:rsidRPr="00742A04">
        <w:t>para obtener</w:t>
      </w:r>
      <w:r w:rsidR="00545D1B" w:rsidRPr="00742A04">
        <w:t xml:space="preserve"> </w:t>
      </w:r>
      <w:r w:rsidR="006C1297" w:rsidRPr="00742A04">
        <w:t>un mayor grado de</w:t>
      </w:r>
      <w:r w:rsidR="00545D1B" w:rsidRPr="00742A04">
        <w:t xml:space="preserve"> </w:t>
      </w:r>
      <w:r w:rsidR="006C1297" w:rsidRPr="00742A04">
        <w:t>democracia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130F7F" w:rsidRPr="00742A04">
        <w:t>el Info</w:t>
      </w:r>
      <w:r w:rsidR="00130F7F" w:rsidRPr="00742A04">
        <w:t>r</w:t>
      </w:r>
      <w:r w:rsidR="00130F7F" w:rsidRPr="00742A04">
        <w:t>me</w:t>
      </w:r>
      <w:r w:rsidRPr="00742A04">
        <w:t xml:space="preserve"> N° </w:t>
      </w:r>
      <w:r w:rsidR="00545D1B" w:rsidRPr="00742A04">
        <w:t>17 (2004-2005)</w:t>
      </w:r>
      <w:r w:rsidRPr="00742A04">
        <w:t xml:space="preserve"> al </w:t>
      </w:r>
      <w:r w:rsidR="00BD47D3" w:rsidRPr="00742A04">
        <w:t>Storting</w:t>
      </w:r>
      <w:r w:rsidR="00545D1B" w:rsidRPr="00742A04">
        <w:t xml:space="preserve">: </w:t>
      </w:r>
      <w:r w:rsidR="006C1297" w:rsidRPr="00742A04">
        <w:t>Poder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C1297" w:rsidRPr="00742A04">
        <w:t>Democracia</w:t>
      </w:r>
      <w:r w:rsidR="00545D1B" w:rsidRPr="00742A04">
        <w:t xml:space="preserve">, </w:t>
      </w:r>
      <w:r w:rsidR="008F0C8E" w:rsidRPr="00742A04">
        <w:t>el Gobierno</w:t>
      </w:r>
      <w:r w:rsidR="00545D1B" w:rsidRPr="00742A04">
        <w:t xml:space="preserve"> (Bondevik II) </w:t>
      </w:r>
      <w:r w:rsidR="00C14BFF" w:rsidRPr="00742A04">
        <w:t>en</w:t>
      </w:r>
      <w:r w:rsidR="00545D1B" w:rsidRPr="00742A04">
        <w:t xml:space="preserve"> </w:t>
      </w:r>
      <w:r w:rsidR="006C1297" w:rsidRPr="00742A04">
        <w:t xml:space="preserve">el </w:t>
      </w:r>
      <w:r w:rsidR="000220D6" w:rsidRPr="00742A04">
        <w:t>poder</w:t>
      </w:r>
      <w:r w:rsidR="00545D1B" w:rsidRPr="00742A04">
        <w:t xml:space="preserve"> </w:t>
      </w:r>
      <w:r w:rsidR="006C1297" w:rsidRPr="00742A04">
        <w:t>en ese momento</w:t>
      </w:r>
      <w:r w:rsidR="00545D1B" w:rsidRPr="00742A04">
        <w:t xml:space="preserve"> </w:t>
      </w:r>
      <w:r w:rsidR="006C1297" w:rsidRPr="00742A04">
        <w:t>examinó</w:t>
      </w:r>
      <w:r w:rsidR="000B0E93" w:rsidRPr="00742A04">
        <w:t xml:space="preserve"> el ordenamiento jerárquico y las normas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D66F2" w:rsidRPr="00742A04">
        <w:t>precedencia</w:t>
      </w:r>
      <w:r w:rsidR="00545D1B" w:rsidRPr="00742A04">
        <w:t xml:space="preserve"> </w:t>
      </w:r>
      <w:r w:rsidR="000B0E93" w:rsidRPr="00742A04">
        <w:t>de</w:t>
      </w:r>
      <w:r w:rsidR="00545D1B" w:rsidRPr="00742A04">
        <w:t xml:space="preserve"> </w:t>
      </w:r>
      <w:r w:rsidR="000B0E93" w:rsidRPr="00742A04">
        <w:t>las convenciones internacionales de derechos humanos</w:t>
      </w:r>
      <w:r w:rsidR="00545D1B" w:rsidRPr="00742A04">
        <w:t>.</w:t>
      </w:r>
      <w:r w:rsidRPr="00742A04">
        <w:t xml:space="preserve"> </w:t>
      </w:r>
      <w:r w:rsidR="000B0E93" w:rsidRPr="00742A04">
        <w:t>E</w:t>
      </w:r>
      <w:r w:rsidRPr="00742A04">
        <w:t xml:space="preserve">l </w:t>
      </w:r>
      <w:r w:rsidR="00FB5EDF" w:rsidRPr="00742A04">
        <w:t>informe</w:t>
      </w:r>
      <w:r w:rsidR="00545D1B" w:rsidRPr="00742A04">
        <w:t xml:space="preserve"> </w:t>
      </w:r>
      <w:r w:rsidR="000B0E93" w:rsidRPr="00742A04">
        <w:t>llegó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conclu</w:t>
      </w:r>
      <w:r w:rsidR="000B0E93" w:rsidRPr="00742A04">
        <w:t>sión de que</w:t>
      </w:r>
      <w:r w:rsidR="00545D1B" w:rsidRPr="00742A04">
        <w:t xml:space="preserve"> </w:t>
      </w:r>
      <w:r w:rsidR="000B0E93" w:rsidRPr="00742A04">
        <w:t>la norma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D66F2" w:rsidRPr="00742A04">
        <w:t>precedencia</w:t>
      </w:r>
      <w:r w:rsidR="00545D1B" w:rsidRPr="00742A04">
        <w:t xml:space="preserve"> </w:t>
      </w:r>
      <w:r w:rsidR="000B0E93" w:rsidRPr="00742A04">
        <w:t>sólo debe aplicarse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B0E93" w:rsidRPr="00742A04">
        <w:t>casos muy e</w:t>
      </w:r>
      <w:r w:rsidR="00545D1B" w:rsidRPr="00742A04">
        <w:t>special</w:t>
      </w:r>
      <w:r w:rsidR="000B0E93" w:rsidRPr="00742A04">
        <w:t>e</w:t>
      </w:r>
      <w:r w:rsidR="00545D1B" w:rsidRPr="00742A04">
        <w:t xml:space="preserve">s, </w:t>
      </w:r>
      <w:r w:rsidR="00877AA0" w:rsidRPr="00742A04">
        <w:t>y</w:t>
      </w:r>
      <w:r w:rsidR="00545D1B" w:rsidRPr="00742A04">
        <w:t xml:space="preserve"> </w:t>
      </w:r>
      <w:r w:rsidR="000B0E93" w:rsidRPr="00742A04">
        <w:t>que se debe actuar con cautela en relación con el uso futuro de</w:t>
      </w:r>
      <w:r w:rsidR="00545D1B" w:rsidRPr="00742A04">
        <w:t xml:space="preserve"> </w:t>
      </w:r>
      <w:r w:rsidR="000B0E93" w:rsidRPr="00742A04">
        <w:t>disposiciones de precedencia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0B0E93" w:rsidRPr="00742A04">
        <w:t xml:space="preserve">se </w:t>
      </w:r>
      <w:r w:rsidR="00545D1B" w:rsidRPr="00742A04">
        <w:t>incorpor</w:t>
      </w:r>
      <w:r w:rsidR="000B0E93" w:rsidRPr="00742A04">
        <w:t>en</w:t>
      </w:r>
      <w:r w:rsidR="00545D1B" w:rsidRPr="00742A04">
        <w:t xml:space="preserve"> </w:t>
      </w:r>
      <w:r w:rsidR="000B0E93" w:rsidRPr="00742A04">
        <w:t>las convenciones internacion</w:t>
      </w:r>
      <w:r w:rsidR="000B0E93" w:rsidRPr="00742A04">
        <w:t>a</w:t>
      </w:r>
      <w:r w:rsidR="000B0E93" w:rsidRPr="00742A04">
        <w:t>les</w:t>
      </w:r>
      <w:r w:rsidR="00545D1B" w:rsidRPr="00742A04">
        <w:t>.</w:t>
      </w:r>
    </w:p>
    <w:p w:rsidR="00545D1B" w:rsidRPr="00742A04" w:rsidRDefault="000B0E93" w:rsidP="002A4469">
      <w:pPr>
        <w:pStyle w:val="SingleTxt"/>
        <w:ind w:firstLine="360"/>
      </w:pPr>
      <w:r w:rsidRPr="00742A04">
        <w:t>Las distintas opiniones</w:t>
      </w:r>
      <w:r w:rsidR="00545D1B" w:rsidRPr="00742A04">
        <w:t xml:space="preserve"> </w:t>
      </w:r>
      <w:r w:rsidR="003C25BF" w:rsidRPr="00742A04">
        <w:t>expresa</w:t>
      </w:r>
      <w:r w:rsidRPr="00742A04">
        <w:t>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1167D2" w:rsidRPr="00742A04">
        <w:t>Estudio sobre el Poder y la Democr</w:t>
      </w:r>
      <w:r w:rsidR="001167D2" w:rsidRPr="00742A04">
        <w:t>a</w:t>
      </w:r>
      <w:r w:rsidR="001167D2" w:rsidRPr="00742A04">
        <w:t>cia en Noruega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Pr="00742A04">
        <w:t>tuvieron eco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 debate en el Storting</w:t>
      </w:r>
      <w:r w:rsidR="00545D1B" w:rsidRPr="00742A04">
        <w:t xml:space="preserve"> </w:t>
      </w:r>
      <w:r w:rsidR="00B0197C" w:rsidRPr="00742A04">
        <w:t>sobre la</w:t>
      </w:r>
      <w:r w:rsidR="00545D1B" w:rsidRPr="00742A04">
        <w:t xml:space="preserve"> incorpora</w:t>
      </w:r>
      <w:r w:rsidR="00C14BFF" w:rsidRPr="00742A04">
        <w:t xml:space="preserve">ción </w:t>
      </w:r>
      <w:r w:rsidR="00F43124" w:rsidRPr="00742A04">
        <w:t xml:space="preserve">de la </w:t>
      </w:r>
      <w:r w:rsidR="00CE5FA4" w:rsidRPr="00742A04">
        <w:t>Convención sobre la eliminación de todas las formas de discriminación contra la mujer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B0197C" w:rsidRPr="00742A04">
        <w:t>el cual una escasa</w:t>
      </w:r>
      <w:r w:rsidR="00545D1B" w:rsidRPr="00742A04">
        <w:t xml:space="preserve"> </w:t>
      </w:r>
      <w:r w:rsidR="00B0197C" w:rsidRPr="00742A04">
        <w:t>mayoría integrada por</w:t>
      </w:r>
      <w:r w:rsidR="00545D1B" w:rsidRPr="00742A04">
        <w:t xml:space="preserve"> </w:t>
      </w:r>
      <w:r w:rsidR="00B0197C" w:rsidRPr="00742A04">
        <w:t>los partidos entonces gobe</w:t>
      </w:r>
      <w:r w:rsidR="00B0197C" w:rsidRPr="00742A04">
        <w:t>r</w:t>
      </w:r>
      <w:r w:rsidR="00B0197C" w:rsidRPr="00742A04">
        <w:t>nantes</w:t>
      </w:r>
      <w:r w:rsidR="00545D1B" w:rsidRPr="00742A04">
        <w:t xml:space="preserve"> (</w:t>
      </w:r>
      <w:r w:rsidR="00130F7F" w:rsidRPr="00742A04">
        <w:t>el Partido Conservador</w:t>
      </w:r>
      <w:r w:rsidR="00545D1B" w:rsidRPr="00742A04">
        <w:t xml:space="preserve">, </w:t>
      </w:r>
      <w:r w:rsidR="00130F7F" w:rsidRPr="00742A04">
        <w:t>el Partido Liberal</w:t>
      </w:r>
      <w:r w:rsidR="00545D1B" w:rsidRPr="00742A04">
        <w:t xml:space="preserve">, </w:t>
      </w:r>
      <w:r w:rsidR="00130F7F" w:rsidRPr="00742A04">
        <w:t>el Partido Demócrata Cristiano</w:t>
      </w:r>
      <w:r w:rsidR="00545D1B" w:rsidRPr="00742A04">
        <w:t xml:space="preserve">), </w:t>
      </w:r>
      <w:r w:rsidR="00B0197C" w:rsidRPr="00742A04">
        <w:t>apoyados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130F7F" w:rsidRPr="00742A04">
        <w:t>el Partido del Progreso</w:t>
      </w:r>
      <w:r w:rsidR="00545D1B" w:rsidRPr="00742A04">
        <w:t xml:space="preserve">, </w:t>
      </w:r>
      <w:r w:rsidR="00B0197C" w:rsidRPr="00742A04">
        <w:t xml:space="preserve">abogaron </w:t>
      </w:r>
      <w:r w:rsidR="00614C7D" w:rsidRPr="00742A04">
        <w:t xml:space="preserve">por la </w:t>
      </w:r>
      <w:r w:rsidR="00B0197C" w:rsidRPr="00742A04">
        <w:t>incorporación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Ley sobre la Igualdad de Género</w:t>
      </w:r>
      <w:r w:rsidR="00545D1B" w:rsidRPr="00742A04">
        <w:t xml:space="preserve"> </w:t>
      </w:r>
      <w:r w:rsidR="00F97F41" w:rsidRPr="00742A04">
        <w:t>remitiéndose a los fundamentos expuestos en</w:t>
      </w:r>
      <w:r w:rsidR="00545D1B" w:rsidRPr="00742A04">
        <w:t xml:space="preserve"> </w:t>
      </w:r>
      <w:r w:rsidR="00F97F41" w:rsidRPr="00742A04">
        <w:t>el proyecto de ley</w:t>
      </w:r>
      <w:r w:rsidR="00545D1B" w:rsidRPr="00742A04">
        <w:t xml:space="preserve"> prop</w:t>
      </w:r>
      <w:r w:rsidR="00F97F41" w:rsidRPr="00742A04">
        <w:t>uesto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8F0C8E" w:rsidRPr="00742A04">
        <w:t>el Gobierno</w:t>
      </w:r>
      <w:r w:rsidR="00545D1B" w:rsidRPr="00742A04">
        <w:t xml:space="preserve"> </w:t>
      </w:r>
      <w:r w:rsidR="00F97F41" w:rsidRPr="00742A04">
        <w:t>en la Proposición</w:t>
      </w:r>
      <w:r w:rsidR="00C14BFF" w:rsidRPr="00742A04">
        <w:t xml:space="preserve"> </w:t>
      </w:r>
      <w:r w:rsidR="00F97F41" w:rsidRPr="00742A04">
        <w:t>N° 35 (</w:t>
      </w:r>
      <w:r w:rsidR="00545D1B" w:rsidRPr="00742A04">
        <w:t xml:space="preserve">2004-2005) </w:t>
      </w:r>
      <w:r w:rsidR="003C25BF" w:rsidRPr="00742A04">
        <w:t>al Odelsting</w:t>
      </w:r>
      <w:r w:rsidR="00545D1B" w:rsidRPr="00742A04">
        <w:t xml:space="preserve">, </w:t>
      </w:r>
      <w:r w:rsidR="00F97F41" w:rsidRPr="00742A04">
        <w:t>mientras que</w:t>
      </w:r>
      <w:r w:rsidR="00545D1B" w:rsidRPr="00742A04">
        <w:t xml:space="preserve"> </w:t>
      </w:r>
      <w:r w:rsidR="00130F7F" w:rsidRPr="00742A04">
        <w:t>el Partido Laborista</w:t>
      </w:r>
      <w:r w:rsidR="00545D1B" w:rsidRPr="00742A04">
        <w:t xml:space="preserve">, </w:t>
      </w:r>
      <w:r w:rsidR="00130F7F" w:rsidRPr="00742A04">
        <w:t>el Partido Socialista de Izquierda</w:t>
      </w:r>
      <w:r w:rsidR="00545D1B" w:rsidRPr="00742A04">
        <w:t xml:space="preserve"> </w:t>
      </w:r>
      <w:r w:rsidR="00BB4DB1" w:rsidRPr="00742A04">
        <w:t xml:space="preserve">y el </w:t>
      </w:r>
      <w:r w:rsidR="00130F7F" w:rsidRPr="00742A04">
        <w:t>Partido de Centro</w:t>
      </w:r>
      <w:r w:rsidR="00545D1B" w:rsidRPr="00742A04">
        <w:t xml:space="preserve"> </w:t>
      </w:r>
      <w:r w:rsidR="00F97F41" w:rsidRPr="00742A04">
        <w:t>estaban a favor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incorpora</w:t>
      </w:r>
      <w:r w:rsidR="00F97F41" w:rsidRPr="00742A04">
        <w:t>r</w:t>
      </w:r>
      <w:r w:rsidR="00545D1B" w:rsidRPr="00742A04">
        <w:t xml:space="preserve"> </w:t>
      </w:r>
      <w:r w:rsidR="00CD2FF0" w:rsidRPr="00742A04">
        <w:t>la Convención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EA776F" w:rsidRPr="00742A04">
        <w:t>Ley sobre Derechos Hum</w:t>
      </w:r>
      <w:r w:rsidR="00EA776F" w:rsidRPr="00742A04">
        <w:t>a</w:t>
      </w:r>
      <w:r w:rsidR="00EA776F" w:rsidRPr="00742A04">
        <w:t>nos</w:t>
      </w:r>
      <w:r w:rsidR="00545D1B" w:rsidRPr="00742A04">
        <w:t xml:space="preserve">, </w:t>
      </w:r>
      <w:r w:rsidR="00F97F41" w:rsidRPr="00742A04">
        <w:t>invocand</w:t>
      </w:r>
      <w:r w:rsidR="0056679F" w:rsidRPr="00742A04">
        <w:t xml:space="preserve">o el </w:t>
      </w:r>
      <w:r w:rsidR="00BD47D3" w:rsidRPr="00742A04">
        <w:t>hecho de que</w:t>
      </w:r>
      <w:r w:rsidR="00545D1B" w:rsidRPr="00742A04">
        <w:t xml:space="preserve"> </w:t>
      </w:r>
      <w:r w:rsidR="00F97F41" w:rsidRPr="00742A04">
        <w:t xml:space="preserve">la </w:t>
      </w:r>
      <w:r w:rsidR="00B0197C" w:rsidRPr="00742A04">
        <w:t>incorporación a</w:t>
      </w:r>
      <w:r w:rsidR="00545D1B" w:rsidRPr="00742A04">
        <w:t xml:space="preserve"> </w:t>
      </w:r>
      <w:r w:rsidR="00F97F41" w:rsidRPr="00742A04">
        <w:t>esta última daría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E5FA4" w:rsidRPr="00742A04">
        <w:t>Convención sobre la eliminación de todas las formas de discriminación contra la mujer</w:t>
      </w:r>
      <w:r w:rsidR="00545D1B" w:rsidRPr="00742A04">
        <w:t xml:space="preserve"> </w:t>
      </w:r>
      <w:r w:rsidR="007D66F2" w:rsidRPr="00742A04">
        <w:t>prec</w:t>
      </w:r>
      <w:r w:rsidR="007D66F2" w:rsidRPr="00742A04">
        <w:t>e</w:t>
      </w:r>
      <w:r w:rsidR="007D66F2" w:rsidRPr="00742A04">
        <w:t>dencia</w:t>
      </w:r>
      <w:r w:rsidR="00545D1B" w:rsidRPr="00742A04">
        <w:t xml:space="preserve"> </w:t>
      </w:r>
      <w:r w:rsidR="00F97F41" w:rsidRPr="00742A04">
        <w:t>sobre las demás</w:t>
      </w:r>
      <w:r w:rsidR="00545D1B" w:rsidRPr="00742A04">
        <w:t xml:space="preserve"> </w:t>
      </w:r>
      <w:r w:rsidR="007D66F2" w:rsidRPr="00742A04">
        <w:t>leyes de N</w:t>
      </w:r>
      <w:r w:rsidR="007D66F2" w:rsidRPr="00742A04">
        <w:t>o</w:t>
      </w:r>
      <w:r w:rsidR="007D66F2" w:rsidRPr="00742A04">
        <w:t>ruega</w:t>
      </w:r>
      <w:r w:rsidR="00545D1B" w:rsidRPr="00742A04">
        <w:t>.</w:t>
      </w:r>
    </w:p>
    <w:p w:rsidR="00545D1B" w:rsidRPr="00742A04" w:rsidRDefault="003C25BF" w:rsidP="002A4469">
      <w:pPr>
        <w:pStyle w:val="SingleTxt"/>
        <w:ind w:firstLine="360"/>
      </w:pPr>
      <w:r w:rsidRPr="00742A04">
        <w:t>Cuand</w:t>
      </w:r>
      <w:r w:rsidR="0056679F" w:rsidRPr="00742A04">
        <w:t xml:space="preserve">o el </w:t>
      </w:r>
      <w:r w:rsidR="00130F7F" w:rsidRPr="00742A04">
        <w:t>Partido Laborista</w:t>
      </w:r>
      <w:r w:rsidR="00545D1B" w:rsidRPr="00742A04">
        <w:t xml:space="preserve">, </w:t>
      </w:r>
      <w:r w:rsidR="00130F7F" w:rsidRPr="00742A04">
        <w:t>el Partido Socialista de Izquierda</w:t>
      </w:r>
      <w:r w:rsidR="00545D1B" w:rsidRPr="00742A04">
        <w:t xml:space="preserve"> </w:t>
      </w:r>
      <w:r w:rsidR="00BB4DB1" w:rsidRPr="00742A04">
        <w:t xml:space="preserve">y el </w:t>
      </w:r>
      <w:r w:rsidR="00130F7F" w:rsidRPr="00742A04">
        <w:t>Partido de Centro</w:t>
      </w:r>
      <w:r w:rsidR="00545D1B" w:rsidRPr="00742A04">
        <w:t xml:space="preserve"> (</w:t>
      </w:r>
      <w:r w:rsidR="003C0D26" w:rsidRPr="00742A04">
        <w:t>el Gobierno Stoltenberg II</w:t>
      </w:r>
      <w:r w:rsidR="00545D1B" w:rsidRPr="00742A04">
        <w:t xml:space="preserve">) </w:t>
      </w:r>
      <w:r w:rsidR="00F97F41" w:rsidRPr="00742A04">
        <w:t>asumieron el poder en el otoño de</w:t>
      </w:r>
      <w:r w:rsidR="00545D1B" w:rsidRPr="00742A04">
        <w:t xml:space="preserve"> 2005, </w:t>
      </w:r>
      <w:r w:rsidR="00F97F41" w:rsidRPr="00742A04">
        <w:t>se comprometieron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F97F41" w:rsidRPr="00742A04">
        <w:t>Declaración de Gobierno</w:t>
      </w:r>
      <w:r w:rsidR="00C14BFF" w:rsidRPr="00742A04">
        <w:t xml:space="preserve"> </w:t>
      </w:r>
      <w:r w:rsidR="0030626A" w:rsidRPr="00742A04">
        <w:t>a</w:t>
      </w:r>
      <w:r w:rsidR="00545D1B" w:rsidRPr="00742A04">
        <w:t xml:space="preserve"> “incorpora</w:t>
      </w:r>
      <w:r w:rsidR="00F97F41" w:rsidRPr="00742A04">
        <w:t>r</w:t>
      </w:r>
      <w:r w:rsidR="00545D1B" w:rsidRPr="00742A04">
        <w:t xml:space="preserve"> </w:t>
      </w:r>
      <w:r w:rsidR="00CD2FF0" w:rsidRPr="00742A04">
        <w:t>la Convención</w:t>
      </w:r>
      <w:r w:rsidR="00EA776F" w:rsidRPr="00742A04">
        <w:t xml:space="preserve"> de </w:t>
      </w:r>
      <w:r w:rsidR="00230F13" w:rsidRPr="00742A04">
        <w:t>las Naciones Unidas</w:t>
      </w:r>
      <w:r w:rsidR="00CE5FA4" w:rsidRPr="00742A04">
        <w:t xml:space="preserve"> sobre la eliminación de todas las formas de discriminación contra la mujer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97F41" w:rsidRPr="00742A04">
        <w:t>Ley</w:t>
      </w:r>
      <w:r w:rsidR="00EA776F" w:rsidRPr="00742A04">
        <w:t xml:space="preserve"> sobre Derechos Humanos</w:t>
      </w:r>
      <w:r w:rsidR="00545D1B" w:rsidRPr="00742A04">
        <w:t>”.</w:t>
      </w:r>
    </w:p>
    <w:p w:rsidR="003C0D26" w:rsidRPr="00742A04" w:rsidRDefault="003C0D26" w:rsidP="003C0D26">
      <w:pPr>
        <w:pStyle w:val="SingleTxt"/>
        <w:spacing w:after="0" w:line="120" w:lineRule="exact"/>
        <w:jc w:val="left"/>
        <w:rPr>
          <w:sz w:val="10"/>
        </w:rPr>
      </w:pPr>
    </w:p>
    <w:p w:rsidR="00545D1B" w:rsidRPr="00065E60" w:rsidRDefault="00545D1B" w:rsidP="003C0D26">
      <w:pPr>
        <w:pStyle w:val="H23"/>
        <w:ind w:left="1267"/>
        <w:rPr>
          <w:b w:val="0"/>
          <w:bCs/>
          <w:i/>
        </w:rPr>
      </w:pPr>
      <w:r w:rsidRPr="00065E60">
        <w:rPr>
          <w:b w:val="0"/>
          <w:bCs/>
          <w:i/>
        </w:rPr>
        <w:t>Invoca</w:t>
      </w:r>
      <w:r w:rsidR="00C14BFF" w:rsidRPr="00065E60">
        <w:rPr>
          <w:b w:val="0"/>
          <w:bCs/>
          <w:i/>
        </w:rPr>
        <w:t xml:space="preserve">ción </w:t>
      </w:r>
      <w:r w:rsidR="00F43124" w:rsidRPr="00065E60">
        <w:rPr>
          <w:b w:val="0"/>
          <w:bCs/>
          <w:i/>
        </w:rPr>
        <w:t xml:space="preserve">de la </w:t>
      </w:r>
      <w:r w:rsidR="003C0D26" w:rsidRPr="00065E60">
        <w:rPr>
          <w:b w:val="0"/>
          <w:bCs/>
          <w:i/>
        </w:rPr>
        <w:t>Con</w:t>
      </w:r>
      <w:r w:rsidR="00F97F41" w:rsidRPr="00065E60">
        <w:rPr>
          <w:b w:val="0"/>
          <w:bCs/>
          <w:i/>
        </w:rPr>
        <w:t>vención sobre la eliminación de</w:t>
      </w:r>
      <w:r w:rsidR="00F97F41" w:rsidRPr="00065E60">
        <w:rPr>
          <w:b w:val="0"/>
          <w:bCs/>
          <w:i/>
        </w:rPr>
        <w:br/>
      </w:r>
      <w:r w:rsidR="003C0D26" w:rsidRPr="00065E60">
        <w:rPr>
          <w:b w:val="0"/>
          <w:bCs/>
          <w:i/>
        </w:rPr>
        <w:t>todas las formas</w:t>
      </w:r>
      <w:r w:rsidR="00F97F41" w:rsidRPr="00065E60">
        <w:rPr>
          <w:b w:val="0"/>
          <w:bCs/>
          <w:i/>
        </w:rPr>
        <w:t xml:space="preserve"> de </w:t>
      </w:r>
      <w:r w:rsidR="00CE5FA4" w:rsidRPr="00065E60">
        <w:rPr>
          <w:b w:val="0"/>
          <w:bCs/>
          <w:i/>
        </w:rPr>
        <w:t>discriminación contra la mujer</w:t>
      </w:r>
      <w:r w:rsidR="006137EC" w:rsidRPr="00065E60">
        <w:rPr>
          <w:b w:val="0"/>
          <w:bCs/>
          <w:i/>
        </w:rPr>
        <w:br/>
        <w:t xml:space="preserve">en </w:t>
      </w:r>
      <w:r w:rsidR="00F97F41" w:rsidRPr="00065E60">
        <w:rPr>
          <w:b w:val="0"/>
          <w:bCs/>
          <w:i/>
        </w:rPr>
        <w:t xml:space="preserve">el cumplimiento </w:t>
      </w:r>
      <w:r w:rsidR="00F43124" w:rsidRPr="00065E60">
        <w:rPr>
          <w:b w:val="0"/>
          <w:bCs/>
          <w:i/>
        </w:rPr>
        <w:t xml:space="preserve">de la </w:t>
      </w:r>
      <w:r w:rsidR="00F97F41" w:rsidRPr="00065E60">
        <w:rPr>
          <w:b w:val="0"/>
          <w:bCs/>
          <w:i/>
        </w:rPr>
        <w:t>ley en el plano nacional</w:t>
      </w:r>
    </w:p>
    <w:p w:rsidR="003C0D26" w:rsidRPr="00742A04" w:rsidRDefault="003C0D26" w:rsidP="003C0D26">
      <w:pPr>
        <w:pStyle w:val="SingleTxt"/>
        <w:spacing w:after="0" w:line="120" w:lineRule="exact"/>
        <w:ind w:firstLine="360"/>
        <w:rPr>
          <w:sz w:val="10"/>
        </w:rPr>
      </w:pPr>
    </w:p>
    <w:p w:rsidR="00545D1B" w:rsidRPr="00742A04" w:rsidRDefault="006137EC" w:rsidP="002A4469">
      <w:pPr>
        <w:pStyle w:val="SingleTxt"/>
        <w:ind w:firstLine="360"/>
      </w:pPr>
      <w:r w:rsidRPr="00742A04">
        <w:t>Las d</w:t>
      </w:r>
      <w:r w:rsidR="003A355B" w:rsidRPr="00742A04">
        <w:t>isposiciones legislativas de 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C0D26" w:rsidRPr="00742A04">
        <w:t>la jurisprudencia</w:t>
      </w:r>
      <w:r w:rsidR="00545D1B" w:rsidRPr="00742A04">
        <w:t xml:space="preserve"> </w:t>
      </w:r>
      <w:r w:rsidRPr="00742A04">
        <w:t>son</w:t>
      </w:r>
      <w:r w:rsidR="00545D1B" w:rsidRPr="00742A04">
        <w:t xml:space="preserve"> </w:t>
      </w:r>
      <w:r w:rsidRPr="00742A04">
        <w:t>las fuentes primarias de derecho</w:t>
      </w:r>
      <w:r w:rsidR="00545D1B" w:rsidRPr="00742A04">
        <w:t xml:space="preserve"> </w:t>
      </w:r>
      <w:r w:rsidRPr="00742A04">
        <w:t>invocadas ante</w:t>
      </w:r>
      <w:r w:rsidR="00545D1B" w:rsidRPr="00742A04">
        <w:t xml:space="preserve"> </w:t>
      </w:r>
      <w:r w:rsidRPr="00742A04">
        <w:t>los tribunales de 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relación con los organismos </w:t>
      </w:r>
      <w:r w:rsidR="00545D1B" w:rsidRPr="00742A04">
        <w:t>administrativ</w:t>
      </w:r>
      <w:r w:rsidRPr="00742A04">
        <w:t>os de Noruega</w:t>
      </w:r>
      <w:r w:rsidR="00545D1B" w:rsidRPr="00742A04">
        <w:t xml:space="preserve">. </w:t>
      </w:r>
      <w:r w:rsidRPr="00742A04">
        <w:t>Sin embargo, e</w:t>
      </w:r>
      <w:r w:rsidR="004A0730" w:rsidRPr="00742A04">
        <w:t>n</w:t>
      </w:r>
      <w:r w:rsidR="00545D1B" w:rsidRPr="00742A04">
        <w:t xml:space="preserve"> </w:t>
      </w:r>
      <w:r w:rsidRPr="00742A04">
        <w:t>varios casos</w:t>
      </w:r>
      <w:r w:rsidR="00545D1B" w:rsidRPr="00742A04">
        <w:t xml:space="preserve"> </w:t>
      </w:r>
      <w:r w:rsidR="00EB47EC">
        <w:t xml:space="preserve">la </w:t>
      </w:r>
      <w:r w:rsidR="005E603B" w:rsidRPr="00742A04">
        <w:t>Ombud</w:t>
      </w:r>
      <w:r w:rsidR="005E603B" w:rsidRPr="00742A04">
        <w:t>s</w:t>
      </w:r>
      <w:r w:rsidR="005E603B" w:rsidRPr="00742A04">
        <w:t>man de Igualdad de Género</w:t>
      </w:r>
      <w:r w:rsidR="00545D1B" w:rsidRPr="00742A04">
        <w:t xml:space="preserve"> </w:t>
      </w:r>
      <w:r w:rsidRPr="00742A04">
        <w:t>ha presentado</w:t>
      </w:r>
      <w:r w:rsidR="00545D1B" w:rsidRPr="00742A04">
        <w:t xml:space="preserve"> </w:t>
      </w:r>
      <w:r w:rsidRPr="00742A04">
        <w:t>argumentos</w:t>
      </w:r>
      <w:r w:rsidR="00545D1B" w:rsidRPr="00742A04">
        <w:t xml:space="preserve"> </w:t>
      </w:r>
      <w:r w:rsidR="00065E60">
        <w:t>fundados en</w:t>
      </w:r>
      <w:r w:rsidR="00545D1B" w:rsidRPr="00742A04">
        <w:t xml:space="preserve"> </w:t>
      </w:r>
      <w:r w:rsidR="00CE5FA4" w:rsidRPr="00742A04">
        <w:t>la Convención sobre la eliminación de todas las formas de discriminación contra la mujer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Pr="00742A04">
        <w:t>ha r</w:t>
      </w:r>
      <w:r w:rsidRPr="00742A04">
        <w:t>e</w:t>
      </w:r>
      <w:r w:rsidRPr="00742A04">
        <w:t>currido a dicha convención con frecuencia en los</w:t>
      </w:r>
      <w:r w:rsidR="00545D1B" w:rsidRPr="00742A04">
        <w:t xml:space="preserve"> </w:t>
      </w:r>
      <w:r w:rsidRPr="00742A04">
        <w:t>fundamentos de</w:t>
      </w:r>
      <w:r w:rsidR="00545D1B" w:rsidRPr="00742A04">
        <w:t xml:space="preserve"> </w:t>
      </w:r>
      <w:r w:rsidRPr="00742A04">
        <w:t>diversas opini</w:t>
      </w:r>
      <w:r w:rsidRPr="00742A04">
        <w:t>o</w:t>
      </w:r>
      <w:r w:rsidRPr="00742A04">
        <w:t>nes</w:t>
      </w:r>
      <w:r w:rsidR="00545D1B" w:rsidRPr="00742A04">
        <w:t xml:space="preserve">. </w:t>
      </w:r>
      <w:r w:rsidR="0073499D" w:rsidRPr="00742A04">
        <w:t xml:space="preserve">Ello se aplica, por ejemplo, a varias quejas </w:t>
      </w:r>
      <w:r w:rsidR="0073499D">
        <w:t>relativas a</w:t>
      </w:r>
      <w:r w:rsidR="0073499D" w:rsidRPr="00742A04">
        <w:t xml:space="preserve"> una publicidad con est</w:t>
      </w:r>
      <w:r w:rsidR="0073499D" w:rsidRPr="00742A04">
        <w:t>e</w:t>
      </w:r>
      <w:r w:rsidR="0073499D" w:rsidRPr="00742A04">
        <w:t>reotipos de género, una esfera en la</w:t>
      </w:r>
      <w:r w:rsidR="0073499D">
        <w:t xml:space="preserve"> </w:t>
      </w:r>
      <w:r w:rsidR="0073499D" w:rsidRPr="00742A04">
        <w:t>cual Noruega procura fortalecer la protección jurídica en consonancia con las exigencias de la Convención sobre la elimin</w:t>
      </w:r>
      <w:r w:rsidR="0073499D" w:rsidRPr="00742A04">
        <w:t>a</w:t>
      </w:r>
      <w:r w:rsidR="0073499D" w:rsidRPr="00742A04">
        <w:t>ción de todas las formas de discriminación contra la mujer; véase la sección referente al a</w:t>
      </w:r>
      <w:r w:rsidR="0073499D" w:rsidRPr="00742A04">
        <w:t>r</w:t>
      </w:r>
      <w:r w:rsidR="0073499D" w:rsidRPr="00742A04">
        <w:t xml:space="preserve">tículo 5. </w:t>
      </w:r>
      <w:r w:rsidR="004A0730" w:rsidRPr="00742A04">
        <w:t>En</w:t>
      </w:r>
      <w:r w:rsidR="00545D1B" w:rsidRPr="00742A04">
        <w:t xml:space="preserve"> </w:t>
      </w:r>
      <w:r w:rsidR="008A2682" w:rsidRPr="00742A04">
        <w:t>esos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, </w:t>
      </w:r>
      <w:r w:rsidR="00EB47EC">
        <w:t xml:space="preserve">la </w:t>
      </w:r>
      <w:r w:rsidRPr="00742A04">
        <w:t>Ombudsman</w:t>
      </w:r>
      <w:r w:rsidR="00545D1B" w:rsidRPr="00742A04">
        <w:t xml:space="preserve"> </w:t>
      </w:r>
      <w:r w:rsidR="008A2682" w:rsidRPr="00742A04">
        <w:t>ha señalado que</w:t>
      </w:r>
      <w:r w:rsidR="00545D1B" w:rsidRPr="00742A04">
        <w:t xml:space="preserve"> </w:t>
      </w:r>
      <w:r w:rsidR="00CE5FA4" w:rsidRPr="00742A04">
        <w:t>la Convención sobre la el</w:t>
      </w:r>
      <w:r w:rsidR="00CE5FA4" w:rsidRPr="00742A04">
        <w:t>i</w:t>
      </w:r>
      <w:r w:rsidR="00CE5FA4" w:rsidRPr="00742A04">
        <w:t>minación de todas las formas de discriminación contra la mujer</w:t>
      </w:r>
      <w:r w:rsidR="00545D1B" w:rsidRPr="00742A04">
        <w:t xml:space="preserve"> </w:t>
      </w:r>
      <w:r w:rsidR="008A2682" w:rsidRPr="00742A04">
        <w:t>impone a los Est</w:t>
      </w:r>
      <w:r w:rsidR="008A2682" w:rsidRPr="00742A04">
        <w:t>a</w:t>
      </w:r>
      <w:r w:rsidR="008A2682" w:rsidRPr="00742A04">
        <w:t>dos Partes la obligación de</w:t>
      </w:r>
      <w:r w:rsidR="00CB0483" w:rsidRPr="00742A04">
        <w:t xml:space="preserve"> </w:t>
      </w:r>
      <w:r w:rsidR="00072AD7" w:rsidRPr="00742A04">
        <w:t>adopt</w:t>
      </w:r>
      <w:r w:rsidR="008A2682" w:rsidRPr="00742A04">
        <w:t>ar</w:t>
      </w:r>
      <w:r w:rsidR="00545D1B" w:rsidRPr="00742A04">
        <w:t xml:space="preserve"> </w:t>
      </w:r>
      <w:r w:rsidR="00072AD7" w:rsidRPr="00742A04">
        <w:t>todas las medidas adecuadas para</w:t>
      </w:r>
      <w:r w:rsidR="00545D1B" w:rsidRPr="00742A04">
        <w:t xml:space="preserve"> </w:t>
      </w:r>
      <w:r w:rsidR="00072AD7" w:rsidRPr="00742A04">
        <w:t>mod</w:t>
      </w:r>
      <w:r w:rsidR="00072AD7" w:rsidRPr="00742A04">
        <w:t>i</w:t>
      </w:r>
      <w:r w:rsidR="00072AD7" w:rsidRPr="00742A04">
        <w:t>ficar los patrones socioculturales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conducta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230F13" w:rsidRPr="00742A04">
        <w:t>con miras a</w:t>
      </w:r>
      <w:r w:rsidR="00545D1B" w:rsidRPr="00742A04">
        <w:t xml:space="preserve"> </w:t>
      </w:r>
      <w:r w:rsidR="00072AD7" w:rsidRPr="00742A04">
        <w:t>a</w:t>
      </w:r>
      <w:r w:rsidR="00072AD7" w:rsidRPr="00742A04">
        <w:t>l</w:t>
      </w:r>
      <w:r w:rsidR="00072AD7" w:rsidRPr="00742A04">
        <w:t>canzar la</w:t>
      </w:r>
      <w:r w:rsidR="00545D1B" w:rsidRPr="00742A04">
        <w:t xml:space="preserve"> elimina</w:t>
      </w:r>
      <w:r w:rsidR="00C14BFF" w:rsidRPr="00742A04">
        <w:t xml:space="preserve">ción </w:t>
      </w:r>
      <w:r w:rsidR="00C076F2" w:rsidRPr="00742A04">
        <w:t xml:space="preserve">de los </w:t>
      </w:r>
      <w:r w:rsidR="00072AD7" w:rsidRPr="00742A04">
        <w:t>prejuicios</w:t>
      </w:r>
      <w:r w:rsidR="00545D1B" w:rsidRPr="00742A04">
        <w:t xml:space="preserve"> </w:t>
      </w:r>
      <w:r w:rsidR="00072AD7" w:rsidRPr="00742A04">
        <w:t>relativos a</w:t>
      </w:r>
      <w:r w:rsidR="00545D1B" w:rsidRPr="00742A04">
        <w:t xml:space="preserve"> </w:t>
      </w:r>
      <w:r w:rsidR="00072AD7" w:rsidRPr="00742A04">
        <w:t>los sexos</w:t>
      </w:r>
      <w:r w:rsidR="00545D1B" w:rsidRPr="00742A04">
        <w:t xml:space="preserve"> </w:t>
      </w:r>
      <w:r w:rsidR="00072AD7" w:rsidRPr="00742A04">
        <w:t xml:space="preserve">que </w:t>
      </w:r>
      <w:r w:rsidR="00065E60">
        <w:t>se</w:t>
      </w:r>
      <w:r w:rsidR="00D52339" w:rsidRPr="00742A04">
        <w:t xml:space="preserve"> base</w:t>
      </w:r>
      <w:r w:rsidR="00065E60">
        <w:t>n en los</w:t>
      </w:r>
      <w:r w:rsidR="00072AD7" w:rsidRPr="00742A04">
        <w:t xml:space="preserve"> estereotip</w:t>
      </w:r>
      <w:r w:rsidR="00065E60">
        <w:t>os relativos a los roles</w:t>
      </w:r>
      <w:r w:rsidR="00072AD7" w:rsidRPr="00742A04">
        <w:t xml:space="preserve"> 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>.</w:t>
      </w:r>
    </w:p>
    <w:p w:rsidR="00545D1B" w:rsidRPr="00742A04" w:rsidRDefault="00CE5FA4" w:rsidP="002A4469">
      <w:pPr>
        <w:pStyle w:val="SingleTxt"/>
        <w:ind w:firstLine="360"/>
      </w:pPr>
      <w:r w:rsidRPr="00742A04">
        <w:t>La Convención sobre la eliminación de todas las formas de discriminación c</w:t>
      </w:r>
      <w:r w:rsidRPr="00742A04">
        <w:t>o</w:t>
      </w:r>
      <w:r w:rsidRPr="00742A04">
        <w:t>ntra la mujer</w:t>
      </w:r>
      <w:r w:rsidR="00545D1B" w:rsidRPr="00742A04">
        <w:t xml:space="preserve"> ha</w:t>
      </w:r>
      <w:r w:rsidR="00072AD7" w:rsidRPr="00742A04">
        <w:t xml:space="preserve"> sido invocada raras vece</w:t>
      </w:r>
      <w:r w:rsidR="00545D1B" w:rsidRPr="00742A04">
        <w:t xml:space="preserve">s </w:t>
      </w:r>
      <w:r w:rsidR="00072AD7" w:rsidRPr="00742A04">
        <w:t>ante un tribunal de Noruega</w:t>
      </w:r>
      <w:r w:rsidR="00545D1B" w:rsidRPr="00742A04">
        <w:t>.</w:t>
      </w:r>
      <w:r w:rsidR="001167D2" w:rsidRPr="00742A04">
        <w:t xml:space="preserve"> </w:t>
      </w:r>
      <w:r w:rsidR="004A0730" w:rsidRPr="00742A04">
        <w:t>En</w:t>
      </w:r>
      <w:r w:rsidR="00545D1B" w:rsidRPr="00742A04">
        <w:t xml:space="preserve"> </w:t>
      </w:r>
      <w:r w:rsidR="00072AD7" w:rsidRPr="00742A04">
        <w:t>un caso de asilo</w:t>
      </w:r>
      <w:r w:rsidR="00545D1B" w:rsidRPr="00742A04">
        <w:t xml:space="preserve"> </w:t>
      </w:r>
      <w:r w:rsidR="00072AD7" w:rsidRPr="00742A04">
        <w:t>ante el Tribunal de Apelaciones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776F" w:rsidRPr="00742A04">
        <w:t>marzo de</w:t>
      </w:r>
      <w:r w:rsidR="00545D1B" w:rsidRPr="00742A04">
        <w:t xml:space="preserve"> 2006, </w:t>
      </w:r>
      <w:r w:rsidR="00072AD7" w:rsidRPr="00742A04">
        <w:t>una mujer</w:t>
      </w:r>
      <w:r w:rsidR="00545D1B" w:rsidRPr="00742A04">
        <w:t xml:space="preserve"> </w:t>
      </w:r>
      <w:r w:rsidR="00072AD7" w:rsidRPr="00742A04">
        <w:t>fundamentó su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072AD7" w:rsidRPr="00742A04">
        <w:t>asilo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072AD7" w:rsidRPr="00742A04">
        <w:t>en el argumento de que</w:t>
      </w:r>
      <w:r w:rsidR="00545D1B" w:rsidRPr="00742A04">
        <w:t xml:space="preserve"> </w:t>
      </w:r>
      <w:r w:rsidR="00072AD7" w:rsidRPr="00742A04">
        <w:t>su país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origen</w:t>
      </w:r>
      <w:r w:rsidR="00545D1B" w:rsidRPr="00742A04">
        <w:t xml:space="preserve"> </w:t>
      </w:r>
      <w:r w:rsidR="00072AD7" w:rsidRPr="00742A04">
        <w:t>no había firmado</w:t>
      </w:r>
      <w:r w:rsidR="00545D1B" w:rsidRPr="00742A04">
        <w:t xml:space="preserve"> </w:t>
      </w:r>
      <w:r w:rsidRPr="00742A04">
        <w:t>la Convención sobre la eliminación de todas las formas de discriminación contra la mujer</w:t>
      </w:r>
      <w:r w:rsidR="00545D1B" w:rsidRPr="00742A04">
        <w:t>.</w:t>
      </w:r>
    </w:p>
    <w:p w:rsidR="002A4469" w:rsidRPr="00742A04" w:rsidRDefault="002A4469" w:rsidP="002A4469">
      <w:pPr>
        <w:pStyle w:val="H1"/>
        <w:spacing w:line="120" w:lineRule="exact"/>
        <w:ind w:left="2534" w:right="1260" w:hanging="1267"/>
        <w:rPr>
          <w:bCs/>
          <w:sz w:val="10"/>
          <w:szCs w:val="24"/>
        </w:rPr>
      </w:pPr>
      <w:bookmarkStart w:id="1" w:name="_Toc131924659"/>
      <w:bookmarkStart w:id="2" w:name="_Toc147129448"/>
    </w:p>
    <w:p w:rsidR="002A4469" w:rsidRPr="00742A04" w:rsidRDefault="00072AD7" w:rsidP="005176A8">
      <w:pPr>
        <w:pStyle w:val="H23"/>
        <w:ind w:left="1267"/>
        <w:rPr>
          <w:bCs/>
          <w:szCs w:val="24"/>
        </w:rPr>
      </w:pPr>
      <w:r w:rsidRPr="00742A04">
        <w:rPr>
          <w:bCs/>
          <w:szCs w:val="24"/>
        </w:rPr>
        <w:t xml:space="preserve">Artículo 2 </w:t>
      </w:r>
      <w:r w:rsidRPr="00742A04">
        <w:rPr>
          <w:bCs/>
          <w:i/>
          <w:szCs w:val="24"/>
        </w:rPr>
        <w:t>b</w:t>
      </w:r>
    </w:p>
    <w:p w:rsidR="00545D1B" w:rsidRPr="00742A04" w:rsidRDefault="00A05847" w:rsidP="005176A8">
      <w:pPr>
        <w:pStyle w:val="H23"/>
        <w:ind w:left="1267"/>
        <w:rPr>
          <w:bCs/>
          <w:szCs w:val="24"/>
        </w:rPr>
      </w:pPr>
      <w:r w:rsidRPr="00742A04">
        <w:rPr>
          <w:bCs/>
          <w:szCs w:val="24"/>
        </w:rPr>
        <w:t>La Ley sobre la Igualdad de Género</w:t>
      </w:r>
      <w:bookmarkEnd w:id="1"/>
      <w:bookmarkEnd w:id="2"/>
      <w:r w:rsidR="00545D1B" w:rsidRPr="00742A04">
        <w:rPr>
          <w:bCs/>
          <w:szCs w:val="24"/>
        </w:rPr>
        <w:t xml:space="preserve"> </w:t>
      </w:r>
    </w:p>
    <w:p w:rsidR="002A4469" w:rsidRPr="00742A04" w:rsidRDefault="002A4469" w:rsidP="002A4469">
      <w:pPr>
        <w:spacing w:line="120" w:lineRule="exact"/>
        <w:ind w:left="1267"/>
        <w:rPr>
          <w:sz w:val="10"/>
        </w:rPr>
      </w:pPr>
    </w:p>
    <w:p w:rsidR="00545D1B" w:rsidRPr="00742A04" w:rsidRDefault="00230F13" w:rsidP="0030626A">
      <w:pPr>
        <w:pStyle w:val="SingleTxt"/>
        <w:ind w:firstLine="475"/>
      </w:pPr>
      <w:r w:rsidRPr="00742A04">
        <w:t>La Ley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9 </w:t>
      </w:r>
      <w:r w:rsidR="00EA776F" w:rsidRPr="00742A04">
        <w:t>de junio de</w:t>
      </w:r>
      <w:r w:rsidR="00545D1B" w:rsidRPr="00742A04">
        <w:t xml:space="preserve"> 1978</w:t>
      </w:r>
      <w:r w:rsidR="00065E60">
        <w:t>,</w:t>
      </w:r>
      <w:r w:rsidR="00545D1B" w:rsidRPr="00742A04">
        <w:t xml:space="preserve"> </w:t>
      </w:r>
      <w:r w:rsidR="00F97F41" w:rsidRPr="00742A04">
        <w:t>N°</w:t>
      </w:r>
      <w:r w:rsidR="00545D1B" w:rsidRPr="00742A04">
        <w:t xml:space="preserve"> 45</w:t>
      </w:r>
      <w:r w:rsidR="00072AD7" w:rsidRPr="00742A04">
        <w:t>,</w:t>
      </w:r>
      <w:r w:rsidR="00545D1B" w:rsidRPr="00742A04">
        <w:t xml:space="preserve"> </w:t>
      </w:r>
      <w:r w:rsidR="00072AD7" w:rsidRPr="00742A04">
        <w:t>relativa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072AD7" w:rsidRPr="00742A04">
        <w:t>igualdad</w:t>
      </w:r>
      <w:r w:rsidR="00A05847" w:rsidRPr="00742A04">
        <w:t xml:space="preserve"> de género</w:t>
      </w:r>
      <w:r w:rsidR="00545D1B" w:rsidRPr="00742A04">
        <w:t xml:space="preserve"> (</w:t>
      </w:r>
      <w:r w:rsidR="00A05847" w:rsidRPr="00742A04">
        <w:t>la Ley sobre la Igualdad de Género</w:t>
      </w:r>
      <w:r w:rsidR="00545D1B" w:rsidRPr="00742A04">
        <w:t xml:space="preserve">) </w:t>
      </w:r>
      <w:r w:rsidR="00072AD7" w:rsidRPr="00742A04">
        <w:t>fue enmendada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2005. </w:t>
      </w:r>
      <w:r w:rsidR="00072AD7" w:rsidRPr="00742A04">
        <w:t>La razón</w:t>
      </w:r>
      <w:r w:rsidR="00545D1B" w:rsidRPr="00742A04">
        <w:t xml:space="preserve"> </w:t>
      </w:r>
      <w:r w:rsidR="00AF398C" w:rsidRPr="00742A04">
        <w:t>de las</w:t>
      </w:r>
      <w:r w:rsidR="00545D1B" w:rsidRPr="00742A04">
        <w:t xml:space="preserve"> </w:t>
      </w:r>
      <w:r w:rsidR="00CD2FF0" w:rsidRPr="00742A04">
        <w:t>enmiendas</w:t>
      </w:r>
      <w:r w:rsidR="00545D1B" w:rsidRPr="00742A04">
        <w:t xml:space="preserve"> </w:t>
      </w:r>
      <w:r w:rsidR="00AF398C" w:rsidRPr="00742A04">
        <w:t>fue asegurar la satisfactoria</w:t>
      </w:r>
      <w:r w:rsidR="00545D1B" w:rsidRPr="00742A04">
        <w:t xml:space="preserve"> </w:t>
      </w:r>
      <w:r w:rsidR="00AF398C" w:rsidRPr="00742A04">
        <w:t>aplic</w:t>
      </w:r>
      <w:r w:rsidR="00545D1B" w:rsidRPr="00742A04">
        <w:t>a</w:t>
      </w:r>
      <w:r w:rsidR="00C14BFF" w:rsidRPr="00742A04">
        <w:t xml:space="preserve">ción </w:t>
      </w:r>
      <w:r w:rsidR="00F43124" w:rsidRPr="00742A04">
        <w:t xml:space="preserve">de la </w:t>
      </w:r>
      <w:r w:rsidR="00963214" w:rsidRPr="00742A04">
        <w:t>Directiva</w:t>
      </w:r>
      <w:r w:rsidR="00545D1B" w:rsidRPr="00742A04">
        <w:t xml:space="preserve"> 2002/73/EC </w:t>
      </w:r>
      <w:r w:rsidR="00AF398C" w:rsidRPr="00742A04">
        <w:t>del Parlamento Europeo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F398C" w:rsidRPr="00742A04">
        <w:t xml:space="preserve">del </w:t>
      </w:r>
      <w:r w:rsidR="00963214" w:rsidRPr="00742A04">
        <w:t>Consejo</w:t>
      </w:r>
      <w:r w:rsidR="00545D1B" w:rsidRPr="00742A04">
        <w:rPr>
          <w:b/>
          <w:bCs/>
        </w:rPr>
        <w:t xml:space="preserve"> </w:t>
      </w:r>
      <w:r w:rsidR="00545D1B" w:rsidRPr="00742A04">
        <w:rPr>
          <w:bCs/>
        </w:rPr>
        <w:t>(</w:t>
      </w:r>
      <w:r w:rsidR="00AF398C" w:rsidRPr="00742A04">
        <w:rPr>
          <w:bCs/>
        </w:rPr>
        <w:t>sobre la</w:t>
      </w:r>
      <w:r w:rsidR="00545D1B" w:rsidRPr="00742A04">
        <w:rPr>
          <w:bCs/>
        </w:rPr>
        <w:t xml:space="preserve"> </w:t>
      </w:r>
      <w:r w:rsidR="00AF398C" w:rsidRPr="00742A04">
        <w:rPr>
          <w:bCs/>
        </w:rPr>
        <w:t>aplic</w:t>
      </w:r>
      <w:r w:rsidR="00545D1B" w:rsidRPr="00742A04">
        <w:rPr>
          <w:bCs/>
        </w:rPr>
        <w:t>a</w:t>
      </w:r>
      <w:r w:rsidR="00C14BFF" w:rsidRPr="00742A04">
        <w:rPr>
          <w:bCs/>
        </w:rPr>
        <w:t xml:space="preserve">ción </w:t>
      </w:r>
      <w:r w:rsidR="00AF398C" w:rsidRPr="00742A04">
        <w:rPr>
          <w:bCs/>
        </w:rPr>
        <w:t xml:space="preserve">del </w:t>
      </w:r>
      <w:r w:rsidR="00E575DB" w:rsidRPr="00742A04">
        <w:rPr>
          <w:bCs/>
        </w:rPr>
        <w:t>principio de igualdad</w:t>
      </w:r>
      <w:r w:rsidR="00AF398C" w:rsidRPr="00742A04">
        <w:rPr>
          <w:bCs/>
        </w:rPr>
        <w:t xml:space="preserve"> de trato</w:t>
      </w:r>
      <w:r w:rsidR="00545D1B" w:rsidRPr="00742A04">
        <w:rPr>
          <w:bCs/>
        </w:rPr>
        <w:t xml:space="preserve"> </w:t>
      </w:r>
      <w:r w:rsidR="00AF398C" w:rsidRPr="00742A04">
        <w:rPr>
          <w:bCs/>
        </w:rPr>
        <w:t>entre</w:t>
      </w:r>
      <w:r w:rsidR="00545D1B" w:rsidRPr="00742A04">
        <w:rPr>
          <w:bCs/>
        </w:rPr>
        <w:t xml:space="preserve"> </w:t>
      </w:r>
      <w:r w:rsidR="00072AD7" w:rsidRPr="00742A04">
        <w:rPr>
          <w:bCs/>
        </w:rPr>
        <w:t>hombres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072AD7" w:rsidRPr="00742A04">
        <w:rPr>
          <w:bCs/>
        </w:rPr>
        <w:t>mujeres</w:t>
      </w:r>
      <w:r w:rsidR="00545D1B" w:rsidRPr="00742A04">
        <w:rPr>
          <w:bCs/>
        </w:rPr>
        <w:t xml:space="preserve"> </w:t>
      </w:r>
      <w:r w:rsidR="00AF398C" w:rsidRPr="00742A04">
        <w:rPr>
          <w:bCs/>
        </w:rPr>
        <w:t>en lo que se refiere al acceso al</w:t>
      </w:r>
      <w:r w:rsidR="00545D1B" w:rsidRPr="00742A04">
        <w:rPr>
          <w:bCs/>
        </w:rPr>
        <w:t xml:space="preserve"> </w:t>
      </w:r>
      <w:r w:rsidR="005E2D7A" w:rsidRPr="00742A04">
        <w:rPr>
          <w:bCs/>
        </w:rPr>
        <w:t>el empleo</w:t>
      </w:r>
      <w:r w:rsidR="00545D1B" w:rsidRPr="00742A04">
        <w:rPr>
          <w:bCs/>
        </w:rPr>
        <w:t>,</w:t>
      </w:r>
      <w:r w:rsidR="001E30D6" w:rsidRPr="00742A04">
        <w:rPr>
          <w:bCs/>
        </w:rPr>
        <w:t xml:space="preserve"> </w:t>
      </w:r>
      <w:r w:rsidR="00A80F26">
        <w:rPr>
          <w:bCs/>
        </w:rPr>
        <w:t>a la</w:t>
      </w:r>
      <w:r w:rsidR="001E30D6" w:rsidRPr="00742A04">
        <w:rPr>
          <w:bCs/>
        </w:rPr>
        <w:t xml:space="preserve"> </w:t>
      </w:r>
      <w:r w:rsidR="00AF398C" w:rsidRPr="00742A04">
        <w:rPr>
          <w:bCs/>
        </w:rPr>
        <w:t>formación y pr</w:t>
      </w:r>
      <w:r w:rsidR="00AF398C" w:rsidRPr="00742A04">
        <w:rPr>
          <w:bCs/>
        </w:rPr>
        <w:t>o</w:t>
      </w:r>
      <w:r w:rsidR="00AF398C" w:rsidRPr="00742A04">
        <w:rPr>
          <w:bCs/>
        </w:rPr>
        <w:t>moción profesionales</w:t>
      </w:r>
      <w:r w:rsidR="00545D1B" w:rsidRPr="00742A04">
        <w:rPr>
          <w:bCs/>
        </w:rPr>
        <w:t xml:space="preserve">,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AF398C" w:rsidRPr="00742A04">
        <w:rPr>
          <w:bCs/>
        </w:rPr>
        <w:t>a las condiciones de trabajo</w:t>
      </w:r>
      <w:r w:rsidR="00545D1B" w:rsidRPr="00742A04">
        <w:rPr>
          <w:bCs/>
        </w:rPr>
        <w:t xml:space="preserve">), </w:t>
      </w:r>
      <w:r w:rsidR="00AF398C" w:rsidRPr="00742A04">
        <w:rPr>
          <w:bCs/>
        </w:rPr>
        <w:t>cuya finalidad es</w:t>
      </w:r>
      <w:r w:rsidR="00545D1B" w:rsidRPr="00742A04">
        <w:rPr>
          <w:bCs/>
        </w:rPr>
        <w:t xml:space="preserve"> </w:t>
      </w:r>
      <w:r w:rsidR="006137EC" w:rsidRPr="00742A04">
        <w:t>fortal</w:t>
      </w:r>
      <w:r w:rsidR="006137EC" w:rsidRPr="00742A04">
        <w:t>e</w:t>
      </w:r>
      <w:r w:rsidR="006137EC" w:rsidRPr="00742A04">
        <w:t>cer</w:t>
      </w:r>
      <w:r w:rsidR="00545D1B" w:rsidRPr="00742A04">
        <w:t xml:space="preserve"> </w:t>
      </w:r>
      <w:r w:rsidR="00AF398C" w:rsidRPr="00742A04">
        <w:t xml:space="preserve">la </w:t>
      </w:r>
      <w:r w:rsidR="00A05847" w:rsidRPr="00742A04">
        <w:t>igualdad de género</w:t>
      </w:r>
      <w:r w:rsidR="00545D1B" w:rsidRPr="00742A04">
        <w:t xml:space="preserve">. </w:t>
      </w:r>
      <w:r w:rsidR="00AF398C" w:rsidRPr="00742A04">
        <w:t>Las</w:t>
      </w:r>
      <w:r w:rsidR="00545D1B" w:rsidRPr="00742A04">
        <w:t xml:space="preserve"> </w:t>
      </w:r>
      <w:r w:rsidR="00AF398C" w:rsidRPr="00742A04">
        <w:t>enmiendas legislativas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963214" w:rsidRPr="00742A04">
        <w:t>se introdujeron con el fin de asegurar la armoniza</w:t>
      </w:r>
      <w:r w:rsidR="00C14BFF" w:rsidRPr="00742A04">
        <w:t xml:space="preserve">ción </w:t>
      </w:r>
      <w:r w:rsidR="00F43124" w:rsidRPr="00742A04">
        <w:t xml:space="preserve">de la </w:t>
      </w:r>
      <w:r w:rsidR="00A05847" w:rsidRPr="00742A04">
        <w:t>Ley sobre la Igualdad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63214" w:rsidRPr="00742A04">
        <w:t xml:space="preserve">la Ley </w:t>
      </w:r>
      <w:r w:rsidR="00AF398C" w:rsidRPr="00742A04">
        <w:t>sobre el Ambiente de Trabajo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Ley</w:t>
      </w:r>
      <w:r w:rsidR="00545D1B" w:rsidRPr="00742A04">
        <w:t xml:space="preserve"> </w:t>
      </w:r>
      <w:r w:rsidR="00EA6AC2" w:rsidRPr="00742A04">
        <w:t>de</w:t>
      </w:r>
      <w:r w:rsidR="00545D1B" w:rsidRPr="00742A04">
        <w:t xml:space="preserve"> prohibi</w:t>
      </w:r>
      <w:r w:rsidR="00C14BFF" w:rsidRPr="00742A04">
        <w:t xml:space="preserve">ción </w:t>
      </w:r>
      <w:r w:rsidR="00F43124" w:rsidRPr="00742A04">
        <w:t xml:space="preserve">de la </w:t>
      </w:r>
      <w:r w:rsidR="00A05847" w:rsidRPr="00742A04">
        <w:t>discriminación</w:t>
      </w:r>
      <w:r w:rsidR="00545D1B" w:rsidRPr="00742A04">
        <w:t xml:space="preserve"> </w:t>
      </w:r>
      <w:r w:rsidR="00EA6AC2" w:rsidRPr="00742A04">
        <w:t>basada</w:t>
      </w:r>
      <w:r w:rsidR="006137EC" w:rsidRPr="00742A04">
        <w:t xml:space="preserve"> en</w:t>
      </w:r>
      <w:r w:rsidR="00545D1B" w:rsidRPr="00742A04">
        <w:t xml:space="preserve"> </w:t>
      </w:r>
      <w:r w:rsidR="00EA6AC2" w:rsidRPr="00742A04">
        <w:t xml:space="preserve">el </w:t>
      </w:r>
      <w:r w:rsidR="00502E16" w:rsidRPr="00742A04">
        <w:t>or</w:t>
      </w:r>
      <w:r w:rsidR="00502E16" w:rsidRPr="00742A04">
        <w:t>i</w:t>
      </w:r>
      <w:r w:rsidR="00502E16" w:rsidRPr="00742A04">
        <w:t>gen étnico</w:t>
      </w:r>
      <w:r w:rsidR="00EA6AC2" w:rsidRPr="00742A04">
        <w:t>, la</w:t>
      </w:r>
      <w:r w:rsidR="00545D1B" w:rsidRPr="00742A04">
        <w:t xml:space="preserve"> </w:t>
      </w:r>
      <w:r w:rsidR="00130F7F" w:rsidRPr="00742A04">
        <w:t>religión</w:t>
      </w:r>
      <w:r w:rsidR="00545D1B" w:rsidRPr="00742A04">
        <w:t>, etc. (</w:t>
      </w:r>
      <w:r w:rsidR="00130F7F" w:rsidRPr="00742A04">
        <w:t>Ley de Lucha contra la Discriminación</w:t>
      </w:r>
      <w:r w:rsidR="00545D1B" w:rsidRPr="00742A04">
        <w:t xml:space="preserve">). </w:t>
      </w:r>
      <w:r w:rsidR="009C6667" w:rsidRPr="00742A04">
        <w:t>El com</w:t>
      </w:r>
      <w:r w:rsidR="009C6667" w:rsidRPr="00742A04">
        <w:t>e</w:t>
      </w:r>
      <w:r w:rsidR="009C6667" w:rsidRPr="00742A04">
        <w:t>tido de hacer cumplir todas esas</w:t>
      </w:r>
      <w:r w:rsidR="00545D1B" w:rsidRPr="00742A04">
        <w:t xml:space="preserve"> </w:t>
      </w:r>
      <w:r w:rsidR="00AD0883" w:rsidRPr="00742A04">
        <w:t>leyes</w:t>
      </w:r>
      <w:r w:rsidR="00545D1B" w:rsidRPr="00742A04">
        <w:t xml:space="preserve"> </w:t>
      </w:r>
      <w:r w:rsidR="009C6667" w:rsidRPr="00742A04">
        <w:t>se ha encomendado a</w:t>
      </w:r>
      <w:r w:rsidR="00545D1B" w:rsidRPr="00742A04">
        <w:t xml:space="preserve"> </w:t>
      </w:r>
      <w:r w:rsidR="00AD0883" w:rsidRPr="00742A04">
        <w:t xml:space="preserve">un mecanismo común de </w:t>
      </w:r>
      <w:r w:rsidR="00614C7D" w:rsidRPr="00742A04">
        <w:t>fisc</w:t>
      </w:r>
      <w:r w:rsidR="00614C7D" w:rsidRPr="00742A04">
        <w:t>a</w:t>
      </w:r>
      <w:r w:rsidR="00614C7D" w:rsidRPr="00742A04">
        <w:t>lización</w:t>
      </w:r>
      <w:r w:rsidR="00545D1B" w:rsidRPr="00742A04">
        <w:t xml:space="preserve"> </w:t>
      </w:r>
      <w:r w:rsidR="00B34971" w:rsidRPr="00742A04">
        <w:t>a partir de</w:t>
      </w:r>
      <w:r w:rsidR="009C6667" w:rsidRPr="00742A04">
        <w:t>l</w:t>
      </w:r>
      <w:r w:rsidR="00545D1B" w:rsidRPr="00742A04">
        <w:t xml:space="preserve"> 1</w:t>
      </w:r>
      <w:r w:rsidR="009C6667" w:rsidRPr="00742A04">
        <w:t>° de</w:t>
      </w:r>
      <w:r w:rsidR="00545D1B" w:rsidRPr="00742A04">
        <w:t xml:space="preserve"> </w:t>
      </w:r>
      <w:r w:rsidR="004A0730" w:rsidRPr="00742A04">
        <w:t>enero de</w:t>
      </w:r>
      <w:r w:rsidR="00545D1B" w:rsidRPr="00742A04">
        <w:t xml:space="preserve"> 2006.</w:t>
      </w:r>
    </w:p>
    <w:p w:rsidR="00545D1B" w:rsidRPr="00742A04" w:rsidRDefault="008E5EBF" w:rsidP="0030626A">
      <w:pPr>
        <w:pStyle w:val="SingleTxt"/>
        <w:ind w:firstLine="475"/>
        <w:rPr>
          <w:color w:val="000000"/>
        </w:rPr>
      </w:pPr>
      <w:r w:rsidRPr="00742A04">
        <w:rPr>
          <w:color w:val="000000"/>
        </w:rPr>
        <w:t>Las enmiendas</w:t>
      </w:r>
      <w:r w:rsidR="001E30D6" w:rsidRPr="00742A04">
        <w:rPr>
          <w:color w:val="000000"/>
        </w:rPr>
        <w:t xml:space="preserve"> </w:t>
      </w:r>
      <w:r w:rsidR="00A80F26">
        <w:rPr>
          <w:color w:val="000000"/>
        </w:rPr>
        <w:t>a la</w:t>
      </w:r>
      <w:r w:rsidR="001E30D6" w:rsidRPr="00742A04">
        <w:rPr>
          <w:color w:val="000000"/>
        </w:rPr>
        <w:t xml:space="preserve"> </w:t>
      </w:r>
      <w:r w:rsidR="00A05847" w:rsidRPr="00742A04">
        <w:rPr>
          <w:color w:val="000000"/>
        </w:rPr>
        <w:t>Ley sobre la Igualdad de Género</w:t>
      </w:r>
      <w:r w:rsidR="00545D1B" w:rsidRPr="00742A04">
        <w:rPr>
          <w:color w:val="000000"/>
        </w:rPr>
        <w:t xml:space="preserve"> consist</w:t>
      </w:r>
      <w:r w:rsidRPr="00742A04">
        <w:rPr>
          <w:color w:val="000000"/>
        </w:rPr>
        <w:t>ieron en la inco</w:t>
      </w:r>
      <w:r w:rsidRPr="00742A04">
        <w:rPr>
          <w:color w:val="000000"/>
        </w:rPr>
        <w:t>r</w:t>
      </w:r>
      <w:r w:rsidRPr="00742A04">
        <w:rPr>
          <w:color w:val="000000"/>
        </w:rPr>
        <w:t>poración</w:t>
      </w:r>
      <w:r w:rsidR="001E30D6" w:rsidRPr="00742A04">
        <w:rPr>
          <w:color w:val="000000"/>
        </w:rPr>
        <w:t xml:space="preserve"> </w:t>
      </w:r>
      <w:r w:rsidR="00A80F26">
        <w:rPr>
          <w:color w:val="000000"/>
        </w:rPr>
        <w:t>a la</w:t>
      </w:r>
      <w:r w:rsidR="001E30D6" w:rsidRPr="00742A04">
        <w:rPr>
          <w:color w:val="000000"/>
        </w:rPr>
        <w:t xml:space="preserve"> </w:t>
      </w:r>
      <w:r w:rsidRPr="00742A04">
        <w:rPr>
          <w:color w:val="000000"/>
        </w:rPr>
        <w:t>ley de un</w:t>
      </w:r>
      <w:r w:rsidR="00545D1B" w:rsidRPr="00742A04">
        <w:rPr>
          <w:color w:val="000000"/>
        </w:rPr>
        <w:t>a prohibi</w:t>
      </w:r>
      <w:r w:rsidR="00C14BFF" w:rsidRPr="00742A04">
        <w:rPr>
          <w:color w:val="000000"/>
        </w:rPr>
        <w:t xml:space="preserve">ción </w:t>
      </w:r>
      <w:r w:rsidRPr="00742A04">
        <w:rPr>
          <w:color w:val="000000"/>
        </w:rPr>
        <w:t>del uso</w:t>
      </w:r>
      <w:r w:rsidR="00545D1B" w:rsidRPr="00742A04">
        <w:rPr>
          <w:color w:val="000000"/>
        </w:rPr>
        <w:t xml:space="preserve"> </w:t>
      </w:r>
      <w:r w:rsidR="004A0730" w:rsidRPr="00742A04">
        <w:rPr>
          <w:color w:val="000000"/>
        </w:rPr>
        <w:t>de</w:t>
      </w:r>
      <w:r w:rsidR="00545D1B" w:rsidRPr="00742A04">
        <w:rPr>
          <w:color w:val="000000"/>
        </w:rPr>
        <w:t xml:space="preserve"> </w:t>
      </w:r>
      <w:r w:rsidRPr="00742A04">
        <w:rPr>
          <w:color w:val="000000"/>
        </w:rPr>
        <w:t>represalias</w:t>
      </w:r>
      <w:r w:rsidR="00545D1B" w:rsidRPr="00742A04">
        <w:rPr>
          <w:color w:val="000000"/>
        </w:rPr>
        <w:t xml:space="preserve"> </w:t>
      </w:r>
      <w:r w:rsidR="00F650FB" w:rsidRPr="00742A04">
        <w:rPr>
          <w:color w:val="000000"/>
        </w:rPr>
        <w:t>contra</w:t>
      </w:r>
      <w:r w:rsidR="00545D1B" w:rsidRPr="00742A04">
        <w:rPr>
          <w:color w:val="000000"/>
        </w:rPr>
        <w:t xml:space="preserve"> </w:t>
      </w:r>
      <w:r w:rsidRPr="00742A04">
        <w:rPr>
          <w:color w:val="000000"/>
        </w:rPr>
        <w:t>las personas que</w:t>
      </w:r>
      <w:r w:rsidR="00545D1B" w:rsidRPr="00742A04">
        <w:t xml:space="preserve"> </w:t>
      </w:r>
      <w:r w:rsidR="002E41F3" w:rsidRPr="00742A04">
        <w:t>ha</w:t>
      </w:r>
      <w:r w:rsidRPr="00742A04">
        <w:t>yan</w:t>
      </w:r>
      <w:r w:rsidR="002E41F3" w:rsidRPr="00742A04">
        <w:t xml:space="preserve"> presentado</w:t>
      </w:r>
      <w:r w:rsidR="00545D1B" w:rsidRPr="00742A04">
        <w:t xml:space="preserve"> </w:t>
      </w:r>
      <w:r w:rsidRPr="00742A04">
        <w:t>una queja</w:t>
      </w:r>
      <w:r w:rsidR="00545D1B" w:rsidRPr="00742A04">
        <w:t xml:space="preserve"> </w:t>
      </w:r>
      <w:r w:rsidRPr="00742A04">
        <w:t>relacionada con una infracción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ley</w:t>
      </w:r>
      <w:r w:rsidR="00545D1B" w:rsidRPr="00742A04">
        <w:t xml:space="preserve">, </w:t>
      </w:r>
      <w:r w:rsidRPr="00742A04">
        <w:t>o</w:t>
      </w:r>
      <w:r w:rsidR="00545D1B" w:rsidRPr="00742A04">
        <w:t xml:space="preserve"> </w:t>
      </w:r>
      <w:r w:rsidRPr="00742A04">
        <w:t>que hayan d</w:t>
      </w:r>
      <w:r w:rsidRPr="00742A04">
        <w:t>i</w:t>
      </w:r>
      <w:r w:rsidRPr="00742A04">
        <w:t>cho que podrían presentar una</w:t>
      </w:r>
      <w:r w:rsidR="00545D1B" w:rsidRPr="00742A04">
        <w:t xml:space="preserve"> </w:t>
      </w:r>
      <w:r w:rsidRPr="00742A04">
        <w:t>queja</w:t>
      </w:r>
      <w:r w:rsidR="00545D1B" w:rsidRPr="00742A04">
        <w:t xml:space="preserve">. </w:t>
      </w:r>
      <w:r w:rsidRPr="00742A04">
        <w:t>La prohibición</w:t>
      </w:r>
      <w:r w:rsidR="00C14BFF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Pr="00742A04">
        <w:t>se 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963214" w:rsidRPr="00742A04">
        <w:t>los testigos</w:t>
      </w:r>
      <w:r w:rsidR="00545D1B" w:rsidRPr="00742A04">
        <w:t xml:space="preserve">. </w:t>
      </w:r>
      <w:r w:rsidRPr="00742A04">
        <w:t>T</w:t>
      </w:r>
      <w:r w:rsidR="0030626A" w:rsidRPr="00742A04">
        <w:t>ambién</w:t>
      </w:r>
      <w:r w:rsidR="00545D1B" w:rsidRPr="00742A04">
        <w:t xml:space="preserve"> </w:t>
      </w:r>
      <w:r w:rsidRPr="00742A04">
        <w:t xml:space="preserve">se </w:t>
      </w:r>
      <w:r w:rsidR="00545D1B" w:rsidRPr="00742A04">
        <w:t>incorpor</w:t>
      </w:r>
      <w:r w:rsidRPr="00742A04">
        <w:t>ó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Ley sobre la Igualdad de Género</w:t>
      </w:r>
      <w:r w:rsidR="00545D1B" w:rsidRPr="00742A04">
        <w:t xml:space="preserve"> </w:t>
      </w:r>
      <w:r w:rsidRPr="00742A04">
        <w:t>una disposición que</w:t>
      </w:r>
      <w:r w:rsidR="00545D1B" w:rsidRPr="00742A04">
        <w:t xml:space="preserve"> </w:t>
      </w:r>
      <w:r w:rsidRPr="00742A04">
        <w:t>prohíbe expresamente que se den</w:t>
      </w:r>
      <w:r w:rsidR="00545D1B" w:rsidRPr="00742A04">
        <w:t xml:space="preserve"> instruc</w:t>
      </w:r>
      <w:r w:rsidR="008907B8" w:rsidRPr="00742A04">
        <w:t>ciones</w:t>
      </w:r>
      <w:r w:rsidR="00545D1B" w:rsidRPr="00742A04">
        <w:t xml:space="preserve"> </w:t>
      </w:r>
      <w:r w:rsidRPr="00742A04">
        <w:t xml:space="preserve">de que se someta a una persona </w:t>
      </w:r>
      <w:r w:rsidR="0030626A" w:rsidRPr="00742A04">
        <w:t>a</w:t>
      </w:r>
      <w:r w:rsidR="00545D1B" w:rsidRPr="00742A04">
        <w:t xml:space="preserve"> </w:t>
      </w:r>
      <w:r w:rsidRPr="00742A04">
        <w:t>trato diferencial</w:t>
      </w:r>
      <w:r w:rsidR="00545D1B" w:rsidRPr="00742A04">
        <w:t xml:space="preserve"> </w:t>
      </w:r>
      <w:r w:rsidR="00230F13" w:rsidRPr="00742A04">
        <w:t>por motivos de género</w:t>
      </w:r>
      <w:r w:rsidR="00545D1B" w:rsidRPr="00742A04">
        <w:t xml:space="preserve">, </w:t>
      </w:r>
      <w:r w:rsidRPr="00742A04">
        <w:t>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represalias</w:t>
      </w:r>
      <w:r w:rsidR="00545D1B" w:rsidRPr="00742A04">
        <w:t xml:space="preserve">, </w:t>
      </w:r>
      <w:r w:rsidRPr="00742A04">
        <w:t>acoso sexual</w:t>
      </w:r>
      <w:r w:rsidR="00545D1B" w:rsidRPr="00742A04">
        <w:t xml:space="preserve"> </w:t>
      </w:r>
      <w:r w:rsidRPr="00742A04">
        <w:t>o</w:t>
      </w:r>
      <w:r w:rsidR="00545D1B" w:rsidRPr="00742A04">
        <w:t xml:space="preserve"> </w:t>
      </w:r>
      <w:r w:rsidRPr="00742A04">
        <w:t>acoso por motivos de género</w:t>
      </w:r>
      <w:r w:rsidR="00545D1B" w:rsidRPr="00742A04">
        <w:t xml:space="preserve">. </w:t>
      </w:r>
      <w:r w:rsidRPr="00742A04">
        <w:t>Dicha prohibición ya podía</w:t>
      </w:r>
      <w:r w:rsidR="00545D1B" w:rsidRPr="00742A04">
        <w:t xml:space="preserve"> infer</w:t>
      </w:r>
      <w:r w:rsidRPr="00742A04">
        <w:t>irse</w:t>
      </w:r>
      <w:r w:rsidR="00545D1B" w:rsidRPr="00742A04">
        <w:t xml:space="preserve"> </w:t>
      </w:r>
      <w:r w:rsidR="00F43124" w:rsidRPr="00742A04">
        <w:t xml:space="preserve">de la </w:t>
      </w:r>
      <w:r w:rsidR="00545D1B" w:rsidRPr="00742A04">
        <w:t>interpreta</w:t>
      </w:r>
      <w:r w:rsidR="00C14BFF" w:rsidRPr="00742A04">
        <w:t xml:space="preserve">ción </w:t>
      </w:r>
      <w:r w:rsidR="00F43124" w:rsidRPr="00742A04">
        <w:t xml:space="preserve">de la </w:t>
      </w:r>
      <w:r w:rsidR="00A05847" w:rsidRPr="00742A04">
        <w:t>Ley sobre la Igualdad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por consiguiente sólo fue una</w:t>
      </w:r>
      <w:r w:rsidR="00545D1B" w:rsidRPr="00742A04">
        <w:t xml:space="preserve"> aclar</w:t>
      </w:r>
      <w:r w:rsidRPr="00742A04">
        <w:t>a</w:t>
      </w:r>
      <w:r w:rsidR="00C14BFF" w:rsidRPr="00742A04">
        <w:t xml:space="preserve">ción </w:t>
      </w:r>
      <w:r w:rsidRPr="00742A04">
        <w:t>del d</w:t>
      </w:r>
      <w:r w:rsidRPr="00742A04">
        <w:t>e</w:t>
      </w:r>
      <w:r w:rsidRPr="00742A04">
        <w:t>recho vigente</w:t>
      </w:r>
      <w:r w:rsidR="00545D1B" w:rsidRPr="00742A04">
        <w:t xml:space="preserve">. </w:t>
      </w:r>
      <w:r w:rsidRPr="00742A04">
        <w:t>T</w:t>
      </w:r>
      <w:r w:rsidR="0030626A" w:rsidRPr="00742A04">
        <w:t>ambién</w:t>
      </w:r>
      <w:r w:rsidR="00545D1B" w:rsidRPr="00742A04">
        <w:t xml:space="preserve"> </w:t>
      </w:r>
      <w:r w:rsidRPr="00742A04">
        <w:t>se incorporó la prohibición de colaborar en las infracciones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Ley sobre la Igualdad de Género</w:t>
      </w:r>
      <w:r w:rsidR="00545D1B" w:rsidRPr="00742A04">
        <w:t xml:space="preserve">. </w:t>
      </w:r>
      <w:r w:rsidRPr="00742A04">
        <w:t>Se amplió la disposición relativa al</w:t>
      </w:r>
      <w:r w:rsidR="00545D1B" w:rsidRPr="00742A04">
        <w:t xml:space="preserve"> </w:t>
      </w:r>
      <w:r w:rsidRPr="00742A04">
        <w:t>acoso sexual</w:t>
      </w:r>
      <w:r w:rsidR="00545D1B" w:rsidRPr="00742A04">
        <w:t xml:space="preserve"> </w:t>
      </w:r>
      <w:r w:rsidRPr="00742A04">
        <w:t>de modo de comprender al</w:t>
      </w:r>
      <w:r w:rsidR="00545D1B" w:rsidRPr="00742A04">
        <w:t xml:space="preserve"> </w:t>
      </w:r>
      <w:r w:rsidRPr="00742A04">
        <w:t>acoso por motivos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aplicarse a los c</w:t>
      </w:r>
      <w:r w:rsidRPr="00742A04">
        <w:t>a</w:t>
      </w:r>
      <w:r w:rsidRPr="00742A04">
        <w:t>sos ocurridos</w:t>
      </w:r>
      <w:r w:rsidR="00545D1B" w:rsidRPr="00742A04">
        <w:t xml:space="preserve"> </w:t>
      </w:r>
      <w:r w:rsidR="00963214" w:rsidRPr="00742A04">
        <w:rPr>
          <w:i/>
        </w:rPr>
        <w:t xml:space="preserve">dentro y fuera </w:t>
      </w:r>
      <w:r w:rsidR="00F43124" w:rsidRPr="00742A04">
        <w:rPr>
          <w:i/>
        </w:rPr>
        <w:t xml:space="preserve">de la </w:t>
      </w:r>
      <w:r w:rsidR="00AD0883" w:rsidRPr="00742A04">
        <w:rPr>
          <w:i/>
        </w:rPr>
        <w:t>vida laboral</w:t>
      </w:r>
      <w:r w:rsidR="00545D1B" w:rsidRPr="00742A04">
        <w:t xml:space="preserve">. </w:t>
      </w:r>
      <w:r w:rsidR="00963214" w:rsidRPr="00742A04">
        <w:t>La disposición de protección cont</w:t>
      </w:r>
      <w:r w:rsidR="00963214" w:rsidRPr="00742A04">
        <w:t>e</w:t>
      </w:r>
      <w:r w:rsidR="00963214" w:rsidRPr="00742A04">
        <w:t>nida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05847" w:rsidRPr="00742A04">
        <w:t>la Ley sobre la Igualdad de Género</w:t>
      </w:r>
      <w:r w:rsidR="00545D1B" w:rsidRPr="00742A04">
        <w:t xml:space="preserve"> </w:t>
      </w:r>
      <w:r w:rsidR="00963214" w:rsidRPr="00742A04">
        <w:t>que impone</w:t>
      </w:r>
      <w:r w:rsidR="00545D1B" w:rsidRPr="00742A04">
        <w:t xml:space="preserve"> a </w:t>
      </w:r>
      <w:r w:rsidR="00AD0883" w:rsidRPr="00742A04">
        <w:t>los empleadores</w:t>
      </w:r>
      <w:r w:rsidR="00545D1B" w:rsidRPr="00742A04">
        <w:t xml:space="preserve"> </w:t>
      </w:r>
      <w:r w:rsidR="00877AA0" w:rsidRPr="00742A04">
        <w:t>y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963214" w:rsidRPr="00742A04">
        <w:t>administración</w:t>
      </w:r>
      <w:r w:rsidR="00545D1B" w:rsidRPr="00742A04">
        <w:t xml:space="preserve"> </w:t>
      </w:r>
      <w:r w:rsidRPr="00742A04">
        <w:t>d</w:t>
      </w:r>
      <w:r w:rsidR="00C14BFF" w:rsidRPr="00742A04">
        <w:t>e</w:t>
      </w:r>
      <w:r w:rsidR="00545D1B" w:rsidRPr="00742A04">
        <w:t xml:space="preserve"> </w:t>
      </w:r>
      <w:r w:rsidR="00FB5EDF" w:rsidRPr="00742A04">
        <w:t>organizaciones</w:t>
      </w:r>
      <w:r w:rsidR="00545D1B" w:rsidRPr="00742A04">
        <w:t xml:space="preserve"> </w:t>
      </w:r>
      <w:r w:rsidRPr="00742A04">
        <w:t>o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 </w:t>
      </w:r>
      <w:r w:rsidRPr="00742A04">
        <w:t xml:space="preserve">educacionales el </w:t>
      </w:r>
      <w:r w:rsidR="00963214" w:rsidRPr="00742A04">
        <w:t xml:space="preserve">deber </w:t>
      </w:r>
      <w:r w:rsidRPr="00742A04">
        <w:t>de evitar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esforzarse por</w:t>
      </w:r>
      <w:r w:rsidR="00545D1B" w:rsidRPr="00742A04">
        <w:t xml:space="preserve"> preven</w:t>
      </w:r>
      <w:r w:rsidRPr="00742A04">
        <w:t>ir el acaecimiento de casos</w:t>
      </w:r>
      <w:r w:rsidR="00FF575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acoso sexual</w:t>
      </w:r>
      <w:r w:rsidR="00545D1B" w:rsidRPr="00742A04">
        <w:t xml:space="preserve"> </w:t>
      </w:r>
      <w:r w:rsidRPr="00742A04">
        <w:t>dentro de su esfera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responsabilidad</w:t>
      </w:r>
      <w:r w:rsidR="00545D1B" w:rsidRPr="00742A04">
        <w:t xml:space="preserve"> </w:t>
      </w:r>
      <w:r w:rsidRPr="00742A04">
        <w:t>también fue ampliada</w:t>
      </w:r>
      <w:r w:rsidR="00545D1B" w:rsidRPr="00742A04">
        <w:t xml:space="preserve"> </w:t>
      </w:r>
      <w:r w:rsidRPr="00742A04">
        <w:t>de modo de comprender al</w:t>
      </w:r>
      <w:r w:rsidR="00545D1B" w:rsidRPr="00742A04">
        <w:t xml:space="preserve"> </w:t>
      </w:r>
      <w:r w:rsidRPr="00742A04">
        <w:t>acoso por m</w:t>
      </w:r>
      <w:r w:rsidRPr="00742A04">
        <w:t>o</w:t>
      </w:r>
      <w:r w:rsidRPr="00742A04">
        <w:t>tivos de género</w:t>
      </w:r>
      <w:r w:rsidR="00545D1B" w:rsidRPr="00742A04">
        <w:t>.</w:t>
      </w:r>
    </w:p>
    <w:p w:rsidR="00545D1B" w:rsidRPr="00742A04" w:rsidRDefault="008E5EBF" w:rsidP="0030626A">
      <w:pPr>
        <w:pStyle w:val="SingleTxt"/>
        <w:ind w:firstLine="475"/>
        <w:rPr>
          <w:color w:val="000000"/>
        </w:rPr>
      </w:pPr>
      <w:r w:rsidRPr="00742A04">
        <w:rPr>
          <w:color w:val="000000"/>
        </w:rPr>
        <w:t>Además</w:t>
      </w:r>
      <w:r w:rsidR="00545D1B" w:rsidRPr="00742A04">
        <w:rPr>
          <w:color w:val="000000"/>
        </w:rPr>
        <w:t xml:space="preserve">, </w:t>
      </w:r>
      <w:r w:rsidR="003A355B" w:rsidRPr="00742A04">
        <w:rPr>
          <w:color w:val="000000"/>
        </w:rPr>
        <w:t xml:space="preserve">las </w:t>
      </w:r>
      <w:r w:rsidRPr="00742A04">
        <w:rPr>
          <w:color w:val="000000"/>
        </w:rPr>
        <w:t>disposiciones relativas</w:t>
      </w:r>
      <w:r w:rsidR="001E30D6" w:rsidRPr="00742A04">
        <w:rPr>
          <w:color w:val="000000"/>
        </w:rPr>
        <w:t xml:space="preserve"> </w:t>
      </w:r>
      <w:r w:rsidR="00A80F26">
        <w:rPr>
          <w:color w:val="000000"/>
        </w:rPr>
        <w:t>a la</w:t>
      </w:r>
      <w:r w:rsidR="001E30D6" w:rsidRPr="00742A04">
        <w:rPr>
          <w:color w:val="000000"/>
        </w:rPr>
        <w:t xml:space="preserve"> </w:t>
      </w:r>
      <w:r w:rsidRPr="00742A04">
        <w:rPr>
          <w:color w:val="000000"/>
        </w:rPr>
        <w:t>responsabilidad objetiva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por pérdidas pecuniarias</w:t>
      </w:r>
      <w:r w:rsidR="00545D1B" w:rsidRPr="00742A04">
        <w:rPr>
          <w:color w:val="000000"/>
        </w:rPr>
        <w:t xml:space="preserve"> </w:t>
      </w:r>
      <w:r w:rsidR="00877AA0" w:rsidRPr="00742A04">
        <w:rPr>
          <w:color w:val="000000"/>
        </w:rPr>
        <w:t>y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la reparación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también fueron ampliadas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de modo de aplicarse al</w:t>
      </w:r>
      <w:r w:rsidR="00545D1B" w:rsidRPr="00742A04">
        <w:rPr>
          <w:color w:val="000000"/>
        </w:rPr>
        <w:t xml:space="preserve"> </w:t>
      </w:r>
      <w:r w:rsidRPr="00742A04">
        <w:rPr>
          <w:color w:val="000000"/>
        </w:rPr>
        <w:t>acoso sexual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u otra</w:t>
      </w:r>
      <w:r w:rsidR="00980475" w:rsidRPr="00742A04">
        <w:rPr>
          <w:color w:val="000000"/>
        </w:rPr>
        <w:t>s</w:t>
      </w:r>
      <w:r w:rsidR="00BA5ABE" w:rsidRPr="00742A04">
        <w:rPr>
          <w:color w:val="000000"/>
        </w:rPr>
        <w:t xml:space="preserve"> formas de</w:t>
      </w:r>
      <w:r w:rsidR="00545D1B" w:rsidRPr="00742A04">
        <w:rPr>
          <w:color w:val="000000"/>
        </w:rPr>
        <w:t xml:space="preserve"> </w:t>
      </w:r>
      <w:r w:rsidRPr="00742A04">
        <w:rPr>
          <w:color w:val="000000"/>
        </w:rPr>
        <w:t>acoso por motivos de género</w:t>
      </w:r>
      <w:r w:rsidR="00545D1B" w:rsidRPr="00742A04">
        <w:rPr>
          <w:color w:val="000000"/>
        </w:rPr>
        <w:t xml:space="preserve"> </w:t>
      </w:r>
      <w:r w:rsidR="00C14BFF" w:rsidRPr="00742A04">
        <w:rPr>
          <w:i/>
          <w:color w:val="000000"/>
        </w:rPr>
        <w:t>en</w:t>
      </w:r>
      <w:r w:rsidR="00545D1B" w:rsidRPr="00742A04">
        <w:rPr>
          <w:i/>
          <w:color w:val="000000"/>
        </w:rPr>
        <w:t xml:space="preserve"> </w:t>
      </w:r>
      <w:r w:rsidR="00AD0883" w:rsidRPr="00742A04">
        <w:rPr>
          <w:i/>
          <w:color w:val="000000"/>
        </w:rPr>
        <w:t>la vida laboral</w:t>
      </w:r>
      <w:r w:rsidR="00545D1B" w:rsidRPr="00742A04">
        <w:rPr>
          <w:color w:val="000000"/>
        </w:rPr>
        <w:t xml:space="preserve">. </w:t>
      </w:r>
      <w:r w:rsidR="00BA5ABE" w:rsidRPr="00742A04">
        <w:rPr>
          <w:color w:val="000000"/>
        </w:rPr>
        <w:t>Las disp</w:t>
      </w:r>
      <w:r w:rsidR="00BA5ABE" w:rsidRPr="00742A04">
        <w:rPr>
          <w:color w:val="000000"/>
        </w:rPr>
        <w:t>o</w:t>
      </w:r>
      <w:r w:rsidR="00BA5ABE" w:rsidRPr="00742A04">
        <w:rPr>
          <w:color w:val="000000"/>
        </w:rPr>
        <w:t>siciones generales</w:t>
      </w:r>
      <w:r w:rsidRPr="00742A04">
        <w:rPr>
          <w:color w:val="000000"/>
        </w:rPr>
        <w:t xml:space="preserve"> relativas a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daños y perjuicios</w:t>
      </w:r>
      <w:r w:rsidR="00545D1B" w:rsidRPr="00742A04">
        <w:rPr>
          <w:color w:val="000000"/>
        </w:rPr>
        <w:t xml:space="preserve"> </w:t>
      </w:r>
      <w:r w:rsidR="006137EC" w:rsidRPr="00742A04">
        <w:rPr>
          <w:color w:val="000000"/>
        </w:rPr>
        <w:t>son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aplicables</w:t>
      </w:r>
      <w:r w:rsidR="00545D1B" w:rsidRPr="00742A04">
        <w:rPr>
          <w:color w:val="000000"/>
        </w:rPr>
        <w:t xml:space="preserve"> </w:t>
      </w:r>
      <w:r w:rsidR="00AD0883" w:rsidRPr="00742A04">
        <w:rPr>
          <w:i/>
          <w:color w:val="000000"/>
        </w:rPr>
        <w:t xml:space="preserve">fuera </w:t>
      </w:r>
      <w:r w:rsidR="00F43124" w:rsidRPr="00742A04">
        <w:rPr>
          <w:i/>
          <w:color w:val="000000"/>
        </w:rPr>
        <w:t xml:space="preserve">de la </w:t>
      </w:r>
      <w:r w:rsidR="00AD0883" w:rsidRPr="00742A04">
        <w:rPr>
          <w:i/>
          <w:color w:val="000000"/>
        </w:rPr>
        <w:t>esfera</w:t>
      </w:r>
      <w:r w:rsidR="00545D1B" w:rsidRPr="00742A04">
        <w:rPr>
          <w:i/>
          <w:color w:val="000000"/>
        </w:rPr>
        <w:t xml:space="preserve"> </w:t>
      </w:r>
      <w:r w:rsidR="00F43124" w:rsidRPr="00742A04">
        <w:rPr>
          <w:i/>
          <w:color w:val="000000"/>
        </w:rPr>
        <w:t xml:space="preserve">de la </w:t>
      </w:r>
      <w:r w:rsidR="00AD0883" w:rsidRPr="00742A04">
        <w:rPr>
          <w:i/>
          <w:color w:val="000000"/>
        </w:rPr>
        <w:t>vida laboral</w:t>
      </w:r>
      <w:r w:rsidR="00545D1B" w:rsidRPr="00742A04">
        <w:rPr>
          <w:i/>
          <w:color w:val="000000"/>
        </w:rPr>
        <w:t>.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También se dio</w:t>
      </w:r>
      <w:r w:rsidR="001E30D6" w:rsidRPr="00742A04">
        <w:rPr>
          <w:color w:val="000000"/>
        </w:rPr>
        <w:t xml:space="preserve"> </w:t>
      </w:r>
      <w:r w:rsidR="00A80F26">
        <w:rPr>
          <w:color w:val="000000"/>
        </w:rPr>
        <w:t>a la</w:t>
      </w:r>
      <w:r w:rsidR="001E30D6" w:rsidRPr="00742A04">
        <w:rPr>
          <w:color w:val="000000"/>
        </w:rPr>
        <w:t xml:space="preserve"> </w:t>
      </w:r>
      <w:r w:rsidR="00230F13" w:rsidRPr="00742A04">
        <w:rPr>
          <w:color w:val="000000"/>
        </w:rPr>
        <w:t>Ley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una redacción más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específica</w:t>
      </w:r>
      <w:r w:rsidR="00545D1B" w:rsidRPr="00742A04">
        <w:rPr>
          <w:color w:val="000000"/>
        </w:rPr>
        <w:t xml:space="preserve"> </w:t>
      </w:r>
      <w:r w:rsidR="00BA5ABE" w:rsidRPr="00742A04">
        <w:rPr>
          <w:color w:val="000000"/>
        </w:rPr>
        <w:t>para que qu</w:t>
      </w:r>
      <w:r w:rsidR="00BA5ABE" w:rsidRPr="00742A04">
        <w:rPr>
          <w:color w:val="000000"/>
        </w:rPr>
        <w:t>e</w:t>
      </w:r>
      <w:r w:rsidR="00BA5ABE" w:rsidRPr="00742A04">
        <w:rPr>
          <w:color w:val="000000"/>
        </w:rPr>
        <w:t>dara más claro</w:t>
      </w:r>
      <w:r w:rsidR="00545D1B" w:rsidRPr="00742A04">
        <w:rPr>
          <w:color w:val="000000"/>
        </w:rPr>
        <w:t xml:space="preserve"> </w:t>
      </w:r>
      <w:r w:rsidR="00065E60">
        <w:rPr>
          <w:color w:val="000000"/>
        </w:rPr>
        <w:t xml:space="preserve">que </w:t>
      </w:r>
      <w:r w:rsidR="00A836A1" w:rsidRPr="00742A04">
        <w:rPr>
          <w:color w:val="000000"/>
        </w:rPr>
        <w:t>toda persona que haya estado sometida</w:t>
      </w:r>
      <w:r w:rsidR="00545D1B" w:rsidRPr="00742A04">
        <w:rPr>
          <w:color w:val="000000"/>
        </w:rPr>
        <w:t xml:space="preserve"> </w:t>
      </w:r>
      <w:r w:rsidR="0030626A" w:rsidRPr="00742A04">
        <w:rPr>
          <w:color w:val="000000"/>
        </w:rPr>
        <w:t>a</w:t>
      </w:r>
      <w:r w:rsidR="00545D1B" w:rsidRPr="00742A04">
        <w:rPr>
          <w:color w:val="000000"/>
        </w:rPr>
        <w:t xml:space="preserve"> </w:t>
      </w:r>
      <w:r w:rsidRPr="00742A04">
        <w:rPr>
          <w:color w:val="000000"/>
        </w:rPr>
        <w:t>trato diferencial</w:t>
      </w:r>
      <w:r w:rsidR="00545D1B" w:rsidRPr="00742A04">
        <w:rPr>
          <w:color w:val="000000"/>
        </w:rPr>
        <w:t xml:space="preserve"> </w:t>
      </w:r>
      <w:r w:rsidR="00230F13" w:rsidRPr="00742A04">
        <w:rPr>
          <w:color w:val="000000"/>
        </w:rPr>
        <w:t>por motivos de género</w:t>
      </w:r>
      <w:r w:rsidR="00545D1B" w:rsidRPr="00742A04">
        <w:rPr>
          <w:color w:val="000000"/>
        </w:rPr>
        <w:t xml:space="preserve"> </w:t>
      </w:r>
      <w:r w:rsidR="00C14BFF" w:rsidRPr="00742A04">
        <w:rPr>
          <w:color w:val="000000"/>
        </w:rPr>
        <w:t>en</w:t>
      </w:r>
      <w:r w:rsidR="00545D1B" w:rsidRPr="00742A04">
        <w:rPr>
          <w:color w:val="000000"/>
        </w:rPr>
        <w:t xml:space="preserve"> </w:t>
      </w:r>
      <w:r w:rsidR="00AD0883" w:rsidRPr="00742A04">
        <w:rPr>
          <w:color w:val="000000"/>
        </w:rPr>
        <w:t>la vida laboral</w:t>
      </w:r>
      <w:r w:rsidR="00545D1B" w:rsidRPr="00742A04">
        <w:rPr>
          <w:color w:val="000000"/>
        </w:rPr>
        <w:t xml:space="preserve"> </w:t>
      </w:r>
      <w:r w:rsidR="00A836A1" w:rsidRPr="00742A04">
        <w:rPr>
          <w:color w:val="000000"/>
        </w:rPr>
        <w:t>tiene derecho a reparación</w:t>
      </w:r>
      <w:r w:rsidR="00545D1B" w:rsidRPr="00742A04">
        <w:rPr>
          <w:color w:val="000000"/>
        </w:rPr>
        <w:t xml:space="preserve"> </w:t>
      </w:r>
      <w:r w:rsidR="00A836A1" w:rsidRPr="00742A04">
        <w:rPr>
          <w:color w:val="000000"/>
        </w:rPr>
        <w:t xml:space="preserve">por responsabilidad </w:t>
      </w:r>
      <w:r w:rsidR="003C25BF" w:rsidRPr="00742A04">
        <w:rPr>
          <w:color w:val="000000"/>
        </w:rPr>
        <w:t>o</w:t>
      </w:r>
      <w:r w:rsidR="003C25BF" w:rsidRPr="00742A04">
        <w:rPr>
          <w:color w:val="000000"/>
        </w:rPr>
        <w:t>b</w:t>
      </w:r>
      <w:r w:rsidR="003C25BF" w:rsidRPr="00742A04">
        <w:rPr>
          <w:color w:val="000000"/>
        </w:rPr>
        <w:t>jetiv</w:t>
      </w:r>
      <w:r w:rsidR="00A836A1" w:rsidRPr="00742A04">
        <w:rPr>
          <w:color w:val="000000"/>
        </w:rPr>
        <w:t>a</w:t>
      </w:r>
      <w:r w:rsidR="00545D1B" w:rsidRPr="00742A04">
        <w:rPr>
          <w:color w:val="000000"/>
        </w:rPr>
        <w:t xml:space="preserve">. </w:t>
      </w:r>
      <w:r w:rsidR="00A836A1" w:rsidRPr="00742A04">
        <w:rPr>
          <w:color w:val="000000"/>
        </w:rPr>
        <w:t>La norma relativa</w:t>
      </w:r>
      <w:r w:rsidR="001E30D6" w:rsidRPr="00742A04">
        <w:rPr>
          <w:color w:val="000000"/>
        </w:rPr>
        <w:t xml:space="preserve"> </w:t>
      </w:r>
      <w:r w:rsidR="00A80F26">
        <w:rPr>
          <w:color w:val="000000"/>
        </w:rPr>
        <w:t>a la</w:t>
      </w:r>
      <w:r w:rsidR="001E30D6" w:rsidRPr="00742A04">
        <w:rPr>
          <w:color w:val="000000"/>
        </w:rPr>
        <w:t xml:space="preserve"> </w:t>
      </w:r>
      <w:r w:rsidR="00A836A1" w:rsidRPr="00742A04">
        <w:rPr>
          <w:color w:val="000000"/>
        </w:rPr>
        <w:t xml:space="preserve">carga compartida </w:t>
      </w:r>
      <w:r w:rsidR="00F43124" w:rsidRPr="00742A04">
        <w:rPr>
          <w:color w:val="000000"/>
        </w:rPr>
        <w:t xml:space="preserve">de la </w:t>
      </w:r>
      <w:r w:rsidR="00A836A1" w:rsidRPr="00742A04">
        <w:rPr>
          <w:color w:val="000000"/>
        </w:rPr>
        <w:t>prueba se amplió de modo de aplicarse</w:t>
      </w:r>
      <w:r w:rsidR="00545D1B" w:rsidRPr="00742A04">
        <w:rPr>
          <w:color w:val="000000"/>
        </w:rPr>
        <w:t xml:space="preserve"> </w:t>
      </w:r>
      <w:r w:rsidR="0030626A" w:rsidRPr="00742A04">
        <w:rPr>
          <w:color w:val="000000"/>
        </w:rPr>
        <w:t>también</w:t>
      </w:r>
      <w:r w:rsidR="00545D1B" w:rsidRPr="00742A04">
        <w:rPr>
          <w:color w:val="000000"/>
        </w:rPr>
        <w:t xml:space="preserve"> </w:t>
      </w:r>
      <w:r w:rsidR="00194AB3" w:rsidRPr="00742A04">
        <w:rPr>
          <w:i/>
          <w:color w:val="000000"/>
        </w:rPr>
        <w:t xml:space="preserve">fuera </w:t>
      </w:r>
      <w:r w:rsidR="00F43124" w:rsidRPr="00742A04">
        <w:rPr>
          <w:i/>
          <w:color w:val="000000"/>
        </w:rPr>
        <w:t xml:space="preserve">de la </w:t>
      </w:r>
      <w:r w:rsidR="00AD0883" w:rsidRPr="00742A04">
        <w:rPr>
          <w:i/>
          <w:color w:val="000000"/>
        </w:rPr>
        <w:t>vida laboral</w:t>
      </w:r>
      <w:r w:rsidR="00545D1B" w:rsidRPr="00742A04">
        <w:rPr>
          <w:color w:val="000000"/>
        </w:rPr>
        <w:t xml:space="preserve"> </w:t>
      </w:r>
      <w:r w:rsidR="00877AA0" w:rsidRPr="00742A04">
        <w:rPr>
          <w:color w:val="000000"/>
        </w:rPr>
        <w:t>y</w:t>
      </w:r>
      <w:r w:rsidR="00545D1B" w:rsidRPr="00742A04">
        <w:rPr>
          <w:color w:val="000000"/>
        </w:rPr>
        <w:t xml:space="preserve"> </w:t>
      </w:r>
      <w:r w:rsidR="00A836A1" w:rsidRPr="00742A04">
        <w:rPr>
          <w:color w:val="000000"/>
        </w:rPr>
        <w:t>a los</w:t>
      </w:r>
      <w:r w:rsidR="00545D1B" w:rsidRPr="00742A04">
        <w:rPr>
          <w:color w:val="000000"/>
        </w:rPr>
        <w:t xml:space="preserve"> </w:t>
      </w:r>
      <w:r w:rsidR="008A2682" w:rsidRPr="00742A04">
        <w:rPr>
          <w:color w:val="000000"/>
        </w:rPr>
        <w:t>casos</w:t>
      </w:r>
      <w:r w:rsidR="00545D1B" w:rsidRPr="00742A04">
        <w:rPr>
          <w:color w:val="000000"/>
        </w:rPr>
        <w:t xml:space="preserve"> </w:t>
      </w:r>
      <w:r w:rsidR="00A836A1" w:rsidRPr="00742A04">
        <w:rPr>
          <w:color w:val="000000"/>
        </w:rPr>
        <w:t>relativos al</w:t>
      </w:r>
      <w:r w:rsidR="00545D1B" w:rsidRPr="00742A04">
        <w:rPr>
          <w:color w:val="000000"/>
        </w:rPr>
        <w:t xml:space="preserve"> </w:t>
      </w:r>
      <w:r w:rsidR="00A836A1" w:rsidRPr="00742A04">
        <w:rPr>
          <w:color w:val="000000"/>
        </w:rPr>
        <w:t>acoso sexual u otras formas de acoso por motivos de género</w:t>
      </w:r>
      <w:r w:rsidR="00545D1B" w:rsidRPr="00742A04">
        <w:rPr>
          <w:color w:val="000000"/>
        </w:rPr>
        <w:t xml:space="preserve">. </w:t>
      </w:r>
      <w:r w:rsidR="0073499D" w:rsidRPr="00742A04">
        <w:rPr>
          <w:color w:val="000000"/>
        </w:rPr>
        <w:t>La exigencia contenida en el artículo 21 de la Ley sobre la Igualdad de Género se hizo más estricta al permitir sólo en c</w:t>
      </w:r>
      <w:r w:rsidR="0073499D" w:rsidRPr="00742A04">
        <w:rPr>
          <w:color w:val="000000"/>
        </w:rPr>
        <w:t>a</w:t>
      </w:r>
      <w:r w:rsidR="0073499D" w:rsidRPr="00742A04">
        <w:rPr>
          <w:color w:val="000000"/>
        </w:rPr>
        <w:t xml:space="preserve">sos muy extraordinarios la presentación de solicitudes de exención de la exigencia de la Ley de que cada género esté representado por aproximadamente un 40% de los miembros </w:t>
      </w:r>
      <w:r w:rsidR="0073499D">
        <w:rPr>
          <w:color w:val="000000"/>
        </w:rPr>
        <w:t>designados</w:t>
      </w:r>
      <w:r w:rsidR="0073499D" w:rsidRPr="00742A04">
        <w:rPr>
          <w:color w:val="000000"/>
        </w:rPr>
        <w:t xml:space="preserve"> o elegidos por las autoridades públicas para consejos, com</w:t>
      </w:r>
      <w:r w:rsidR="0073499D" w:rsidRPr="00742A04">
        <w:rPr>
          <w:color w:val="000000"/>
        </w:rPr>
        <w:t>i</w:t>
      </w:r>
      <w:r w:rsidR="0073499D" w:rsidRPr="00742A04">
        <w:rPr>
          <w:color w:val="000000"/>
        </w:rPr>
        <w:t>tés, juntas directivas, juntas, etc.</w:t>
      </w:r>
    </w:p>
    <w:p w:rsidR="00F5777C" w:rsidRPr="00742A04" w:rsidRDefault="00F5777C" w:rsidP="00F5777C">
      <w:pPr>
        <w:pStyle w:val="H1"/>
        <w:spacing w:line="120" w:lineRule="exact"/>
        <w:ind w:left="2534" w:right="1260" w:hanging="1267"/>
        <w:rPr>
          <w:bCs/>
          <w:sz w:val="10"/>
          <w:szCs w:val="24"/>
        </w:rPr>
      </w:pPr>
      <w:bookmarkStart w:id="3" w:name="_Toc131924660"/>
      <w:bookmarkStart w:id="4" w:name="_Toc147129449"/>
    </w:p>
    <w:p w:rsidR="002A4469" w:rsidRPr="00742A04" w:rsidRDefault="00814B5D" w:rsidP="005176A8">
      <w:pPr>
        <w:pStyle w:val="H23"/>
        <w:ind w:left="1267"/>
        <w:rPr>
          <w:bCs/>
          <w:szCs w:val="24"/>
        </w:rPr>
      </w:pPr>
      <w:r w:rsidRPr="00742A04">
        <w:rPr>
          <w:bCs/>
          <w:szCs w:val="24"/>
        </w:rPr>
        <w:t>Artículo</w:t>
      </w:r>
      <w:r w:rsidR="00545D1B" w:rsidRPr="00742A04">
        <w:rPr>
          <w:bCs/>
          <w:szCs w:val="24"/>
        </w:rPr>
        <w:t xml:space="preserve"> 2</w:t>
      </w:r>
      <w:r w:rsidR="008E5EBF" w:rsidRPr="00742A04">
        <w:rPr>
          <w:bCs/>
          <w:szCs w:val="24"/>
        </w:rPr>
        <w:t xml:space="preserve"> </w:t>
      </w:r>
      <w:r w:rsidR="00545D1B" w:rsidRPr="00742A04">
        <w:rPr>
          <w:bCs/>
          <w:i/>
          <w:szCs w:val="24"/>
        </w:rPr>
        <w:t>c</w:t>
      </w:r>
      <w:bookmarkEnd w:id="3"/>
    </w:p>
    <w:p w:rsidR="00545D1B" w:rsidRPr="00742A04" w:rsidRDefault="00A05847" w:rsidP="005176A8">
      <w:pPr>
        <w:pStyle w:val="H23"/>
        <w:ind w:left="1267"/>
        <w:rPr>
          <w:bCs/>
          <w:szCs w:val="24"/>
        </w:rPr>
      </w:pPr>
      <w:r w:rsidRPr="00742A04">
        <w:rPr>
          <w:bCs/>
          <w:szCs w:val="24"/>
        </w:rPr>
        <w:t>El</w:t>
      </w:r>
      <w:r w:rsidR="001167D2" w:rsidRPr="00742A04">
        <w:rPr>
          <w:bCs/>
          <w:szCs w:val="24"/>
        </w:rPr>
        <w:t xml:space="preserve"> </w:t>
      </w:r>
      <w:r w:rsidRPr="00742A04">
        <w:rPr>
          <w:bCs/>
          <w:szCs w:val="24"/>
        </w:rPr>
        <w:t>mecanismo nacional para la igualdad de género</w:t>
      </w:r>
      <w:bookmarkEnd w:id="4"/>
    </w:p>
    <w:p w:rsidR="002A4469" w:rsidRPr="00742A04" w:rsidRDefault="002A4469" w:rsidP="005176A8">
      <w:pPr>
        <w:pStyle w:val="H23"/>
        <w:ind w:left="1267"/>
        <w:rPr>
          <w:bCs/>
          <w:sz w:val="10"/>
        </w:rPr>
      </w:pPr>
    </w:p>
    <w:p w:rsidR="000A08D8" w:rsidRPr="00742A04" w:rsidRDefault="00194AB3" w:rsidP="0030626A">
      <w:pPr>
        <w:pStyle w:val="SingleTxt"/>
        <w:ind w:firstLine="475"/>
      </w:pPr>
      <w:r w:rsidRPr="00742A04">
        <w:t>Hasta</w:t>
      </w:r>
      <w:r w:rsidR="00545D1B" w:rsidRPr="00742A04">
        <w:t xml:space="preserve"> </w:t>
      </w:r>
      <w:r w:rsidRPr="00742A04">
        <w:t>el 1° de enero</w:t>
      </w:r>
      <w:r w:rsidR="004A0730" w:rsidRPr="00742A04">
        <w:t xml:space="preserve"> de</w:t>
      </w:r>
      <w:r w:rsidR="00545D1B" w:rsidRPr="00742A04">
        <w:t xml:space="preserve"> 2006, </w:t>
      </w:r>
      <w:r w:rsidR="00A836A1" w:rsidRPr="00742A04">
        <w:t xml:space="preserve">el cometido de hacer cumplir </w:t>
      </w:r>
      <w:r w:rsidR="00A05847" w:rsidRPr="00742A04">
        <w:t>la Ley sobre la Igualdad de Género</w:t>
      </w:r>
      <w:r w:rsidR="00545D1B" w:rsidRPr="00742A04">
        <w:t xml:space="preserve"> </w:t>
      </w:r>
      <w:r w:rsidR="00A836A1" w:rsidRPr="00742A04">
        <w:t xml:space="preserve">incumbía </w:t>
      </w:r>
      <w:r w:rsidR="00A80F26">
        <w:t>a la</w:t>
      </w:r>
      <w:r w:rsidR="001E30D6" w:rsidRPr="00742A04">
        <w:t xml:space="preserve"> </w:t>
      </w:r>
      <w:r w:rsidR="005E603B" w:rsidRPr="00742A04">
        <w:t>Ombudsman de Igualdad de Género</w:t>
      </w:r>
      <w:r w:rsidR="00545D1B" w:rsidRPr="00742A04">
        <w:t xml:space="preserve"> </w:t>
      </w:r>
      <w:r w:rsidR="00877AA0" w:rsidRPr="00742A04">
        <w:t>y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E0831" w:rsidRPr="00742A04">
        <w:t>Junta de Apelaciones para la Igua</w:t>
      </w:r>
      <w:r w:rsidR="00AE0831" w:rsidRPr="00742A04">
        <w:t>l</w:t>
      </w:r>
      <w:r w:rsidR="00AE0831" w:rsidRPr="00742A04">
        <w:t>dad de Género</w:t>
      </w:r>
      <w:r w:rsidR="000A08D8" w:rsidRPr="00742A04">
        <w:t>.</w:t>
      </w:r>
    </w:p>
    <w:p w:rsidR="00545D1B" w:rsidRPr="00742A04" w:rsidRDefault="004A0730" w:rsidP="0030626A">
      <w:pPr>
        <w:pStyle w:val="SingleTxt"/>
        <w:ind w:firstLine="475"/>
      </w:pPr>
      <w:r w:rsidRPr="00742A04">
        <w:t>En</w:t>
      </w:r>
      <w:r w:rsidR="00545D1B" w:rsidRPr="00742A04">
        <w:t xml:space="preserve"> 2005</w:t>
      </w:r>
      <w:r w:rsidR="00A93B9E" w:rsidRPr="00742A04">
        <w:t xml:space="preserve">, la </w:t>
      </w:r>
      <w:r w:rsidR="005E603B" w:rsidRPr="00742A04">
        <w:t>Ombudsman de Igualdad de Género</w:t>
      </w:r>
      <w:r w:rsidR="00A836A1" w:rsidRPr="00742A04">
        <w:t xml:space="preserve"> registró 430 nuevos casos</w:t>
      </w:r>
      <w:r w:rsidR="00545D1B" w:rsidRPr="00742A04">
        <w:t xml:space="preserve">. </w:t>
      </w:r>
      <w:r w:rsidR="00A836A1" w:rsidRPr="00742A04">
        <w:t>Es una clara disminución en relación con</w:t>
      </w:r>
      <w:r w:rsidR="00545D1B" w:rsidRPr="00742A04">
        <w:t xml:space="preserve"> 2004 (517 </w:t>
      </w:r>
      <w:r w:rsidR="008A2682" w:rsidRPr="00742A04">
        <w:t>casos</w:t>
      </w:r>
      <w:r w:rsidR="00545D1B" w:rsidRPr="00742A04">
        <w:t xml:space="preserve">). </w:t>
      </w:r>
      <w:r w:rsidRPr="00742A04">
        <w:t>En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2001-2005</w:t>
      </w:r>
      <w:r w:rsidR="00A93B9E" w:rsidRPr="00742A04">
        <w:t xml:space="preserve">, la </w:t>
      </w:r>
      <w:r w:rsidR="00A836A1" w:rsidRPr="00742A04">
        <w:t>cantidad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A836A1" w:rsidRPr="00742A04">
        <w:t>tuvo las</w:t>
      </w:r>
      <w:r w:rsidR="00545D1B" w:rsidRPr="00742A04">
        <w:t xml:space="preserve"> vari</w:t>
      </w:r>
      <w:r w:rsidR="00A836A1" w:rsidRPr="00742A04">
        <w:t>aciones siguiente</w:t>
      </w:r>
      <w:r w:rsidR="00545D1B" w:rsidRPr="00742A04">
        <w:t>s:</w:t>
      </w:r>
    </w:p>
    <w:p w:rsidR="00A836A1" w:rsidRPr="00742A04" w:rsidRDefault="00A836A1" w:rsidP="00A836A1">
      <w:pPr>
        <w:pStyle w:val="SingleTxt"/>
        <w:spacing w:after="0" w:line="120" w:lineRule="exact"/>
        <w:ind w:firstLine="475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194"/>
        <w:gridCol w:w="1194"/>
        <w:gridCol w:w="1194"/>
        <w:gridCol w:w="1194"/>
        <w:gridCol w:w="1194"/>
      </w:tblGrid>
      <w:tr w:rsidR="002A4469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A4469" w:rsidRPr="00742A04" w:rsidRDefault="002A4469" w:rsidP="0030626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Año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A4469" w:rsidRPr="00742A04" w:rsidRDefault="002A4469" w:rsidP="0030626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2002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2003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2005</w:t>
            </w:r>
          </w:p>
        </w:tc>
      </w:tr>
      <w:tr w:rsidR="002A4469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:rsidR="002A4469" w:rsidRPr="00742A04" w:rsidRDefault="002A4469" w:rsidP="0030626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bottom"/>
          </w:tcPr>
          <w:p w:rsidR="002A4469" w:rsidRPr="00742A04" w:rsidRDefault="002A4469" w:rsidP="0030626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2A4469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2A4469" w:rsidRPr="00742A04" w:rsidRDefault="00065E60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Casos registrados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742A04">
              <w:rPr>
                <w:sz w:val="17"/>
              </w:rPr>
              <w:t>337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742A04">
              <w:rPr>
                <w:sz w:val="17"/>
              </w:rPr>
              <w:t>422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decimal" w:pos="1100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742A04">
              <w:rPr>
                <w:sz w:val="17"/>
              </w:rPr>
              <w:t>476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742A04">
              <w:rPr>
                <w:sz w:val="17"/>
              </w:rPr>
              <w:t>517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bottom"/>
          </w:tcPr>
          <w:p w:rsidR="002A4469" w:rsidRPr="00742A04" w:rsidRDefault="002A4469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742A04">
              <w:rPr>
                <w:sz w:val="17"/>
              </w:rPr>
              <w:t>430</w:t>
            </w:r>
          </w:p>
        </w:tc>
      </w:tr>
    </w:tbl>
    <w:p w:rsidR="00A836A1" w:rsidRPr="00742A04" w:rsidRDefault="00A836A1" w:rsidP="00A836A1">
      <w:pPr>
        <w:pStyle w:val="SingleTxt"/>
        <w:spacing w:after="0" w:line="120" w:lineRule="exact"/>
        <w:ind w:firstLine="475"/>
        <w:rPr>
          <w:sz w:val="10"/>
        </w:rPr>
      </w:pPr>
    </w:p>
    <w:p w:rsidR="00A836A1" w:rsidRPr="00742A04" w:rsidRDefault="00A836A1" w:rsidP="00A836A1">
      <w:pPr>
        <w:pStyle w:val="SingleTxt"/>
        <w:spacing w:after="0" w:line="120" w:lineRule="exact"/>
        <w:ind w:firstLine="475"/>
        <w:rPr>
          <w:sz w:val="10"/>
        </w:rPr>
      </w:pPr>
    </w:p>
    <w:p w:rsidR="00545D1B" w:rsidRPr="00742A04" w:rsidRDefault="004A0730" w:rsidP="0030626A">
      <w:pPr>
        <w:pStyle w:val="SingleTxt"/>
        <w:ind w:firstLine="475"/>
      </w:pPr>
      <w:r w:rsidRPr="00742A04">
        <w:t>En</w:t>
      </w:r>
      <w:r w:rsidR="00545D1B" w:rsidRPr="00742A04">
        <w:t xml:space="preserve"> 2005 </w:t>
      </w:r>
      <w:r w:rsidR="006137EC" w:rsidRPr="00742A04">
        <w:t>la Ombudsman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A836A1" w:rsidRPr="00742A04">
        <w:t>examinó</w:t>
      </w:r>
      <w:r w:rsidR="00545D1B" w:rsidRPr="00742A04">
        <w:t xml:space="preserve"> 113 </w:t>
      </w:r>
      <w:r w:rsidR="00EA6AC2" w:rsidRPr="00742A04">
        <w:t>informes de empresas sobre sus</w:t>
      </w:r>
      <w:r w:rsidR="00502E16" w:rsidRPr="00742A04">
        <w:t xml:space="preserve"> esfuerzos</w:t>
      </w:r>
      <w:r w:rsidR="00EA6AC2" w:rsidRPr="00742A04">
        <w:t xml:space="preserve"> por promover la </w:t>
      </w:r>
      <w:r w:rsidR="00A05847" w:rsidRPr="00742A04">
        <w:t>igualdad de género</w:t>
      </w:r>
      <w:r w:rsidR="006137EC" w:rsidRPr="00742A04">
        <w:t>; véase</w:t>
      </w:r>
      <w:r w:rsidR="00545D1B" w:rsidRPr="00742A04">
        <w:t xml:space="preserve"> </w:t>
      </w:r>
      <w:r w:rsidR="00A836A1" w:rsidRPr="00742A04">
        <w:t>el artículo</w:t>
      </w:r>
      <w:r w:rsidR="00C14BFF" w:rsidRPr="00742A04">
        <w:t xml:space="preserve"> </w:t>
      </w:r>
      <w:smartTag w:uri="urn:schemas-microsoft-com:office:smarttags" w:element="metricconverter">
        <w:smartTagPr>
          <w:attr w:name="ProductID" w:val="1 a"/>
        </w:smartTagPr>
        <w:r w:rsidR="00545D1B" w:rsidRPr="00742A04">
          <w:t>1 a</w:t>
        </w:r>
      </w:smartTag>
      <w:r w:rsidR="00545D1B" w:rsidRPr="00742A04">
        <w:t xml:space="preserve"> </w:t>
      </w:r>
      <w:r w:rsidR="00F43124" w:rsidRPr="00742A04">
        <w:t xml:space="preserve">de la </w:t>
      </w:r>
      <w:r w:rsidR="00A05847" w:rsidRPr="00742A04">
        <w:t>Ley sobre la Igualdad de Género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C802FC" w:rsidRPr="00742A04">
        <w:t>brindó asesoramiento telefónico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492 </w:t>
      </w:r>
      <w:r w:rsidR="008A2682" w:rsidRPr="00742A04">
        <w:t>c</w:t>
      </w:r>
      <w:r w:rsidR="008A2682" w:rsidRPr="00742A04">
        <w:t>a</w:t>
      </w:r>
      <w:r w:rsidR="008A2682" w:rsidRPr="00742A04">
        <w:t>sos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2005, </w:t>
      </w:r>
      <w:r w:rsidR="00C802FC" w:rsidRPr="00742A04">
        <w:t xml:space="preserve">en </w:t>
      </w:r>
      <w:r w:rsidR="00545D1B" w:rsidRPr="00742A04">
        <w:t>compar</w:t>
      </w:r>
      <w:r w:rsidR="00C802FC" w:rsidRPr="00742A04">
        <w:t>a</w:t>
      </w:r>
      <w:r w:rsidR="00C802FC" w:rsidRPr="00742A04">
        <w:t>ción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471 </w:t>
      </w:r>
      <w:r w:rsidR="00C14BFF" w:rsidRPr="00742A04">
        <w:t>en</w:t>
      </w:r>
      <w:r w:rsidR="00545D1B" w:rsidRPr="00742A04">
        <w:t xml:space="preserve"> 2004.</w:t>
      </w:r>
    </w:p>
    <w:p w:rsidR="00545D1B" w:rsidRPr="00742A04" w:rsidRDefault="004F07A7" w:rsidP="0030626A">
      <w:pPr>
        <w:pStyle w:val="SingleTxt"/>
        <w:ind w:firstLine="475"/>
      </w:pPr>
      <w:r w:rsidRPr="00742A04">
        <w:t>Los c</w:t>
      </w:r>
      <w:r w:rsidR="008A2682" w:rsidRPr="00742A04">
        <w:t>asos</w:t>
      </w:r>
      <w:r w:rsidR="00545D1B" w:rsidRPr="00742A04">
        <w:t xml:space="preserve"> </w:t>
      </w:r>
      <w:r w:rsidRPr="00742A04">
        <w:t>presentados</w:t>
      </w:r>
      <w:r w:rsidR="00D75341" w:rsidRPr="00742A04">
        <w:t xml:space="preserve"> ante l</w:t>
      </w:r>
      <w:r w:rsidR="001E30D6" w:rsidRPr="00742A04">
        <w:t xml:space="preserve">a </w:t>
      </w:r>
      <w:r w:rsidR="005E603B" w:rsidRPr="00742A04">
        <w:t>Ombudsman de Igualdad de Género</w:t>
      </w:r>
      <w:r w:rsidR="00545D1B" w:rsidRPr="00742A04">
        <w:t xml:space="preserve"> </w:t>
      </w:r>
      <w:r w:rsidRPr="00742A04">
        <w:t>correspo</w:t>
      </w:r>
      <w:r w:rsidRPr="00742A04">
        <w:t>n</w:t>
      </w:r>
      <w:r w:rsidRPr="00742A04">
        <w:t>den a las</w:t>
      </w:r>
      <w:r w:rsidR="00545D1B" w:rsidRPr="00742A04">
        <w:t xml:space="preserve"> categor</w:t>
      </w:r>
      <w:r w:rsidRPr="00742A04">
        <w:t>ía</w:t>
      </w:r>
      <w:r w:rsidR="00545D1B" w:rsidRPr="00742A04">
        <w:t>s</w:t>
      </w:r>
      <w:r w:rsidRPr="00742A04">
        <w:t xml:space="preserve"> siguientes</w:t>
      </w:r>
      <w:r w:rsidR="00545D1B" w:rsidRPr="00742A04">
        <w:t xml:space="preserve">: </w:t>
      </w:r>
      <w:r w:rsidRPr="00742A04">
        <w:t xml:space="preserve">casos </w:t>
      </w:r>
      <w:r w:rsidR="00545D1B" w:rsidRPr="00742A04">
        <w:t>individual</w:t>
      </w:r>
      <w:r w:rsidRPr="00742A04">
        <w:t>es</w:t>
      </w:r>
      <w:r w:rsidR="00545D1B" w:rsidRPr="00742A04">
        <w:t xml:space="preserve">, </w:t>
      </w:r>
      <w:r w:rsidR="008A2682" w:rsidRPr="00742A04">
        <w:t>casos</w:t>
      </w:r>
      <w:r w:rsidR="00545D1B" w:rsidRPr="00742A04">
        <w:t xml:space="preserve"> re</w:t>
      </w:r>
      <w:r w:rsidRPr="00742A04">
        <w:t>mitidos al</w:t>
      </w:r>
      <w:r w:rsidR="00545D1B" w:rsidRPr="00742A04">
        <w:t xml:space="preserve"> </w:t>
      </w:r>
      <w:r w:rsidRPr="00742A04">
        <w:t xml:space="preserve">Ombudsman de Defensa </w:t>
      </w:r>
      <w:r w:rsidR="00C076F2" w:rsidRPr="00742A04">
        <w:t xml:space="preserve">de los </w:t>
      </w:r>
      <w:r w:rsidRPr="00742A04">
        <w:t>Consumidores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Pr="00742A04">
        <w:t>presentados para observaciones de carácter co</w:t>
      </w:r>
      <w:r w:rsidRPr="00742A04">
        <w:t>n</w:t>
      </w:r>
      <w:r w:rsidRPr="00742A04">
        <w:t>sultivo</w:t>
      </w:r>
      <w:r w:rsidR="00545D1B" w:rsidRPr="00742A04">
        <w:t xml:space="preserve">. </w:t>
      </w:r>
      <w:r w:rsidRPr="00742A04">
        <w:t>Los casos individuales</w:t>
      </w:r>
      <w:r w:rsidR="00545D1B" w:rsidRPr="00742A04">
        <w:t xml:space="preserve"> </w:t>
      </w:r>
      <w:r w:rsidRPr="00742A04">
        <w:t>comprenden</w:t>
      </w:r>
      <w:r w:rsidR="00545D1B" w:rsidRPr="00742A04">
        <w:t xml:space="preserve"> </w:t>
      </w:r>
      <w:r w:rsidRPr="00742A04">
        <w:t>quejas</w:t>
      </w:r>
      <w:r w:rsidR="00545D1B" w:rsidRPr="00742A04">
        <w:t xml:space="preserve">, </w:t>
      </w:r>
      <w:r w:rsidRPr="00742A04">
        <w:t>solicitudes de asesoramiento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Pr="00742A04">
        <w:t>en que están en juego</w:t>
      </w:r>
      <w:r w:rsidR="00545D1B" w:rsidRPr="00742A04">
        <w:t xml:space="preserve"> important</w:t>
      </w:r>
      <w:r w:rsidRPr="00742A04">
        <w:t>es</w:t>
      </w:r>
      <w:r w:rsidR="00545D1B" w:rsidRPr="00742A04">
        <w:t xml:space="preserve"> </w:t>
      </w:r>
      <w:r w:rsidRPr="00742A04">
        <w:t>principios</w:t>
      </w:r>
      <w:r w:rsidR="00545D1B" w:rsidRPr="00742A04">
        <w:t xml:space="preserve"> </w:t>
      </w:r>
      <w:r w:rsidRPr="00742A04">
        <w:t xml:space="preserve">que la </w:t>
      </w:r>
      <w:r w:rsidR="00A836A1" w:rsidRPr="00742A04">
        <w:t>Ombudsman</w:t>
      </w:r>
      <w:r w:rsidR="00614C7D" w:rsidRPr="00742A04">
        <w:t xml:space="preserve"> pone en marcha por</w:t>
      </w:r>
      <w:r w:rsidR="00545D1B" w:rsidRPr="00742A04">
        <w:t xml:space="preserve"> </w:t>
      </w:r>
      <w:r w:rsidR="00614C7D" w:rsidRPr="00742A04">
        <w:t>iniciativa propia</w:t>
      </w:r>
      <w:r w:rsidR="00545D1B" w:rsidRPr="00742A04">
        <w:t xml:space="preserve">. </w:t>
      </w:r>
      <w:r w:rsidR="00614C7D" w:rsidRPr="00742A04">
        <w:t>Los c</w:t>
      </w:r>
      <w:r w:rsidR="008A2682" w:rsidRPr="00742A04">
        <w:t>asos</w:t>
      </w:r>
      <w:r w:rsidR="00545D1B" w:rsidRPr="00742A04">
        <w:t xml:space="preserve"> </w:t>
      </w:r>
      <w:r w:rsidR="0073499D">
        <w:t xml:space="preserve">iniciados </w:t>
      </w:r>
      <w:r w:rsidR="00D52339" w:rsidRPr="00742A04">
        <w:t>sobre la base</w:t>
      </w:r>
      <w:r w:rsidR="00FD7D4E" w:rsidRPr="00742A04">
        <w:t xml:space="preserve"> de </w:t>
      </w:r>
      <w:r w:rsidR="00A80F26">
        <w:t xml:space="preserve">una </w:t>
      </w:r>
      <w:r w:rsidR="008E5EBF" w:rsidRPr="00742A04">
        <w:t>queja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73499D">
        <w:t>un</w:t>
      </w:r>
      <w:r w:rsidR="00545D1B" w:rsidRPr="00742A04">
        <w:t xml:space="preserve">a </w:t>
      </w:r>
      <w:r w:rsidR="0073499D">
        <w:t>solicitud de</w:t>
      </w:r>
      <w:r w:rsidR="00545D1B" w:rsidRPr="00742A04">
        <w:t xml:space="preserve"> </w:t>
      </w:r>
      <w:r w:rsidR="00502E16" w:rsidRPr="00742A04">
        <w:t>asesoramiento</w:t>
      </w:r>
      <w:r w:rsidR="00545D1B" w:rsidRPr="00742A04">
        <w:t xml:space="preserve"> genera</w:t>
      </w:r>
      <w:r w:rsidR="005F7B32" w:rsidRPr="00742A04">
        <w:t xml:space="preserve">lmente </w:t>
      </w:r>
      <w:r w:rsidR="0073499D">
        <w:t xml:space="preserve">se </w:t>
      </w:r>
      <w:r w:rsidR="00072AD7" w:rsidRPr="00742A04">
        <w:t>orig</w:t>
      </w:r>
      <w:r w:rsidR="0073499D">
        <w:t>inan como un</w:t>
      </w:r>
      <w:r w:rsidR="00545D1B" w:rsidRPr="00742A04">
        <w:t xml:space="preserve">a </w:t>
      </w:r>
      <w:r w:rsidR="008E5EBF" w:rsidRPr="00742A04">
        <w:t>queja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culmina</w:t>
      </w:r>
      <w:r w:rsidR="0073499D">
        <w:t>n con</w:t>
      </w:r>
      <w:r w:rsidR="00545D1B" w:rsidRPr="00742A04">
        <w:t xml:space="preserve"> </w:t>
      </w:r>
      <w:r w:rsidR="0073499D">
        <w:t>un</w:t>
      </w:r>
      <w:r w:rsidR="00545D1B" w:rsidRPr="00742A04">
        <w:t>a conclus</w:t>
      </w:r>
      <w:r w:rsidR="005E6919" w:rsidRPr="00742A04">
        <w:t xml:space="preserve">ión </w:t>
      </w:r>
      <w:r w:rsidR="0073499D">
        <w:t>respecto de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73499D">
        <w:t xml:space="preserve">ha tenido lugar </w:t>
      </w:r>
      <w:r w:rsidR="000F0ACC" w:rsidRPr="00742A04">
        <w:t>una violación</w:t>
      </w:r>
      <w:r w:rsidR="00545D1B" w:rsidRPr="00742A04">
        <w:t xml:space="preserve"> </w:t>
      </w:r>
      <w:r w:rsidR="00F43124" w:rsidRPr="00742A04">
        <w:t xml:space="preserve">de la </w:t>
      </w:r>
      <w:r w:rsidR="00230F13" w:rsidRPr="00742A04">
        <w:t>Ley</w:t>
      </w:r>
      <w:r w:rsidR="00545D1B" w:rsidRPr="00742A04">
        <w:t xml:space="preserve"> </w:t>
      </w:r>
      <w:r w:rsidR="0073499D" w:rsidRPr="00742A04">
        <w:t>o no</w:t>
      </w:r>
      <w:r w:rsidR="00545D1B" w:rsidRPr="00742A04">
        <w:t>.</w:t>
      </w:r>
    </w:p>
    <w:p w:rsidR="0030626A" w:rsidRPr="00742A04" w:rsidRDefault="0030626A" w:rsidP="0030626A">
      <w:pPr>
        <w:pStyle w:val="SingleTxt"/>
        <w:spacing w:after="0" w:line="120" w:lineRule="exact"/>
        <w:rPr>
          <w:b/>
          <w:sz w:val="10"/>
        </w:rPr>
      </w:pPr>
    </w:p>
    <w:p w:rsidR="00545D1B" w:rsidRPr="00742A04" w:rsidRDefault="004F07A7" w:rsidP="004F07A7">
      <w:pPr>
        <w:pStyle w:val="SingleTxt"/>
        <w:keepNext/>
      </w:pPr>
      <w:r w:rsidRPr="00742A04">
        <w:rPr>
          <w:b/>
        </w:rPr>
        <w:t>Detalle de</w:t>
      </w:r>
      <w:r w:rsidR="00545D1B" w:rsidRPr="00742A04">
        <w:rPr>
          <w:b/>
        </w:rPr>
        <w:t xml:space="preserve"> </w:t>
      </w:r>
      <w:r w:rsidR="008A2682" w:rsidRPr="00742A04">
        <w:rPr>
          <w:b/>
        </w:rPr>
        <w:t>casos</w:t>
      </w:r>
      <w:r w:rsidRPr="00742A04">
        <w:rPr>
          <w:b/>
        </w:rPr>
        <w:t xml:space="preserve"> presentados por escrito</w:t>
      </w:r>
      <w:r w:rsidR="00545D1B" w:rsidRPr="00742A04">
        <w:rPr>
          <w:b/>
        </w:rPr>
        <w:t xml:space="preserve"> </w:t>
      </w:r>
      <w:r w:rsidR="00C14BFF" w:rsidRPr="00742A04">
        <w:rPr>
          <w:b/>
        </w:rPr>
        <w:t>en</w:t>
      </w:r>
      <w:r w:rsidR="00545D1B" w:rsidRPr="00742A04">
        <w:rPr>
          <w:b/>
        </w:rPr>
        <w:t xml:space="preserve"> </w:t>
      </w:r>
      <w:r w:rsidR="00A836A1" w:rsidRPr="00742A04">
        <w:rPr>
          <w:b/>
        </w:rPr>
        <w:t>el período</w:t>
      </w:r>
      <w:r w:rsidR="00545D1B" w:rsidRPr="00742A04">
        <w:rPr>
          <w:b/>
        </w:rPr>
        <w:t xml:space="preserve"> 2001-2005</w:t>
      </w:r>
    </w:p>
    <w:p w:rsidR="0030626A" w:rsidRPr="00742A04" w:rsidRDefault="0030626A" w:rsidP="004F07A7">
      <w:pPr>
        <w:pStyle w:val="SingleTxt"/>
        <w:keepNext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906"/>
        <w:gridCol w:w="906"/>
        <w:gridCol w:w="906"/>
        <w:gridCol w:w="906"/>
        <w:gridCol w:w="906"/>
      </w:tblGrid>
      <w:tr w:rsidR="002D182E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Tipo de caso/Año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2004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2005</w:t>
            </w:r>
          </w:p>
        </w:tc>
      </w:tr>
      <w:tr w:rsidR="002D182E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790" w:type="dxa"/>
            <w:tcBorders>
              <w:top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bottom"/>
          </w:tcPr>
          <w:p w:rsidR="002D182E" w:rsidRPr="00742A04" w:rsidRDefault="002D182E" w:rsidP="004F07A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2D182E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Align w:val="bottom"/>
          </w:tcPr>
          <w:p w:rsidR="002D182E" w:rsidRPr="00742A04" w:rsidRDefault="00614C7D" w:rsidP="00614C7D">
            <w:pPr>
              <w:keepNext/>
              <w:spacing w:before="40" w:after="40" w:line="200" w:lineRule="exac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Casos individuales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270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350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390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440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350</w:t>
            </w:r>
          </w:p>
        </w:tc>
      </w:tr>
      <w:tr w:rsidR="002D182E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Align w:val="bottom"/>
          </w:tcPr>
          <w:p w:rsidR="002D182E" w:rsidRPr="00742A04" w:rsidRDefault="00614C7D" w:rsidP="00614C7D">
            <w:pPr>
              <w:keepNext/>
              <w:spacing w:before="40" w:after="40" w:line="200" w:lineRule="exac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Casos r</w:t>
            </w:r>
            <w:r w:rsidR="002D182E" w:rsidRPr="00742A04">
              <w:rPr>
                <w:sz w:val="17"/>
                <w:szCs w:val="17"/>
              </w:rPr>
              <w:t>e</w:t>
            </w:r>
            <w:r w:rsidRPr="00742A04">
              <w:rPr>
                <w:sz w:val="17"/>
                <w:szCs w:val="17"/>
              </w:rPr>
              <w:t>mitidos al</w:t>
            </w:r>
            <w:r w:rsidR="002D182E" w:rsidRPr="00742A04">
              <w:rPr>
                <w:sz w:val="17"/>
                <w:szCs w:val="17"/>
              </w:rPr>
              <w:t xml:space="preserve"> </w:t>
            </w:r>
            <w:r w:rsidR="004F07A7" w:rsidRPr="00742A04">
              <w:rPr>
                <w:sz w:val="17"/>
                <w:szCs w:val="17"/>
              </w:rPr>
              <w:t xml:space="preserve">Ombudsman de Defensa </w:t>
            </w:r>
            <w:r w:rsidR="00C076F2" w:rsidRPr="00742A04">
              <w:rPr>
                <w:sz w:val="17"/>
                <w:szCs w:val="17"/>
              </w:rPr>
              <w:t xml:space="preserve">de los </w:t>
            </w:r>
            <w:r w:rsidR="004F07A7" w:rsidRPr="00742A04">
              <w:rPr>
                <w:sz w:val="17"/>
                <w:szCs w:val="17"/>
              </w:rPr>
              <w:t>Consumidores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20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28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11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18</w:t>
            </w:r>
          </w:p>
        </w:tc>
        <w:tc>
          <w:tcPr>
            <w:tcW w:w="906" w:type="dxa"/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13</w:t>
            </w:r>
          </w:p>
        </w:tc>
      </w:tr>
      <w:tr w:rsidR="002D182E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D182E" w:rsidRPr="00742A04" w:rsidRDefault="008A2682" w:rsidP="00614C7D">
            <w:pPr>
              <w:keepNext/>
              <w:spacing w:before="40" w:after="40" w:line="200" w:lineRule="exac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Casos</w:t>
            </w:r>
            <w:r w:rsidR="002D182E" w:rsidRPr="00742A04">
              <w:rPr>
                <w:sz w:val="17"/>
                <w:szCs w:val="17"/>
              </w:rPr>
              <w:t xml:space="preserve"> </w:t>
            </w:r>
            <w:r w:rsidR="00614C7D" w:rsidRPr="00742A04">
              <w:rPr>
                <w:sz w:val="17"/>
                <w:szCs w:val="17"/>
              </w:rPr>
              <w:t>en que se solicitan observaciones de carácter</w:t>
            </w:r>
            <w:r w:rsidR="002D182E" w:rsidRPr="00742A04">
              <w:rPr>
                <w:sz w:val="17"/>
                <w:szCs w:val="17"/>
              </w:rPr>
              <w:t xml:space="preserve"> </w:t>
            </w:r>
            <w:r w:rsidR="00614C7D" w:rsidRPr="00742A04">
              <w:rPr>
                <w:sz w:val="17"/>
                <w:szCs w:val="17"/>
              </w:rPr>
              <w:t>consultivo</w:t>
            </w:r>
            <w:r w:rsidR="002D182E" w:rsidRPr="00742A04">
              <w:rPr>
                <w:sz w:val="17"/>
                <w:szCs w:val="17"/>
              </w:rPr>
              <w:t xml:space="preserve">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47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75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2D182E" w:rsidRPr="00742A04" w:rsidRDefault="002D182E" w:rsidP="00614C7D">
            <w:pPr>
              <w:keepNext/>
              <w:spacing w:before="40" w:after="40" w:line="200" w:lineRule="exact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67</w:t>
            </w:r>
          </w:p>
        </w:tc>
      </w:tr>
      <w:tr w:rsidR="002D182E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:rsidR="002D182E" w:rsidRPr="00742A04" w:rsidRDefault="002D182E" w:rsidP="00614C7D">
            <w:pPr>
              <w:spacing w:before="40" w:after="40" w:line="200" w:lineRule="exac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Total: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614C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0" w:lineRule="exact"/>
              <w:ind w:right="40"/>
              <w:jc w:val="right"/>
              <w:rPr>
                <w:sz w:val="17"/>
              </w:rPr>
            </w:pPr>
            <w:r w:rsidRPr="00742A04">
              <w:rPr>
                <w:sz w:val="17"/>
              </w:rPr>
              <w:t>337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614C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0" w:lineRule="exact"/>
              <w:ind w:right="40"/>
              <w:jc w:val="right"/>
              <w:rPr>
                <w:sz w:val="17"/>
              </w:rPr>
            </w:pPr>
            <w:r w:rsidRPr="00742A04">
              <w:rPr>
                <w:sz w:val="17"/>
              </w:rPr>
              <w:t>422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614C7D">
            <w:pPr>
              <w:tabs>
                <w:tab w:val="decimal" w:pos="1100"/>
              </w:tabs>
              <w:spacing w:before="40" w:after="40" w:line="200" w:lineRule="exact"/>
              <w:ind w:right="40"/>
              <w:rPr>
                <w:sz w:val="17"/>
              </w:rPr>
            </w:pPr>
            <w:r w:rsidRPr="00742A04">
              <w:rPr>
                <w:sz w:val="17"/>
              </w:rPr>
              <w:t>476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614C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0" w:lineRule="exact"/>
              <w:ind w:right="40"/>
              <w:jc w:val="right"/>
              <w:rPr>
                <w:sz w:val="17"/>
              </w:rPr>
            </w:pPr>
            <w:r w:rsidRPr="00742A04">
              <w:rPr>
                <w:sz w:val="17"/>
              </w:rPr>
              <w:t>517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182E" w:rsidRPr="00742A04" w:rsidRDefault="002D182E" w:rsidP="00614C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0" w:lineRule="exact"/>
              <w:ind w:right="40"/>
              <w:jc w:val="right"/>
              <w:rPr>
                <w:sz w:val="17"/>
              </w:rPr>
            </w:pPr>
            <w:r w:rsidRPr="00742A04">
              <w:rPr>
                <w:sz w:val="17"/>
              </w:rPr>
              <w:t>430</w:t>
            </w:r>
          </w:p>
        </w:tc>
      </w:tr>
    </w:tbl>
    <w:p w:rsidR="0030626A" w:rsidRPr="00742A04" w:rsidRDefault="0030626A" w:rsidP="0030626A">
      <w:pPr>
        <w:pStyle w:val="SingleTxt"/>
        <w:spacing w:after="0" w:line="120" w:lineRule="exact"/>
        <w:rPr>
          <w:sz w:val="10"/>
        </w:rPr>
      </w:pPr>
    </w:p>
    <w:p w:rsidR="0030626A" w:rsidRPr="00742A04" w:rsidRDefault="0030626A" w:rsidP="0030626A">
      <w:pPr>
        <w:pStyle w:val="SingleTxt"/>
        <w:spacing w:after="0" w:line="120" w:lineRule="exact"/>
        <w:rPr>
          <w:sz w:val="10"/>
        </w:rPr>
      </w:pPr>
    </w:p>
    <w:p w:rsidR="00545D1B" w:rsidRPr="00742A04" w:rsidRDefault="0073499D" w:rsidP="0030626A">
      <w:pPr>
        <w:pStyle w:val="SingleTxt"/>
        <w:ind w:firstLine="475"/>
      </w:pPr>
      <w:r w:rsidRPr="00742A04">
        <w:t>Muchos de los casos individuales (2005) se refieren a cuestiones relativas al trato diferencial en relación con el artículo 3 (cláusula general) de la Ley sobre la Igualdad de Género, y son predominant</w:t>
      </w:r>
      <w:r>
        <w:t>emente</w:t>
      </w:r>
      <w:r w:rsidRPr="00742A04">
        <w:t xml:space="preserve"> casos relativos a licencia por emb</w:t>
      </w:r>
      <w:r w:rsidRPr="00742A04">
        <w:t>a</w:t>
      </w:r>
      <w:r w:rsidRPr="00742A04">
        <w:t xml:space="preserve">razo y maternidad. </w:t>
      </w:r>
      <w:r w:rsidR="002E5047" w:rsidRPr="00742A04">
        <w:t xml:space="preserve">Los demás </w:t>
      </w:r>
      <w:r w:rsidR="004F07A7" w:rsidRPr="00742A04">
        <w:t>casos individuales</w:t>
      </w:r>
      <w:r w:rsidR="00545D1B" w:rsidRPr="00742A04">
        <w:t xml:space="preserve"> </w:t>
      </w:r>
      <w:r w:rsidR="002E5047" w:rsidRPr="00742A04">
        <w:t>se refieren en gran medida a</w:t>
      </w:r>
      <w:r w:rsidR="00545D1B" w:rsidRPr="00742A04">
        <w:t xml:space="preserve"> </w:t>
      </w:r>
      <w:r w:rsidR="002E5047" w:rsidRPr="00742A04">
        <w:t>cue</w:t>
      </w:r>
      <w:r w:rsidR="002E5047" w:rsidRPr="00742A04">
        <w:t>s</w:t>
      </w:r>
      <w:r w:rsidR="002E5047" w:rsidRPr="00742A04">
        <w:t>tiones relacionadas con</w:t>
      </w:r>
      <w:r w:rsidR="00545D1B" w:rsidRPr="00742A04">
        <w:t xml:space="preserve"> </w:t>
      </w:r>
      <w:r w:rsidR="00AD0883" w:rsidRPr="00742A04">
        <w:t>la vida laboral</w:t>
      </w:r>
      <w:r w:rsidR="002E5047" w:rsidRPr="00742A04">
        <w:t>,</w:t>
      </w:r>
      <w:r w:rsidR="00545D1B" w:rsidRPr="00742A04">
        <w:t xml:space="preserve"> </w:t>
      </w:r>
      <w:r w:rsidR="00AD0883" w:rsidRPr="00742A04">
        <w:t>tales como</w:t>
      </w:r>
      <w:r w:rsidR="00545D1B" w:rsidRPr="00742A04">
        <w:t xml:space="preserve"> </w:t>
      </w:r>
      <w:r w:rsidR="002E5047" w:rsidRPr="00742A04">
        <w:t>cuestiones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E5047" w:rsidRPr="00742A04">
        <w:t>contratación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2E5047" w:rsidRPr="00742A04">
        <w:t>igualdad de remuneración</w:t>
      </w:r>
      <w:r w:rsidR="00545D1B" w:rsidRPr="00742A04">
        <w:t xml:space="preserve">: </w:t>
      </w:r>
      <w:r w:rsidR="002E5047" w:rsidRPr="00742A04">
        <w:t>avisos de vacantes</w:t>
      </w:r>
      <w:r w:rsidR="00545D1B" w:rsidRPr="00742A04">
        <w:t xml:space="preserve"> (18), </w:t>
      </w:r>
      <w:r w:rsidR="002E5047" w:rsidRPr="00742A04">
        <w:t>nombramientos</w:t>
      </w:r>
      <w:r w:rsidR="00545D1B" w:rsidRPr="00742A04">
        <w:t xml:space="preserve"> (53)</w:t>
      </w:r>
      <w:r w:rsidR="002E5047" w:rsidRPr="00742A04">
        <w:t xml:space="preserve"> e igualdad de rem</w:t>
      </w:r>
      <w:r w:rsidR="002E5047" w:rsidRPr="00742A04">
        <w:t>u</w:t>
      </w:r>
      <w:r w:rsidR="002E5047" w:rsidRPr="00742A04">
        <w:t>neración</w:t>
      </w:r>
      <w:r w:rsidR="00545D1B" w:rsidRPr="00742A04">
        <w:t xml:space="preserve"> (39).</w:t>
      </w:r>
    </w:p>
    <w:p w:rsidR="00545D1B" w:rsidRPr="00742A04" w:rsidRDefault="004A0730" w:rsidP="0030626A">
      <w:pPr>
        <w:pStyle w:val="SingleTxt"/>
        <w:ind w:firstLine="475"/>
      </w:pPr>
      <w:r w:rsidRPr="00742A04">
        <w:t>En</w:t>
      </w:r>
      <w:r w:rsidR="00545D1B" w:rsidRPr="00742A04">
        <w:t xml:space="preserve"> 2005, </w:t>
      </w:r>
      <w:r w:rsidR="002E5047" w:rsidRPr="00742A04">
        <w:t xml:space="preserve">el </w:t>
      </w:r>
      <w:r w:rsidR="00545D1B" w:rsidRPr="00742A04">
        <w:t>18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2E5047" w:rsidRPr="00742A04">
        <w:t xml:space="preserve">las </w:t>
      </w:r>
      <w:r w:rsidR="004F07A7" w:rsidRPr="00742A04">
        <w:t>quejas</w:t>
      </w:r>
      <w:r w:rsidR="00545D1B" w:rsidRPr="00742A04">
        <w:t xml:space="preserve"> </w:t>
      </w:r>
      <w:r w:rsidR="002E5047" w:rsidRPr="00742A04">
        <w:t>fueron presentadas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="002E5047" w:rsidRPr="00742A04">
        <w:t xml:space="preserve">el </w:t>
      </w:r>
      <w:r w:rsidR="00545D1B" w:rsidRPr="00742A04">
        <w:t>55</w:t>
      </w:r>
      <w:r w:rsidR="001167D2" w:rsidRPr="00742A04">
        <w:t>%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BB4DB1" w:rsidRPr="00742A04">
        <w:t xml:space="preserve">y el </w:t>
      </w:r>
      <w:r w:rsidR="00545D1B" w:rsidRPr="00742A04">
        <w:t>9</w:t>
      </w:r>
      <w:r w:rsidR="001167D2" w:rsidRPr="00742A04">
        <w:t>%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FB5EDF" w:rsidRPr="00742A04">
        <w:t>organizaciones</w:t>
      </w:r>
      <w:r w:rsidR="00545D1B" w:rsidRPr="00742A04">
        <w:t xml:space="preserve">, </w:t>
      </w:r>
      <w:r w:rsidR="002E5047" w:rsidRPr="00742A04">
        <w:t>mientras que l</w:t>
      </w:r>
      <w:r w:rsidR="00A836A1" w:rsidRPr="00742A04">
        <w:t xml:space="preserve">a </w:t>
      </w:r>
      <w:r w:rsidR="005E603B" w:rsidRPr="00742A04">
        <w:t>Ombudsman de Igualdad de Género</w:t>
      </w:r>
      <w:r w:rsidR="00545D1B" w:rsidRPr="00742A04">
        <w:t xml:space="preserve"> </w:t>
      </w:r>
      <w:r w:rsidR="00581775" w:rsidRPr="00742A04">
        <w:t>puso en marcha el</w:t>
      </w:r>
      <w:r w:rsidR="00545D1B" w:rsidRPr="00742A04">
        <w:t xml:space="preserve"> 18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311327" w:rsidRPr="00742A04">
        <w:t>casos</w:t>
      </w:r>
      <w:r w:rsidR="00545D1B" w:rsidRPr="00742A04">
        <w:t xml:space="preserve"> </w:t>
      </w:r>
      <w:r w:rsidR="00581775" w:rsidRPr="00742A04">
        <w:t>por iniciativa propia</w:t>
      </w:r>
      <w:r w:rsidR="00545D1B" w:rsidRPr="00742A04">
        <w:t>.</w:t>
      </w:r>
    </w:p>
    <w:p w:rsidR="00614C7D" w:rsidRPr="00742A04" w:rsidRDefault="00614C7D" w:rsidP="00614C7D">
      <w:pPr>
        <w:pStyle w:val="H23"/>
        <w:spacing w:line="120" w:lineRule="exact"/>
        <w:ind w:left="1267"/>
        <w:rPr>
          <w:bCs/>
          <w:sz w:val="10"/>
        </w:rPr>
      </w:pPr>
    </w:p>
    <w:p w:rsidR="00545D1B" w:rsidRPr="00742A04" w:rsidRDefault="00614C7D" w:rsidP="00614C7D">
      <w:pPr>
        <w:pStyle w:val="H23"/>
        <w:ind w:left="1267"/>
        <w:rPr>
          <w:bCs/>
        </w:rPr>
      </w:pPr>
      <w:r w:rsidRPr="00742A04">
        <w:rPr>
          <w:bCs/>
        </w:rPr>
        <w:t>Nuevo mecanismo de fiscalización</w:t>
      </w:r>
    </w:p>
    <w:p w:rsidR="00614C7D" w:rsidRPr="00742A04" w:rsidRDefault="00614C7D" w:rsidP="00614C7D">
      <w:pPr>
        <w:pStyle w:val="SingleTxt"/>
        <w:spacing w:after="0" w:line="120" w:lineRule="exact"/>
        <w:ind w:firstLine="475"/>
        <w:rPr>
          <w:sz w:val="10"/>
        </w:rPr>
      </w:pPr>
    </w:p>
    <w:p w:rsidR="00545D1B" w:rsidRPr="00742A04" w:rsidRDefault="00194AB3" w:rsidP="0030626A">
      <w:pPr>
        <w:pStyle w:val="SingleTxt"/>
        <w:ind w:firstLine="475"/>
      </w:pPr>
      <w:r w:rsidRPr="00742A04">
        <w:t>Hasta</w:t>
      </w:r>
      <w:r w:rsidR="00545D1B" w:rsidRPr="00742A04">
        <w:t xml:space="preserve"> </w:t>
      </w:r>
      <w:r w:rsidR="00614C7D" w:rsidRPr="00742A04">
        <w:t>finales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2005</w:t>
      </w:r>
      <w:r w:rsidR="00A93B9E" w:rsidRPr="00742A04">
        <w:t xml:space="preserve">, </w:t>
      </w:r>
      <w:r w:rsidR="009854B7">
        <w:t xml:space="preserve">el competido de hacer cumplir </w:t>
      </w:r>
      <w:r w:rsidR="00A93B9E" w:rsidRPr="00742A04">
        <w:t xml:space="preserve">la </w:t>
      </w:r>
      <w:r w:rsidR="00A05847" w:rsidRPr="00742A04">
        <w:t>Ley sobre la Igualdad de Género</w:t>
      </w:r>
      <w:r w:rsidR="00545D1B" w:rsidRPr="00742A04">
        <w:t xml:space="preserve"> </w:t>
      </w:r>
      <w:r w:rsidR="009854B7">
        <w:t xml:space="preserve">incumbía a </w:t>
      </w:r>
      <w:r w:rsidR="00614C7D" w:rsidRPr="00742A04">
        <w:t xml:space="preserve">la </w:t>
      </w:r>
      <w:r w:rsidR="005E603B" w:rsidRPr="00742A04">
        <w:t>Ombudsman de Igualdad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E0831" w:rsidRPr="00742A04">
        <w:t>la Junta de Apel</w:t>
      </w:r>
      <w:r w:rsidR="00AE0831" w:rsidRPr="00742A04">
        <w:t>a</w:t>
      </w:r>
      <w:r w:rsidR="00AE0831" w:rsidRPr="00742A04">
        <w:t>ciones para la Igualdad de Género</w:t>
      </w:r>
      <w:r w:rsidR="00545D1B" w:rsidRPr="00742A04">
        <w:t xml:space="preserve">. </w:t>
      </w:r>
      <w:r w:rsidR="00614C7D" w:rsidRPr="00742A04">
        <w:t>A partir del</w:t>
      </w:r>
      <w:r w:rsidR="00545D1B" w:rsidRPr="00742A04">
        <w:t xml:space="preserve"> </w:t>
      </w:r>
      <w:r w:rsidRPr="00742A04">
        <w:t>1° de enero</w:t>
      </w:r>
      <w:r w:rsidR="004A0730" w:rsidRPr="00742A04">
        <w:t xml:space="preserve"> de</w:t>
      </w:r>
      <w:r w:rsidR="00545D1B" w:rsidRPr="00742A04">
        <w:t xml:space="preserve"> 2006, </w:t>
      </w:r>
      <w:r w:rsidR="00614C7D" w:rsidRPr="00742A04">
        <w:t>esta</w:t>
      </w:r>
      <w:r w:rsidR="00545D1B" w:rsidRPr="00742A04">
        <w:t xml:space="preserve"> </w:t>
      </w:r>
      <w:r w:rsidR="008E5EBF" w:rsidRPr="00742A04">
        <w:t>responsab</w:t>
      </w:r>
      <w:r w:rsidR="008E5EBF" w:rsidRPr="00742A04">
        <w:t>i</w:t>
      </w:r>
      <w:r w:rsidR="008E5EBF" w:rsidRPr="00742A04">
        <w:t>lidad</w:t>
      </w:r>
      <w:r w:rsidR="00545D1B" w:rsidRPr="00742A04">
        <w:t xml:space="preserve"> </w:t>
      </w:r>
      <w:r w:rsidR="00614C7D" w:rsidRPr="00742A04">
        <w:t>fue</w:t>
      </w:r>
      <w:r w:rsidR="00545D1B" w:rsidRPr="00742A04">
        <w:t xml:space="preserve"> transfer</w:t>
      </w:r>
      <w:r w:rsidR="00614C7D" w:rsidRPr="00742A04">
        <w:t>ida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614C7D" w:rsidRPr="00742A04">
        <w:t>nueva</w:t>
      </w:r>
      <w:r w:rsidR="00545D1B" w:rsidRPr="00742A04">
        <w:t xml:space="preserve"> </w:t>
      </w:r>
      <w:r w:rsidR="00614C7D" w:rsidRPr="00742A04">
        <w:t xml:space="preserve">Ombudsman </w:t>
      </w:r>
      <w:r w:rsidR="00FC59C5" w:rsidRPr="00742A04">
        <w:t xml:space="preserve">de Promoción </w:t>
      </w:r>
      <w:r w:rsidR="00F43124" w:rsidRPr="00742A04">
        <w:t xml:space="preserve">de la </w:t>
      </w:r>
      <w:r w:rsidR="00FC59C5" w:rsidRPr="00742A04">
        <w:t>Igualdad y Lucha</w:t>
      </w:r>
      <w:r w:rsidR="00614C7D" w:rsidRPr="00742A04">
        <w:t xml:space="preserve"> contra la Discriminación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4C7D" w:rsidRPr="00742A04">
        <w:t xml:space="preserve">al </w:t>
      </w:r>
      <w:r w:rsidR="00545D1B" w:rsidRPr="00742A04">
        <w:t>Tribunal</w:t>
      </w:r>
      <w:r w:rsidR="00614C7D" w:rsidRPr="00742A04">
        <w:t xml:space="preserve"> </w:t>
      </w:r>
      <w:r w:rsidR="00FC59C5" w:rsidRPr="00742A04">
        <w:t xml:space="preserve">de Promoción </w:t>
      </w:r>
      <w:r w:rsidR="00F43124" w:rsidRPr="00742A04">
        <w:t xml:space="preserve">de la </w:t>
      </w:r>
      <w:r w:rsidR="00FC59C5" w:rsidRPr="00742A04">
        <w:t>Igualdad y Lucha</w:t>
      </w:r>
      <w:r w:rsidR="00614C7D" w:rsidRPr="00742A04">
        <w:t xml:space="preserve"> contra la Di</w:t>
      </w:r>
      <w:r w:rsidR="00614C7D" w:rsidRPr="00742A04">
        <w:t>s</w:t>
      </w:r>
      <w:r w:rsidR="00614C7D" w:rsidRPr="00742A04">
        <w:t>criminación</w:t>
      </w:r>
      <w:r w:rsidR="00545D1B" w:rsidRPr="00742A04">
        <w:t xml:space="preserve">, </w:t>
      </w:r>
      <w:r w:rsidR="00614C7D" w:rsidRPr="00742A04">
        <w:t>que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614C7D" w:rsidRPr="00742A04">
        <w:t>hacen cumplir la</w:t>
      </w:r>
      <w:r w:rsidR="00545D1B" w:rsidRPr="00742A04">
        <w:t xml:space="preserve"> prohibi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614C7D" w:rsidRPr="00742A04">
        <w:t>por otros mot</w:t>
      </w:r>
      <w:r w:rsidR="00614C7D" w:rsidRPr="00742A04">
        <w:t>i</w:t>
      </w:r>
      <w:r w:rsidR="00614C7D" w:rsidRPr="00742A04">
        <w:t>vos</w:t>
      </w:r>
      <w:r w:rsidR="00545D1B" w:rsidRPr="00742A04">
        <w:t>.</w:t>
      </w:r>
    </w:p>
    <w:p w:rsidR="00545D1B" w:rsidRPr="00742A04" w:rsidRDefault="00A836A1" w:rsidP="0030626A">
      <w:pPr>
        <w:pStyle w:val="SingleTxt"/>
        <w:ind w:firstLine="475"/>
      </w:pPr>
      <w:r w:rsidRPr="00742A04">
        <w:t>La Ombudsman</w:t>
      </w:r>
      <w:r w:rsidR="00BD47D3" w:rsidRPr="00742A04">
        <w:t xml:space="preserve"> </w:t>
      </w:r>
      <w:r w:rsidR="00BB4DB1" w:rsidRPr="00742A04">
        <w:t xml:space="preserve">y el </w:t>
      </w:r>
      <w:r w:rsidR="00614C7D" w:rsidRPr="00742A04">
        <w:t xml:space="preserve">Tribunal </w:t>
      </w:r>
      <w:r w:rsidR="00FC59C5" w:rsidRPr="00742A04">
        <w:t xml:space="preserve">de Promoción </w:t>
      </w:r>
      <w:r w:rsidR="00F43124" w:rsidRPr="00742A04">
        <w:t xml:space="preserve">de la </w:t>
      </w:r>
      <w:r w:rsidR="00FC59C5" w:rsidRPr="00742A04">
        <w:t>Igualdad y Lucha</w:t>
      </w:r>
      <w:r w:rsidR="00BD47D3" w:rsidRPr="00742A04">
        <w:t xml:space="preserve"> contra la Discriminación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614C7D" w:rsidRPr="00742A04">
        <w:t xml:space="preserve">organismos gubernamentales centrales </w:t>
      </w:r>
      <w:r w:rsidR="009854B7">
        <w:t>de carácter</w:t>
      </w:r>
      <w:r w:rsidR="00545D1B" w:rsidRPr="00742A04">
        <w:t xml:space="preserve"> </w:t>
      </w:r>
      <w:r w:rsidR="003E4840" w:rsidRPr="00742A04">
        <w:t>profesional</w:t>
      </w:r>
      <w:r w:rsidR="009854B7">
        <w:t xml:space="preserve"> e</w:t>
      </w:r>
      <w:r w:rsidR="00545D1B" w:rsidRPr="00742A04">
        <w:t xml:space="preserve"> </w:t>
      </w:r>
      <w:r w:rsidR="00614C7D" w:rsidRPr="00742A04">
        <w:t>independiente</w:t>
      </w:r>
      <w:r w:rsidR="00545D1B" w:rsidRPr="00742A04">
        <w:t xml:space="preserve">. </w:t>
      </w:r>
      <w:r w:rsidR="00614C7D" w:rsidRPr="00742A04">
        <w:t>Atienden gratuitamente las</w:t>
      </w:r>
      <w:r w:rsidR="00545D1B" w:rsidRPr="00742A04">
        <w:t xml:space="preserve"> </w:t>
      </w:r>
      <w:r w:rsidR="004F07A7" w:rsidRPr="00742A04">
        <w:t>quejas</w:t>
      </w:r>
      <w:r w:rsidR="00545D1B" w:rsidRPr="00742A04">
        <w:t xml:space="preserve">. </w:t>
      </w:r>
      <w:r w:rsidR="00F97F41" w:rsidRPr="00742A04">
        <w:t>Su</w:t>
      </w:r>
      <w:r w:rsidR="00614C7D" w:rsidRPr="00742A04">
        <w:t>s</w:t>
      </w:r>
      <w:r w:rsidR="00545D1B" w:rsidRPr="00742A04">
        <w:t xml:space="preserve"> </w:t>
      </w:r>
      <w:r w:rsidR="00614C7D" w:rsidRPr="00742A04">
        <w:t>actividades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4C7D" w:rsidRPr="00742A04">
        <w:t xml:space="preserve">su </w:t>
      </w:r>
      <w:r w:rsidR="008F0C8E" w:rsidRPr="00742A04">
        <w:t>organiz</w:t>
      </w:r>
      <w:r w:rsidR="008F0C8E" w:rsidRPr="00742A04">
        <w:t>a</w:t>
      </w:r>
      <w:r w:rsidR="00C14BFF" w:rsidRPr="00742A04">
        <w:t xml:space="preserve">ción </w:t>
      </w:r>
      <w:r w:rsidR="00614C7D" w:rsidRPr="00742A04">
        <w:t>se rigen por una ley</w:t>
      </w:r>
      <w:r w:rsidR="00545D1B" w:rsidRPr="00742A04">
        <w:t xml:space="preserve"> </w:t>
      </w:r>
      <w:r w:rsidR="00BD47D3" w:rsidRPr="00742A04">
        <w:t>aprobada por</w:t>
      </w:r>
      <w:r w:rsidR="00545D1B" w:rsidRPr="00742A04">
        <w:t xml:space="preserve"> </w:t>
      </w:r>
      <w:r w:rsidR="00BD47D3" w:rsidRPr="00742A04">
        <w:t>el Storting</w:t>
      </w:r>
      <w:r w:rsidR="00545D1B" w:rsidRPr="00742A04">
        <w:t>.</w:t>
      </w:r>
    </w:p>
    <w:p w:rsidR="00545D1B" w:rsidRPr="00742A04" w:rsidRDefault="0030626A" w:rsidP="0030626A">
      <w:pPr>
        <w:pStyle w:val="SingleTxt"/>
        <w:ind w:firstLine="475"/>
      </w:pPr>
      <w:r w:rsidRPr="00742A04">
        <w:t xml:space="preserve">Además </w:t>
      </w:r>
      <w:r w:rsidR="00F43124" w:rsidRPr="00742A04">
        <w:t xml:space="preserve">de la </w:t>
      </w:r>
      <w:r w:rsidR="00FF575F" w:rsidRPr="00742A04">
        <w:t>discriminación por motivos de género</w:t>
      </w:r>
      <w:r w:rsidR="00A93B9E" w:rsidRPr="00742A04">
        <w:t xml:space="preserve">, la </w:t>
      </w:r>
      <w:r w:rsidR="00A836A1" w:rsidRPr="00742A04">
        <w:t>Ombudsman</w:t>
      </w:r>
      <w:r w:rsidR="00545D1B" w:rsidRPr="00742A04">
        <w:t xml:space="preserve"> </w:t>
      </w:r>
      <w:r w:rsidR="00A93B9E" w:rsidRPr="00742A04">
        <w:t>está e</w:t>
      </w:r>
      <w:r w:rsidR="00A93B9E" w:rsidRPr="00742A04">
        <w:t>n</w:t>
      </w:r>
      <w:r w:rsidR="00A93B9E" w:rsidRPr="00742A04">
        <w:t>cargada de hacer cumplir</w:t>
      </w:r>
      <w:r w:rsidR="00545D1B" w:rsidRPr="00742A04">
        <w:t xml:space="preserve"> </w:t>
      </w:r>
      <w:r w:rsidR="008E5EBF" w:rsidRPr="00742A04">
        <w:t>la prohibición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AD0883" w:rsidRPr="00742A04">
        <w:t>por motivos de religión</w:t>
      </w:r>
      <w:r w:rsidR="00545D1B" w:rsidRPr="00742A04">
        <w:t xml:space="preserve">, </w:t>
      </w:r>
      <w:r w:rsidR="00A93B9E" w:rsidRPr="00742A04">
        <w:t>creencias</w:t>
      </w:r>
      <w:r w:rsidR="00545D1B" w:rsidRPr="00742A04">
        <w:t xml:space="preserve">, </w:t>
      </w:r>
      <w:r w:rsidR="00A93B9E" w:rsidRPr="00742A04">
        <w:t xml:space="preserve">color </w:t>
      </w:r>
      <w:r w:rsidR="00F43124" w:rsidRPr="00742A04">
        <w:t xml:space="preserve">de la </w:t>
      </w:r>
      <w:r w:rsidR="00A93B9E" w:rsidRPr="00742A04">
        <w:t>piel</w:t>
      </w:r>
      <w:r w:rsidR="00545D1B" w:rsidRPr="00742A04">
        <w:t xml:space="preserve">, </w:t>
      </w:r>
      <w:r w:rsidR="00A93B9E" w:rsidRPr="00742A04">
        <w:t>origen nacional o étnico</w:t>
      </w:r>
      <w:r w:rsidR="00545D1B" w:rsidRPr="00742A04">
        <w:t xml:space="preserve">, </w:t>
      </w:r>
      <w:r w:rsidR="00A93B9E" w:rsidRPr="00742A04">
        <w:t>afiliación política</w:t>
      </w:r>
      <w:r w:rsidR="00545D1B" w:rsidRPr="00742A04">
        <w:t xml:space="preserve">, </w:t>
      </w:r>
      <w:r w:rsidR="00A93B9E" w:rsidRPr="00742A04">
        <w:t>orientación sexual</w:t>
      </w:r>
      <w:r w:rsidR="00545D1B" w:rsidRPr="00742A04">
        <w:t xml:space="preserve">, </w:t>
      </w:r>
      <w:r w:rsidR="00A93B9E" w:rsidRPr="00742A04">
        <w:t>discapacidad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. </w:t>
      </w:r>
      <w:r w:rsidR="0073499D" w:rsidRPr="00742A04">
        <w:t>El mecanismo de fiscalización abarca a los mecani</w:t>
      </w:r>
      <w:r w:rsidR="0073499D" w:rsidRPr="00742A04">
        <w:t>s</w:t>
      </w:r>
      <w:r w:rsidR="0073499D" w:rsidRPr="00742A04">
        <w:t>mos existentes en materia de igualdad de género</w:t>
      </w:r>
      <w:r w:rsidR="0073499D">
        <w:t xml:space="preserve"> </w:t>
      </w:r>
      <w:r w:rsidR="0073499D" w:rsidRPr="00742A04">
        <w:t>– el Centro para la Igualdad de G</w:t>
      </w:r>
      <w:r w:rsidR="0073499D" w:rsidRPr="00742A04">
        <w:t>é</w:t>
      </w:r>
      <w:r w:rsidR="0073499D" w:rsidRPr="00742A04">
        <w:t>nero, la Ombudsman de Igualdad de Género y la Junta de Apelaciones para la Igua</w:t>
      </w:r>
      <w:r w:rsidR="0073499D" w:rsidRPr="00742A04">
        <w:t>l</w:t>
      </w:r>
      <w:r w:rsidR="0073499D" w:rsidRPr="00742A04">
        <w:t>dad de Género – y algunas de las funciones del Centro de Lucha contra la Discrim</w:t>
      </w:r>
      <w:r w:rsidR="0073499D" w:rsidRPr="00742A04">
        <w:t>i</w:t>
      </w:r>
      <w:r w:rsidR="0073499D" w:rsidRPr="00742A04">
        <w:t>nación Étnica.</w:t>
      </w:r>
    </w:p>
    <w:p w:rsidR="00545D1B" w:rsidRPr="00742A04" w:rsidRDefault="00072AD7" w:rsidP="001C6426">
      <w:pPr>
        <w:pStyle w:val="SingleTxt"/>
        <w:ind w:firstLine="475"/>
      </w:pPr>
      <w:r w:rsidRPr="00742A04">
        <w:t>La razón</w:t>
      </w:r>
      <w:r w:rsidR="00545D1B" w:rsidRPr="00742A04">
        <w:t xml:space="preserve"> </w:t>
      </w:r>
      <w:r w:rsidR="00502E16" w:rsidRPr="00742A04">
        <w:t>por la cual se</w:t>
      </w:r>
      <w:r w:rsidR="00545D1B" w:rsidRPr="00742A04">
        <w:t xml:space="preserve"> establ</w:t>
      </w:r>
      <w:r w:rsidR="00502E16" w:rsidRPr="00742A04">
        <w:t>eció</w:t>
      </w:r>
      <w:r w:rsidR="00545D1B" w:rsidRPr="00742A04">
        <w:t xml:space="preserve"> </w:t>
      </w:r>
      <w:r w:rsidR="00502E16" w:rsidRPr="00742A04">
        <w:t>un mecanismo común</w:t>
      </w:r>
      <w:r w:rsidR="00545D1B" w:rsidRPr="00742A04">
        <w:t xml:space="preserve"> </w:t>
      </w:r>
      <w:r w:rsidR="00502E16" w:rsidRPr="00742A04">
        <w:t>fue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502E16" w:rsidRPr="00742A04">
        <w:t>los e</w:t>
      </w:r>
      <w:r w:rsidR="00502E16" w:rsidRPr="00742A04">
        <w:t>s</w:t>
      </w:r>
      <w:r w:rsidR="00502E16" w:rsidRPr="00742A04">
        <w:t>fuerzos</w:t>
      </w:r>
      <w:r w:rsidR="00545D1B" w:rsidRPr="00742A04">
        <w:t xml:space="preserve"> </w:t>
      </w:r>
      <w:r w:rsidR="00502E16" w:rsidRPr="00742A04">
        <w:t>por prevenir</w:t>
      </w:r>
      <w:r w:rsidR="00545D1B" w:rsidRPr="00742A04">
        <w:t xml:space="preserve"> </w:t>
      </w:r>
      <w:r w:rsidR="00502E16" w:rsidRPr="00742A04">
        <w:t xml:space="preserve">la </w:t>
      </w:r>
      <w:r w:rsidR="00A05847" w:rsidRPr="00742A04">
        <w:t>discriminación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>promover la igualdad</w:t>
      </w:r>
      <w:r w:rsidR="00545D1B" w:rsidRPr="00742A04">
        <w:t xml:space="preserve"> </w:t>
      </w:r>
      <w:r w:rsidR="00502E16" w:rsidRPr="00742A04">
        <w:t>adoptando</w:t>
      </w:r>
      <w:r w:rsidR="00545D1B" w:rsidRPr="00742A04">
        <w:t xml:space="preserve"> </w:t>
      </w:r>
      <w:r w:rsidR="00502E16" w:rsidRPr="00742A04">
        <w:t>un</w:t>
      </w:r>
      <w:r w:rsidR="00545D1B" w:rsidRPr="00742A04">
        <w:t xml:space="preserve"> </w:t>
      </w:r>
      <w:r w:rsidR="00502E16" w:rsidRPr="00742A04">
        <w:t>enf</w:t>
      </w:r>
      <w:r w:rsidR="00502E16" w:rsidRPr="00742A04">
        <w:t>o</w:t>
      </w:r>
      <w:r w:rsidR="00502E16" w:rsidRPr="00742A04">
        <w:t>que más interdisciplinario</w:t>
      </w:r>
      <w:r w:rsidR="00545D1B" w:rsidRPr="00742A04">
        <w:t xml:space="preserve">, </w:t>
      </w:r>
      <w:r w:rsidR="00502E16" w:rsidRPr="00742A04">
        <w:t>utilizar más eficazmente</w:t>
      </w:r>
      <w:r w:rsidR="00545D1B" w:rsidRPr="00742A04">
        <w:t xml:space="preserve"> </w:t>
      </w:r>
      <w:r w:rsidR="00502E16" w:rsidRPr="00742A04">
        <w:t>los recursos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>obtener un mayor grado de</w:t>
      </w:r>
      <w:r w:rsidR="00545D1B" w:rsidRPr="00742A04">
        <w:t xml:space="preserve"> </w:t>
      </w:r>
      <w:r w:rsidR="00502E16" w:rsidRPr="00742A04">
        <w:t>incidencia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visib</w:t>
      </w:r>
      <w:r w:rsidR="00502E16" w:rsidRPr="00742A04">
        <w:t>ilidad</w:t>
      </w:r>
      <w:r w:rsidR="00545D1B" w:rsidRPr="00742A04">
        <w:t xml:space="preserve"> </w:t>
      </w:r>
      <w:r w:rsidR="00502E16" w:rsidRPr="00742A04">
        <w:t>que lo que se podía lograr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02E16" w:rsidRPr="00742A04">
        <w:t>organismos tan p</w:t>
      </w:r>
      <w:r w:rsidR="00502E16" w:rsidRPr="00742A04">
        <w:t>e</w:t>
      </w:r>
      <w:r w:rsidR="00502E16" w:rsidRPr="00742A04">
        <w:t>queños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 xml:space="preserve">separados como los que </w:t>
      </w:r>
      <w:r w:rsidR="00C96909">
        <w:t>hasta entonces</w:t>
      </w:r>
      <w:r w:rsidR="00502E16" w:rsidRPr="00742A04">
        <w:t xml:space="preserve"> se desempeñaban en est</w:t>
      </w:r>
      <w:r w:rsidR="008F0C8E" w:rsidRPr="00742A04">
        <w:t>a esfera</w:t>
      </w:r>
      <w:r w:rsidR="00545D1B" w:rsidRPr="00742A04">
        <w:t xml:space="preserve">. </w:t>
      </w:r>
      <w:r w:rsidR="00502E16" w:rsidRPr="00742A04">
        <w:t xml:space="preserve">Un mecanismo </w:t>
      </w:r>
      <w:r w:rsidR="00545D1B" w:rsidRPr="00742A04">
        <w:t>combin</w:t>
      </w:r>
      <w:r w:rsidR="00502E16" w:rsidRPr="00742A04">
        <w:t>ado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502E16" w:rsidRPr="00742A04">
        <w:t xml:space="preserve">es </w:t>
      </w:r>
      <w:r w:rsidR="00BA5ABE" w:rsidRPr="00742A04">
        <w:t>más</w:t>
      </w:r>
      <w:r w:rsidR="00545D1B" w:rsidRPr="00742A04">
        <w:t xml:space="preserve"> </w:t>
      </w:r>
      <w:r w:rsidR="00502E16" w:rsidRPr="00742A04">
        <w:t>accesible para los usuarios</w:t>
      </w:r>
      <w:r w:rsidR="00545D1B" w:rsidRPr="00742A04">
        <w:t xml:space="preserve">. </w:t>
      </w:r>
      <w:r w:rsidR="00502E16" w:rsidRPr="00742A04">
        <w:t>Las personas que</w:t>
      </w:r>
      <w:r w:rsidR="00545D1B" w:rsidRPr="00742A04">
        <w:t xml:space="preserve"> consider</w:t>
      </w:r>
      <w:r w:rsidR="00502E16" w:rsidRPr="00742A04">
        <w:t>an ser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B52EAF">
        <w:t>encontrará</w:t>
      </w:r>
      <w:r w:rsidR="00502E16" w:rsidRPr="00742A04">
        <w:t xml:space="preserve">n beneficioso poder </w:t>
      </w:r>
      <w:r w:rsidR="0073499D" w:rsidRPr="00742A04">
        <w:t>tratar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02E16" w:rsidRPr="00742A04">
        <w:t>un solo organismo</w:t>
      </w:r>
      <w:r w:rsidR="00545D1B" w:rsidRPr="00742A04">
        <w:t xml:space="preserve">. </w:t>
      </w:r>
      <w:r w:rsidR="00502E16" w:rsidRPr="00742A04">
        <w:t>Las ventajas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evident</w:t>
      </w:r>
      <w:r w:rsidR="00502E16" w:rsidRPr="00742A04">
        <w:t>es</w:t>
      </w:r>
      <w:r w:rsidR="00545D1B" w:rsidRPr="00742A04">
        <w:t xml:space="preserve">, </w:t>
      </w:r>
      <w:r w:rsidR="006137EC" w:rsidRPr="00742A04">
        <w:t xml:space="preserve">por </w:t>
      </w:r>
      <w:r w:rsidR="00040B78" w:rsidRPr="00742A04">
        <w:t>ejemplo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3499D" w:rsidRPr="00742A04">
        <w:t>múlt</w:t>
      </w:r>
      <w:r w:rsidR="0073499D" w:rsidRPr="00742A04">
        <w:t>i</w:t>
      </w:r>
      <w:r w:rsidR="0073499D" w:rsidRPr="00742A04">
        <w:t>ple</w:t>
      </w:r>
      <w:r w:rsidR="00545D1B" w:rsidRPr="00742A04">
        <w:t xml:space="preserve"> </w:t>
      </w:r>
      <w:r w:rsidR="00A05847" w:rsidRPr="00742A04">
        <w:t>discrimin</w:t>
      </w:r>
      <w:r w:rsidR="00A05847" w:rsidRPr="00742A04">
        <w:t>a</w:t>
      </w:r>
      <w:r w:rsidR="00A05847" w:rsidRPr="00742A04">
        <w:t>ción</w:t>
      </w:r>
      <w:r w:rsidR="00545D1B" w:rsidRPr="00742A04">
        <w:t xml:space="preserve">, </w:t>
      </w:r>
      <w:r w:rsidR="00502E16" w:rsidRPr="00742A04">
        <w:t>es decir,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502E16" w:rsidRPr="00742A04">
        <w:t>por varios motivos</w:t>
      </w:r>
      <w:r w:rsidR="00545D1B" w:rsidRPr="00742A04">
        <w:t xml:space="preserve">. </w:t>
      </w:r>
      <w:r w:rsidR="00502E16" w:rsidRPr="00742A04">
        <w:t>Son ejemplos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2E16" w:rsidRPr="00742A04">
        <w:t>tal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502E16" w:rsidRPr="00742A04">
        <w:t>los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502E16" w:rsidRPr="00742A04">
        <w:t>en que se deniega a</w:t>
      </w:r>
      <w:r w:rsidR="00545D1B" w:rsidRPr="00742A04">
        <w:t xml:space="preserve"> </w:t>
      </w:r>
      <w:r w:rsidRPr="00742A04">
        <w:t>mujeres</w:t>
      </w:r>
      <w:r w:rsidR="00545D1B" w:rsidRPr="00742A04">
        <w:t xml:space="preserve"> </w:t>
      </w:r>
      <w:r w:rsidR="00502E16" w:rsidRPr="00742A04">
        <w:t xml:space="preserve">el </w:t>
      </w:r>
      <w:r w:rsidR="00B83FEB" w:rsidRPr="00742A04">
        <w:t>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E0831" w:rsidRPr="00742A04">
        <w:t>usar tocado rel</w:t>
      </w:r>
      <w:r w:rsidR="00AE0831" w:rsidRPr="00742A04">
        <w:t>i</w:t>
      </w:r>
      <w:r w:rsidR="00AE0831" w:rsidRPr="00742A04">
        <w:t>gioso</w:t>
      </w:r>
      <w:r w:rsidR="00545D1B" w:rsidRPr="00742A04">
        <w:t xml:space="preserve"> (</w:t>
      </w:r>
      <w:r w:rsidR="00545D1B" w:rsidRPr="00742A04">
        <w:rPr>
          <w:i/>
        </w:rPr>
        <w:t>hijab</w:t>
      </w:r>
      <w:r w:rsidR="00545D1B" w:rsidRPr="00742A04">
        <w:t xml:space="preserve">) </w:t>
      </w:r>
      <w:r w:rsidR="00AE0831" w:rsidRPr="00742A04">
        <w:t>en su lugar de trabajo</w:t>
      </w:r>
      <w:r w:rsidR="00545D1B" w:rsidRPr="00742A04">
        <w:t xml:space="preserve">. </w:t>
      </w:r>
      <w:r w:rsidR="00AE0831" w:rsidRPr="00742A04">
        <w:t>Los casos de este tipo están</w:t>
      </w:r>
      <w:r w:rsidR="00545D1B" w:rsidRPr="00742A04">
        <w:t xml:space="preserve"> </w:t>
      </w:r>
      <w:r w:rsidR="00AD0883" w:rsidRPr="00742A04">
        <w:t>en el límite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FF575F" w:rsidRPr="00742A04">
        <w:t>la discrimin</w:t>
      </w:r>
      <w:r w:rsidR="00FF575F" w:rsidRPr="00742A04">
        <w:t>a</w:t>
      </w:r>
      <w:r w:rsidR="00FF575F" w:rsidRPr="00742A04">
        <w:t>ción por motivos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D0883" w:rsidRPr="00742A04">
        <w:t xml:space="preserve">la </w:t>
      </w:r>
      <w:r w:rsidR="00A05847" w:rsidRPr="00742A04">
        <w:t>discriminación</w:t>
      </w:r>
      <w:r w:rsidR="00545D1B" w:rsidRPr="00742A04">
        <w:t xml:space="preserve"> </w:t>
      </w:r>
      <w:r w:rsidR="00AD0883" w:rsidRPr="00742A04">
        <w:t>por motivos de religión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502E16" w:rsidRPr="00742A04">
        <w:t xml:space="preserve">la existencia de </w:t>
      </w:r>
      <w:r w:rsidR="00AD0883" w:rsidRPr="00742A04">
        <w:t xml:space="preserve">un mecanismo común de </w:t>
      </w:r>
      <w:r w:rsidR="00614C7D" w:rsidRPr="00742A04">
        <w:t>fiscalización</w:t>
      </w:r>
      <w:r w:rsidR="00545D1B" w:rsidRPr="00742A04">
        <w:t xml:space="preserve"> </w:t>
      </w:r>
      <w:r w:rsidR="00502E16" w:rsidRPr="00742A04">
        <w:t>ayudará a lograr que</w:t>
      </w:r>
      <w:r w:rsidR="00545D1B" w:rsidRPr="00742A04">
        <w:t xml:space="preserve"> </w:t>
      </w:r>
      <w:r w:rsidR="004F07A7" w:rsidRPr="00742A04">
        <w:t>los c</w:t>
      </w:r>
      <w:r w:rsidR="004F07A7" w:rsidRPr="00742A04">
        <w:t>a</w:t>
      </w:r>
      <w:r w:rsidR="004F07A7" w:rsidRPr="00742A04">
        <w:t>sos individuales</w:t>
      </w:r>
      <w:r w:rsidR="00545D1B" w:rsidRPr="00742A04">
        <w:t xml:space="preserve"> </w:t>
      </w:r>
      <w:r w:rsidR="00502E16" w:rsidRPr="00742A04">
        <w:t xml:space="preserve">específicos </w:t>
      </w:r>
      <w:r w:rsidR="00877AA0" w:rsidRPr="00742A04">
        <w:t>y</w:t>
      </w:r>
      <w:r w:rsidR="00545D1B" w:rsidRPr="00742A04">
        <w:t xml:space="preserve"> </w:t>
      </w:r>
      <w:r w:rsidR="00502E16" w:rsidRPr="00742A04">
        <w:t>los desafíos estructurales</w:t>
      </w:r>
      <w:r w:rsidR="00545D1B" w:rsidRPr="00742A04">
        <w:t xml:space="preserve"> </w:t>
      </w:r>
      <w:r w:rsidR="00502E16" w:rsidRPr="00742A04">
        <w:t>se aborden</w:t>
      </w:r>
      <w:r w:rsidR="00545D1B" w:rsidRPr="00742A04">
        <w:t xml:space="preserve"> </w:t>
      </w:r>
      <w:r w:rsidR="00502E16" w:rsidRPr="00742A04">
        <w:t>de manera coh</w:t>
      </w:r>
      <w:r w:rsidR="00502E16" w:rsidRPr="00742A04">
        <w:t>e</w:t>
      </w:r>
      <w:r w:rsidR="00502E16" w:rsidRPr="00742A04">
        <w:t>rente</w:t>
      </w:r>
      <w:r w:rsidR="00545D1B" w:rsidRPr="00742A04">
        <w:t>.</w:t>
      </w:r>
    </w:p>
    <w:p w:rsidR="00545D1B" w:rsidRPr="00742A04" w:rsidRDefault="00502E16" w:rsidP="001C6426">
      <w:pPr>
        <w:pStyle w:val="SingleTxt"/>
        <w:ind w:firstLine="475"/>
      </w:pPr>
      <w:r w:rsidRPr="00742A04">
        <w:t>Análogamente</w:t>
      </w:r>
      <w:r w:rsidR="00545D1B" w:rsidRPr="00742A04">
        <w:t xml:space="preserve">, </w:t>
      </w:r>
      <w:r w:rsidR="00581775" w:rsidRPr="00742A04">
        <w:t xml:space="preserve">para </w:t>
      </w:r>
      <w:r w:rsidR="00AD0883" w:rsidRPr="00742A04">
        <w:t>los empleadores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las demás </w:t>
      </w:r>
      <w:r w:rsidR="00B82A08" w:rsidRPr="00742A04">
        <w:t>personas</w:t>
      </w:r>
      <w:r w:rsidR="00545D1B" w:rsidRPr="00742A04">
        <w:t xml:space="preserve"> </w:t>
      </w:r>
      <w:r w:rsidRPr="00742A04">
        <w:t>que necesiten</w:t>
      </w:r>
      <w:r w:rsidR="00545D1B" w:rsidRPr="00742A04">
        <w:t xml:space="preserve"> </w:t>
      </w:r>
      <w:r w:rsidRPr="00742A04">
        <w:t>as</w:t>
      </w:r>
      <w:r w:rsidRPr="00742A04">
        <w:t>e</w:t>
      </w:r>
      <w:r w:rsidRPr="00742A04">
        <w:t>soramiento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asistencia</w:t>
      </w:r>
      <w:r w:rsidR="00545D1B" w:rsidRPr="00742A04">
        <w:t xml:space="preserve"> </w:t>
      </w:r>
      <w:r w:rsidRPr="00742A04">
        <w:t>en relación con</w:t>
      </w:r>
      <w:r w:rsidR="00545D1B" w:rsidRPr="00742A04">
        <w:t xml:space="preserve"> </w:t>
      </w:r>
      <w:r w:rsidRPr="00742A04">
        <w:t>l</w:t>
      </w:r>
      <w:r w:rsidR="0030626A" w:rsidRPr="00742A04">
        <w:t>a</w:t>
      </w:r>
      <w:r w:rsidR="00545D1B" w:rsidRPr="00742A04">
        <w:t xml:space="preserve"> </w:t>
      </w:r>
      <w:r w:rsidR="00AD0883" w:rsidRPr="00742A04">
        <w:t>legislación de lucha contra la discrimin</w:t>
      </w:r>
      <w:r w:rsidR="00AD0883" w:rsidRPr="00742A04">
        <w:t>a</w:t>
      </w:r>
      <w:r w:rsidR="00AD0883" w:rsidRPr="00742A04">
        <w:t>ción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las formas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que se puede promover activamente la</w:t>
      </w:r>
      <w:r w:rsidR="00545D1B" w:rsidRPr="00742A04">
        <w:t xml:space="preserve"> d</w:t>
      </w:r>
      <w:r w:rsidR="00545D1B" w:rsidRPr="00742A04">
        <w:t>i</w:t>
      </w:r>
      <w:r w:rsidR="00545D1B" w:rsidRPr="00742A04">
        <w:t>vers</w:t>
      </w:r>
      <w:r w:rsidRPr="00742A04">
        <w:t>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1775" w:rsidRPr="00742A04">
        <w:t>la igualdad</w:t>
      </w:r>
      <w:r w:rsidR="00545D1B" w:rsidRPr="00742A04">
        <w:t xml:space="preserve"> </w:t>
      </w:r>
      <w:r w:rsidR="00B52EAF">
        <w:t>puede</w:t>
      </w:r>
      <w:r w:rsidR="00B52EAF" w:rsidRPr="00742A04">
        <w:t xml:space="preserve"> ser conveniente </w:t>
      </w:r>
      <w:r w:rsidR="00581775" w:rsidRPr="00742A04">
        <w:t>poder tratar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81775" w:rsidRPr="00742A04">
        <w:t>un solo organismo en lugar de con varios</w:t>
      </w:r>
      <w:r w:rsidR="00545D1B" w:rsidRPr="00742A04">
        <w:t xml:space="preserve">. </w:t>
      </w:r>
      <w:r w:rsidR="00A836A1" w:rsidRPr="00742A04">
        <w:t>La Ombudsman</w:t>
      </w:r>
      <w:r w:rsidR="00BD47D3" w:rsidRPr="00742A04">
        <w:t xml:space="preserve"> </w:t>
      </w:r>
      <w:r w:rsidR="00FC59C5" w:rsidRPr="00742A04">
        <w:t xml:space="preserve">de Promoción </w:t>
      </w:r>
      <w:r w:rsidR="00F43124" w:rsidRPr="00742A04">
        <w:t xml:space="preserve">de la </w:t>
      </w:r>
      <w:r w:rsidR="00FC59C5" w:rsidRPr="00742A04">
        <w:t>Igualdad y Lucha</w:t>
      </w:r>
      <w:r w:rsidR="00BD47D3" w:rsidRPr="00742A04">
        <w:t xml:space="preserve"> contra la Discriminación</w:t>
      </w:r>
      <w:r w:rsidR="00545D1B" w:rsidRPr="00742A04">
        <w:t xml:space="preserve"> </w:t>
      </w:r>
      <w:r w:rsidR="00FC59C5" w:rsidRPr="00742A04">
        <w:t>t</w:t>
      </w:r>
      <w:r w:rsidR="00581775" w:rsidRPr="00742A04">
        <w:t>iene una doble función</w:t>
      </w:r>
      <w:r w:rsidR="00545D1B" w:rsidRPr="00742A04">
        <w:t xml:space="preserve">, </w:t>
      </w:r>
      <w:r w:rsidR="00FC59C5" w:rsidRPr="00742A04">
        <w:t>h</w:t>
      </w:r>
      <w:r w:rsidR="00581775" w:rsidRPr="00742A04">
        <w:t>acer cumplir la ley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promo</w:t>
      </w:r>
      <w:r w:rsidR="00581775" w:rsidRPr="00742A04">
        <w:t>ver</w:t>
      </w:r>
      <w:r w:rsidR="00545D1B" w:rsidRPr="00742A04">
        <w:t xml:space="preserve"> </w:t>
      </w:r>
      <w:r w:rsidR="00581775" w:rsidRPr="00742A04">
        <w:t>proactivamente la igualdad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1775" w:rsidRPr="00742A04">
        <w:t>l</w:t>
      </w:r>
      <w:r w:rsidR="00581775" w:rsidRPr="00742A04">
        <w:t>u</w:t>
      </w:r>
      <w:r w:rsidR="00581775" w:rsidRPr="00742A04">
        <w:t>char contra la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>.</w:t>
      </w:r>
      <w:r w:rsidR="00581775" w:rsidRPr="00742A04">
        <w:t xml:space="preserve"> Como encargada de hacer cumplir la ley</w:t>
      </w:r>
      <w:r w:rsidR="00A93B9E" w:rsidRPr="00742A04">
        <w:t xml:space="preserve">, la </w:t>
      </w:r>
      <w:r w:rsidR="00A836A1" w:rsidRPr="00742A04">
        <w:t>Ombud</w:t>
      </w:r>
      <w:r w:rsidR="00A836A1" w:rsidRPr="00742A04">
        <w:t>s</w:t>
      </w:r>
      <w:r w:rsidR="00A836A1" w:rsidRPr="00742A04">
        <w:t>man</w:t>
      </w:r>
      <w:r w:rsidR="00545D1B" w:rsidRPr="00742A04">
        <w:t xml:space="preserve"> </w:t>
      </w:r>
      <w:r w:rsidR="00581775" w:rsidRPr="00742A04">
        <w:t>emite</w:t>
      </w:r>
      <w:r w:rsidR="00545D1B" w:rsidRPr="00742A04">
        <w:t xml:space="preserve"> </w:t>
      </w:r>
      <w:r w:rsidR="00581775" w:rsidRPr="00742A04">
        <w:t>dictámenes</w:t>
      </w:r>
      <w:r w:rsidR="00545D1B" w:rsidRPr="00742A04">
        <w:t xml:space="preserve"> </w:t>
      </w:r>
      <w:r w:rsidR="00581775" w:rsidRPr="00742A04">
        <w:t xml:space="preserve">sobre </w:t>
      </w:r>
      <w:r w:rsidR="004F07A7" w:rsidRPr="00742A04">
        <w:t>quejas</w:t>
      </w:r>
      <w:r w:rsidR="00545D1B" w:rsidRPr="00742A04">
        <w:t xml:space="preserve"> </w:t>
      </w:r>
      <w:r w:rsidR="00EA6AC2" w:rsidRPr="00742A04">
        <w:t>relati</w:t>
      </w:r>
      <w:r w:rsidR="00581775" w:rsidRPr="00742A04">
        <w:t>vas</w:t>
      </w:r>
      <w:r w:rsidR="00EA6AC2" w:rsidRPr="00742A04">
        <w:t xml:space="preserve"> a</w:t>
      </w:r>
      <w:r w:rsidR="00545D1B" w:rsidRPr="00742A04">
        <w:t xml:space="preserve"> </w:t>
      </w:r>
      <w:r w:rsidR="00581775" w:rsidRPr="00742A04">
        <w:t>violaciones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81775" w:rsidRPr="00742A04">
        <w:t xml:space="preserve">las </w:t>
      </w:r>
      <w:r w:rsidR="00AD0883" w:rsidRPr="00742A04">
        <w:t>leyes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80475" w:rsidRPr="00742A04">
        <w:t>disposici</w:t>
      </w:r>
      <w:r w:rsidR="00980475" w:rsidRPr="00742A04">
        <w:t>o</w:t>
      </w:r>
      <w:r w:rsidR="00980475" w:rsidRPr="00742A04">
        <w:t>nes</w:t>
      </w:r>
      <w:r w:rsidR="00545D1B" w:rsidRPr="00742A04">
        <w:t xml:space="preserve"> </w:t>
      </w:r>
      <w:r w:rsidR="00581775" w:rsidRPr="00742A04">
        <w:t>comprendidas dentro de su esfera de actividad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581775" w:rsidRPr="00742A04">
        <w:t>brinda</w:t>
      </w:r>
      <w:r w:rsidR="00545D1B" w:rsidRPr="00742A04">
        <w:t xml:space="preserve"> </w:t>
      </w:r>
      <w:r w:rsidRPr="00742A04">
        <w:t>asesoramiento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1775" w:rsidRPr="00742A04">
        <w:t>orie</w:t>
      </w:r>
      <w:r w:rsidR="00581775" w:rsidRPr="00742A04">
        <w:t>n</w:t>
      </w:r>
      <w:r w:rsidR="00581775" w:rsidRPr="00742A04">
        <w:t>tación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re</w:t>
      </w:r>
      <w:r w:rsidR="00581775" w:rsidRPr="00742A04">
        <w:t>specto a dicha</w:t>
      </w:r>
      <w:r w:rsidR="00545D1B" w:rsidRPr="00742A04">
        <w:t xml:space="preserve"> legisla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8E5EBF" w:rsidRPr="00742A04">
        <w:t xml:space="preserve">Una persona </w:t>
      </w:r>
      <w:r w:rsidR="00581775" w:rsidRPr="00742A04">
        <w:t>que estime que ha sido objeto de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581775" w:rsidRPr="00742A04">
        <w:t>puede presentar la cuestión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6137EC" w:rsidRPr="00742A04">
        <w:t>Ombudsman</w:t>
      </w:r>
      <w:r w:rsidR="00545D1B" w:rsidRPr="00742A04">
        <w:t xml:space="preserve">, </w:t>
      </w:r>
      <w:r w:rsidR="00581775" w:rsidRPr="00742A04">
        <w:t>que pedirá</w:t>
      </w:r>
      <w:r w:rsidR="00545D1B" w:rsidRPr="00742A04">
        <w:t xml:space="preserve"> inform</w:t>
      </w:r>
      <w:r w:rsidR="00545D1B" w:rsidRPr="00742A04">
        <w:t>a</w:t>
      </w:r>
      <w:r w:rsidR="00C14BFF" w:rsidRPr="00742A04">
        <w:t xml:space="preserve">ción </w:t>
      </w:r>
      <w:r w:rsidR="00581775" w:rsidRPr="00742A04">
        <w:t>a ambas partes</w:t>
      </w:r>
      <w:r w:rsidR="00545D1B" w:rsidRPr="00742A04">
        <w:t xml:space="preserve">, </w:t>
      </w:r>
      <w:r w:rsidR="00581775" w:rsidRPr="00742A04">
        <w:t>hará una</w:t>
      </w:r>
      <w:r w:rsidR="00545D1B" w:rsidRPr="00742A04">
        <w:t xml:space="preserve"> </w:t>
      </w:r>
      <w:r w:rsidR="00581775" w:rsidRPr="00742A04">
        <w:t>evaluación objetiva</w:t>
      </w:r>
      <w:r w:rsidR="00545D1B" w:rsidRPr="00742A04">
        <w:t xml:space="preserve"> </w:t>
      </w:r>
      <w:r w:rsidR="00581775" w:rsidRPr="00742A04">
        <w:t>del caso</w:t>
      </w:r>
      <w:r w:rsidR="002E5047" w:rsidRPr="00742A04">
        <w:t xml:space="preserve"> </w:t>
      </w:r>
      <w:r w:rsidR="00581775" w:rsidRPr="00742A04">
        <w:t>y emitirá un dictamen</w:t>
      </w:r>
      <w:r w:rsidR="00545D1B" w:rsidRPr="00742A04">
        <w:t xml:space="preserve"> </w:t>
      </w:r>
      <w:r w:rsidR="00581775" w:rsidRPr="00742A04">
        <w:t>acerca de si ha habido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. </w:t>
      </w:r>
      <w:r w:rsidR="00581775" w:rsidRPr="00742A04">
        <w:t xml:space="preserve">El dictamen </w:t>
      </w:r>
      <w:r w:rsidR="00F43124" w:rsidRPr="00742A04">
        <w:t xml:space="preserve">de la </w:t>
      </w:r>
      <w:r w:rsidR="00A836A1" w:rsidRPr="00742A04">
        <w:t>Ombudsman</w:t>
      </w:r>
      <w:r w:rsidR="00545D1B" w:rsidRPr="00742A04">
        <w:t xml:space="preserve"> </w:t>
      </w:r>
      <w:r w:rsidR="00FC59C5" w:rsidRPr="00742A04">
        <w:t>puede ser</w:t>
      </w:r>
      <w:r w:rsidR="00545D1B" w:rsidRPr="00742A04">
        <w:t xml:space="preserve"> </w:t>
      </w:r>
      <w:r w:rsidR="00FC59C5" w:rsidRPr="00742A04">
        <w:t>ll</w:t>
      </w:r>
      <w:r w:rsidR="00FC59C5" w:rsidRPr="00742A04">
        <w:t>e</w:t>
      </w:r>
      <w:r w:rsidR="00FC59C5" w:rsidRPr="00742A04">
        <w:t>vado ante</w:t>
      </w:r>
      <w:r w:rsidR="00545D1B" w:rsidRPr="00742A04">
        <w:t xml:space="preserve"> </w:t>
      </w:r>
      <w:r w:rsidR="00FC59C5" w:rsidRPr="00742A04">
        <w:t xml:space="preserve">el Tribunal de Promoción </w:t>
      </w:r>
      <w:r w:rsidR="00F43124" w:rsidRPr="00742A04">
        <w:t xml:space="preserve">de la </w:t>
      </w:r>
      <w:r w:rsidR="00FC59C5" w:rsidRPr="00742A04">
        <w:t>Igualdad y Lucha contra la Discrimin</w:t>
      </w:r>
      <w:r w:rsidR="00FC59C5" w:rsidRPr="00742A04">
        <w:t>a</w:t>
      </w:r>
      <w:r w:rsidR="00FC59C5" w:rsidRPr="00742A04">
        <w:t>ción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FC59C5" w:rsidRPr="00742A04">
        <w:t>tiene</w:t>
      </w:r>
      <w:r w:rsidR="00545D1B" w:rsidRPr="00742A04">
        <w:t xml:space="preserve"> </w:t>
      </w:r>
      <w:r w:rsidR="00FC59C5" w:rsidRPr="00742A04">
        <w:t>competencia</w:t>
      </w:r>
      <w:r w:rsidR="00545D1B" w:rsidRPr="00742A04">
        <w:t xml:space="preserve"> </w:t>
      </w:r>
      <w:r w:rsidR="00FC59C5" w:rsidRPr="00742A04">
        <w:t>para adoptar</w:t>
      </w:r>
      <w:r w:rsidR="00545D1B" w:rsidRPr="00742A04">
        <w:t xml:space="preserve"> </w:t>
      </w:r>
      <w:r w:rsidR="00FC59C5" w:rsidRPr="00742A04">
        <w:t>decisiones administrativas obligatorias</w:t>
      </w:r>
      <w:r w:rsidR="00545D1B" w:rsidRPr="00742A04">
        <w:t xml:space="preserve"> (</w:t>
      </w:r>
      <w:r w:rsidR="00FC59C5" w:rsidRPr="00742A04">
        <w:t xml:space="preserve">decisiones </w:t>
      </w:r>
      <w:r w:rsidR="0073499D" w:rsidRPr="00742A04">
        <w:t>urgentes</w:t>
      </w:r>
      <w:r w:rsidR="00545D1B" w:rsidRPr="00742A04">
        <w:t xml:space="preserve">) </w:t>
      </w:r>
      <w:r w:rsidR="00C14BFF" w:rsidRPr="00742A04">
        <w:t>en</w:t>
      </w:r>
      <w:r w:rsidR="00545D1B" w:rsidRPr="00742A04">
        <w:t xml:space="preserve"> </w:t>
      </w:r>
      <w:r w:rsidR="00FC59C5" w:rsidRPr="00742A04">
        <w:t xml:space="preserve">los </w:t>
      </w:r>
      <w:r w:rsidR="008A2682" w:rsidRPr="00742A04">
        <w:t>casos</w:t>
      </w:r>
      <w:r w:rsidR="00545D1B" w:rsidRPr="00742A04">
        <w:t xml:space="preserve"> </w:t>
      </w:r>
      <w:r w:rsidR="00FC59C5" w:rsidRPr="00742A04">
        <w:t>en que sería</w:t>
      </w:r>
      <w:r w:rsidR="00545D1B" w:rsidRPr="00742A04">
        <w:t xml:space="preserve"> inconveni</w:t>
      </w:r>
      <w:r w:rsidR="00FF575F" w:rsidRPr="00742A04">
        <w:t>en</w:t>
      </w:r>
      <w:r w:rsidR="00FC59C5" w:rsidRPr="00742A04">
        <w:t>te esperar</w:t>
      </w:r>
      <w:r w:rsidR="00545D1B" w:rsidRPr="00742A04">
        <w:t xml:space="preserve"> </w:t>
      </w:r>
      <w:r w:rsidR="00FC59C5" w:rsidRPr="00742A04">
        <w:t>la decisión</w:t>
      </w:r>
      <w:r w:rsidR="00545D1B" w:rsidRPr="00742A04">
        <w:t xml:space="preserve"> </w:t>
      </w:r>
      <w:r w:rsidR="004A0730" w:rsidRPr="00742A04">
        <w:t>de</w:t>
      </w:r>
      <w:r w:rsidR="00FC59C5" w:rsidRPr="00742A04">
        <w:t>l</w:t>
      </w:r>
      <w:r w:rsidR="00545D1B" w:rsidRPr="00742A04">
        <w:t xml:space="preserve"> Tribunal.</w:t>
      </w:r>
    </w:p>
    <w:p w:rsidR="00545D1B" w:rsidRPr="00742A04" w:rsidRDefault="0073499D" w:rsidP="001C6426">
      <w:pPr>
        <w:pStyle w:val="SingleTxt"/>
        <w:ind w:firstLine="475"/>
      </w:pPr>
      <w:r w:rsidRPr="00742A04">
        <w:t>En varios casos, la Ombudsman ha evitado casos de discriminación por mot</w:t>
      </w:r>
      <w:r w:rsidRPr="00742A04">
        <w:t>i</w:t>
      </w:r>
      <w:r w:rsidRPr="00742A04">
        <w:t>vos de edad y de género en relación con nombramientos para empleos adoptando decisiones rápidas acompañadas de una advertencia de decisión administrativa u</w:t>
      </w:r>
      <w:r w:rsidRPr="00742A04">
        <w:t>r</w:t>
      </w:r>
      <w:r w:rsidRPr="00742A04">
        <w:t xml:space="preserve">gente. </w:t>
      </w:r>
      <w:r w:rsidR="00A836A1" w:rsidRPr="00742A04">
        <w:t>La Ombudsman</w:t>
      </w:r>
      <w:r w:rsidR="00545D1B" w:rsidRPr="00742A04">
        <w:t xml:space="preserve"> </w:t>
      </w:r>
      <w:r w:rsidR="00FC59C5" w:rsidRPr="00742A04">
        <w:t>seguirá avanzando sobre la base de esas</w:t>
      </w:r>
      <w:r w:rsidR="00545D1B" w:rsidRPr="00742A04">
        <w:t xml:space="preserve"> </w:t>
      </w:r>
      <w:r w:rsidR="008F0C8E" w:rsidRPr="00742A04">
        <w:t>experiencia</w:t>
      </w:r>
      <w:r w:rsidR="00545D1B" w:rsidRPr="00742A04">
        <w:t xml:space="preserve">s </w:t>
      </w:r>
      <w:r w:rsidR="00FC59C5" w:rsidRPr="00742A04">
        <w:t>posit</w:t>
      </w:r>
      <w:r w:rsidR="00FC59C5" w:rsidRPr="00742A04">
        <w:t>i</w:t>
      </w:r>
      <w:r w:rsidR="00FC59C5" w:rsidRPr="00742A04">
        <w:t xml:space="preserve">vas </w:t>
      </w:r>
      <w:r w:rsidR="00877AA0" w:rsidRPr="00742A04">
        <w:t>y</w:t>
      </w:r>
      <w:r w:rsidR="00545D1B" w:rsidRPr="00742A04">
        <w:t xml:space="preserve"> </w:t>
      </w:r>
      <w:r w:rsidR="00FC59C5" w:rsidRPr="00742A04">
        <w:t>continuará desarrollando métodos eficaces de hacer cumplir las normas</w:t>
      </w:r>
      <w:r w:rsidR="00545D1B" w:rsidRPr="00742A04">
        <w:t>.</w:t>
      </w:r>
    </w:p>
    <w:p w:rsidR="00545D1B" w:rsidRPr="00742A04" w:rsidRDefault="008E5EBF" w:rsidP="001C6426">
      <w:pPr>
        <w:pStyle w:val="SingleTxt"/>
        <w:ind w:firstLine="475"/>
      </w:pPr>
      <w:r w:rsidRPr="00742A04">
        <w:t>Además</w:t>
      </w:r>
      <w:r w:rsidR="00A93B9E" w:rsidRPr="00742A04">
        <w:t xml:space="preserve">, la </w:t>
      </w:r>
      <w:r w:rsidR="00A836A1" w:rsidRPr="00742A04">
        <w:t>Ombudsman</w:t>
      </w:r>
      <w:r w:rsidR="00545D1B" w:rsidRPr="00742A04">
        <w:t xml:space="preserve"> </w:t>
      </w:r>
      <w:r w:rsidR="00FC59C5" w:rsidRPr="00742A04">
        <w:t>tiene el</w:t>
      </w:r>
      <w:r w:rsidR="00545D1B" w:rsidRPr="00742A04">
        <w:t xml:space="preserve"> </w:t>
      </w:r>
      <w:r w:rsidR="00963214" w:rsidRPr="00742A04">
        <w:t>deber</w:t>
      </w:r>
      <w:r w:rsidR="00545D1B" w:rsidRPr="00742A04">
        <w:t xml:space="preserve"> </w:t>
      </w:r>
      <w:r w:rsidR="00FC59C5" w:rsidRPr="00742A04">
        <w:t>de brindar</w:t>
      </w:r>
      <w:r w:rsidR="00545D1B" w:rsidRPr="00742A04">
        <w:t xml:space="preserve"> </w:t>
      </w:r>
      <w:r w:rsidR="00581775" w:rsidRPr="00742A04">
        <w:t>orientación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C59C5" w:rsidRPr="00742A04">
        <w:t xml:space="preserve">los </w:t>
      </w:r>
      <w:r w:rsidR="008A2682" w:rsidRPr="00742A04">
        <w:t>casos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FC59C5" w:rsidRPr="00742A04">
        <w:t>regulados por normas distintas de las que ella fiscaliza</w:t>
      </w:r>
      <w:r w:rsidR="00545D1B" w:rsidRPr="00742A04">
        <w:t xml:space="preserve">, </w:t>
      </w:r>
      <w:r w:rsidR="006137EC" w:rsidRPr="00742A04">
        <w:t xml:space="preserve">por </w:t>
      </w:r>
      <w:r w:rsidR="00040B78" w:rsidRPr="00742A04">
        <w:t>ejemplo</w:t>
      </w:r>
      <w:r w:rsidR="00FC59C5" w:rsidRPr="00742A04">
        <w:t>,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FC59C5" w:rsidRPr="00742A04">
        <w:t>una denuncia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C59C5" w:rsidRPr="00742A04">
        <w:t>policía</w:t>
      </w:r>
      <w:r w:rsidR="00545D1B" w:rsidRPr="00742A04">
        <w:t xml:space="preserve"> </w:t>
      </w:r>
      <w:r w:rsidR="00FC59C5" w:rsidRPr="00742A04">
        <w:t>sobre un acto delictivo</w:t>
      </w:r>
      <w:r w:rsidR="00545D1B" w:rsidRPr="00742A04">
        <w:t xml:space="preserve"> motiva</w:t>
      </w:r>
      <w:r w:rsidR="00B45CD3">
        <w:t>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0A5430" w:rsidRPr="00742A04">
        <w:t>r</w:t>
      </w:r>
      <w:r w:rsidR="000A5430" w:rsidRPr="00742A04">
        <w:t>a</w:t>
      </w:r>
      <w:r w:rsidR="000A5430" w:rsidRPr="00742A04">
        <w:t>cismo</w:t>
      </w:r>
      <w:r w:rsidR="00545D1B" w:rsidRPr="00742A04">
        <w:t xml:space="preserve">, </w:t>
      </w:r>
      <w:r w:rsidR="008A2682" w:rsidRPr="00742A04">
        <w:t>casos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A5430" w:rsidRPr="00742A04">
        <w:t>despido</w:t>
      </w:r>
      <w:r w:rsidR="00545D1B" w:rsidRPr="00742A04">
        <w:t xml:space="preserve"> </w:t>
      </w:r>
      <w:r w:rsidR="000A5430" w:rsidRPr="00742A04">
        <w:t>regulados</w:t>
      </w:r>
      <w:r w:rsidR="00545D1B" w:rsidRPr="00742A04">
        <w:t xml:space="preserve"> </w:t>
      </w:r>
      <w:r w:rsidR="00BD47D3" w:rsidRPr="00742A04">
        <w:t>en virtud de</w:t>
      </w:r>
      <w:r w:rsidR="00545D1B" w:rsidRPr="00742A04">
        <w:t xml:space="preserve"> ot</w:t>
      </w:r>
      <w:r w:rsidR="000A5430" w:rsidRPr="00742A04">
        <w:t>ras</w:t>
      </w:r>
      <w:r w:rsidR="00545D1B" w:rsidRPr="00742A04">
        <w:t xml:space="preserve"> </w:t>
      </w:r>
      <w:r w:rsidR="00980475" w:rsidRPr="00742A04">
        <w:t>disposiciones</w:t>
      </w:r>
      <w:r w:rsidR="00545D1B" w:rsidRPr="00742A04">
        <w:t xml:space="preserve"> </w:t>
      </w:r>
      <w:r w:rsidR="000A5430" w:rsidRPr="00742A04">
        <w:t>del capítulo s</w:t>
      </w:r>
      <w:r w:rsidR="000A5430" w:rsidRPr="00742A04">
        <w:t>o</w:t>
      </w:r>
      <w:r w:rsidR="000A5430" w:rsidRPr="00742A04">
        <w:t>bre la</w:t>
      </w:r>
      <w:r w:rsidR="00545D1B" w:rsidRPr="00742A04">
        <w:t xml:space="preserve"> </w:t>
      </w:r>
      <w:r w:rsidR="00B82A08" w:rsidRPr="00742A04">
        <w:t>igualdad de trato</w:t>
      </w:r>
      <w:r w:rsidR="00545D1B" w:rsidRPr="00742A04">
        <w:t xml:space="preserve"> </w:t>
      </w:r>
      <w:r w:rsidR="00F43124" w:rsidRPr="00742A04">
        <w:t xml:space="preserve">de la </w:t>
      </w:r>
      <w:r w:rsidR="00963214" w:rsidRPr="00742A04">
        <w:t xml:space="preserve">Ley </w:t>
      </w:r>
      <w:r w:rsidR="00AF398C" w:rsidRPr="00742A04">
        <w:t>sobre el Ambiente de Trabajo</w:t>
      </w:r>
      <w:r w:rsidR="00545D1B" w:rsidRPr="00742A04">
        <w:t xml:space="preserve"> </w:t>
      </w:r>
      <w:r w:rsidRPr="00742A04">
        <w:t>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el caso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A5430" w:rsidRPr="00742A04">
        <w:t>sol</w:t>
      </w:r>
      <w:r w:rsidR="000A5430" w:rsidRPr="00742A04">
        <w:t>i</w:t>
      </w:r>
      <w:r w:rsidR="000A5430" w:rsidRPr="00742A04">
        <w:t>citudes de</w:t>
      </w:r>
      <w:r w:rsidR="00545D1B" w:rsidRPr="00742A04">
        <w:t xml:space="preserve"> </w:t>
      </w:r>
      <w:r w:rsidR="000A5430" w:rsidRPr="00742A04">
        <w:t>libre consideración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A5430" w:rsidRPr="00742A04">
        <w:t>un caso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0A5430" w:rsidRPr="00742A04">
        <w:t>debe velar por que</w:t>
      </w:r>
      <w:r w:rsidR="00545D1B" w:rsidRPr="00742A04">
        <w:t xml:space="preserve"> </w:t>
      </w:r>
      <w:r w:rsidR="00BD47D3" w:rsidRPr="00742A04">
        <w:t>el der</w:t>
      </w:r>
      <w:r w:rsidR="00BD47D3" w:rsidRPr="00742A04">
        <w:t>e</w:t>
      </w:r>
      <w:r w:rsidR="00BD47D3" w:rsidRPr="00742A04">
        <w:t>cho y la práctica administrativa de Noruega</w:t>
      </w:r>
      <w:r w:rsidR="00545D1B" w:rsidRPr="00742A04">
        <w:t xml:space="preserve"> </w:t>
      </w:r>
      <w:r w:rsidR="00BD47D3" w:rsidRPr="00742A04">
        <w:t>se ajusten a</w:t>
      </w:r>
      <w:r w:rsidR="00545D1B" w:rsidRPr="00742A04">
        <w:t xml:space="preserve"> </w:t>
      </w:r>
      <w:r w:rsidR="00BD47D3" w:rsidRPr="00742A04">
        <w:t xml:space="preserve">las obligaciones </w:t>
      </w:r>
      <w:r w:rsidR="000A5430" w:rsidRPr="00742A04">
        <w:t>asumidas por</w:t>
      </w:r>
      <w:r w:rsidR="00BD47D3" w:rsidRPr="00742A04">
        <w:t xml:space="preserve"> Noruega</w:t>
      </w:r>
      <w:r w:rsidR="00545D1B" w:rsidRPr="00742A04">
        <w:t xml:space="preserve"> </w:t>
      </w:r>
      <w:r w:rsidR="00BD47D3" w:rsidRPr="00742A04">
        <w:t xml:space="preserve">en virtud </w:t>
      </w:r>
      <w:r w:rsidR="00F43124" w:rsidRPr="00742A04">
        <w:t xml:space="preserve">de la </w:t>
      </w:r>
      <w:r w:rsidR="00CD2FF0" w:rsidRPr="00742A04">
        <w:t>Convención</w:t>
      </w:r>
      <w:r w:rsidR="00EA776F" w:rsidRPr="00742A04">
        <w:t xml:space="preserve"> de </w:t>
      </w:r>
      <w:r w:rsidR="00230F13" w:rsidRPr="00742A04">
        <w:t>las Naciones Unidas</w:t>
      </w:r>
      <w:r w:rsidR="00CE5FA4" w:rsidRPr="00742A04">
        <w:t xml:space="preserve"> sobre la eliminación de todas las formas de discriminación contra la mujer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D66F2" w:rsidRPr="00742A04">
        <w:t>la Convención de las Naciones Unidas</w:t>
      </w:r>
      <w:r w:rsidR="00C14BFF" w:rsidRPr="00742A04">
        <w:t xml:space="preserve"> </w:t>
      </w:r>
      <w:r w:rsidR="000A5430" w:rsidRPr="00742A04">
        <w:t>sobre la</w:t>
      </w:r>
      <w:r w:rsidR="00545D1B" w:rsidRPr="00742A04">
        <w:t xml:space="preserve"> Elimina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0A5430" w:rsidRPr="00742A04">
        <w:t>todas las</w:t>
      </w:r>
      <w:r w:rsidR="00545D1B" w:rsidRPr="00742A04">
        <w:t xml:space="preserve"> Form</w:t>
      </w:r>
      <w:r w:rsidR="000A5430" w:rsidRPr="00742A04">
        <w:t>a</w:t>
      </w:r>
      <w:r w:rsidR="00545D1B" w:rsidRPr="00742A04">
        <w:t xml:space="preserve">s </w:t>
      </w:r>
      <w:r w:rsidR="004A0730" w:rsidRPr="00742A04">
        <w:t>de</w:t>
      </w:r>
      <w:r w:rsidR="00545D1B" w:rsidRPr="00742A04">
        <w:t xml:space="preserve"> </w:t>
      </w:r>
      <w:r w:rsidR="000A5430" w:rsidRPr="00742A04">
        <w:t>Discriminación Racial</w:t>
      </w:r>
      <w:r w:rsidR="00C27C42" w:rsidRPr="00742A04">
        <w:t>.</w:t>
      </w:r>
      <w:r w:rsidR="00545D1B" w:rsidRPr="00742A04">
        <w:t xml:space="preserve"> </w:t>
      </w:r>
      <w:r w:rsidR="000A5430" w:rsidRPr="00742A04">
        <w:t>Los esfuerzos proactivos</w:t>
      </w:r>
      <w:r w:rsidR="00494EA8" w:rsidRPr="00742A04">
        <w:t xml:space="preserve"> </w:t>
      </w:r>
      <w:r w:rsidR="00F43124" w:rsidRPr="00742A04">
        <w:t xml:space="preserve">de la </w:t>
      </w:r>
      <w:r w:rsidR="00A836A1" w:rsidRPr="00742A04">
        <w:t>Ombudsman</w:t>
      </w:r>
      <w:r w:rsidR="00545D1B" w:rsidRPr="00742A04">
        <w:t xml:space="preserve"> </w:t>
      </w:r>
      <w:r w:rsidR="000A5430" w:rsidRPr="00742A04">
        <w:t>deben</w:t>
      </w:r>
      <w:r w:rsidR="00545D1B" w:rsidRPr="00742A04">
        <w:t xml:space="preserve"> </w:t>
      </w:r>
      <w:r w:rsidR="000A5430" w:rsidRPr="00742A04">
        <w:t>contribuir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0A5430" w:rsidRPr="00742A04">
        <w:t xml:space="preserve">un mayor grado </w:t>
      </w:r>
      <w:r w:rsidR="00242371" w:rsidRPr="00742A04">
        <w:t>de igualdad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todas las esferas</w:t>
      </w:r>
      <w:r w:rsidR="00545D1B" w:rsidRPr="00742A04">
        <w:t xml:space="preserve"> </w:t>
      </w:r>
      <w:r w:rsidR="00F43124" w:rsidRPr="00742A04">
        <w:t xml:space="preserve">de la </w:t>
      </w:r>
      <w:r w:rsidR="000A5430" w:rsidRPr="00742A04">
        <w:t>sociedad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0A5430" w:rsidRPr="00742A04">
        <w:t>debe dese</w:t>
      </w:r>
      <w:r w:rsidR="000A5430" w:rsidRPr="00742A04">
        <w:t>m</w:t>
      </w:r>
      <w:r w:rsidR="000A5430" w:rsidRPr="00742A04">
        <w:t>peñar un papel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la determinación de</w:t>
      </w:r>
      <w:r w:rsidR="00545D1B" w:rsidRPr="00742A04">
        <w:t xml:space="preserve"> </w:t>
      </w:r>
      <w:r w:rsidR="000A5430" w:rsidRPr="00742A04">
        <w:t>las premisas básicas</w:t>
      </w:r>
      <w:r w:rsidR="00545D1B" w:rsidRPr="00742A04">
        <w:t xml:space="preserve"> </w:t>
      </w:r>
      <w:r w:rsidR="000A5430" w:rsidRPr="00742A04">
        <w:t>para</w:t>
      </w:r>
      <w:r w:rsidR="00545D1B" w:rsidRPr="00742A04">
        <w:t xml:space="preserve"> </w:t>
      </w:r>
      <w:r w:rsidR="000A5430" w:rsidRPr="00742A04">
        <w:t>la formulación de políticas</w:t>
      </w:r>
      <w:r w:rsidR="00C14BFF" w:rsidRPr="00742A04">
        <w:t xml:space="preserve"> 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0F0ACC" w:rsidRPr="00742A04">
        <w:t>también</w:t>
      </w:r>
      <w:r w:rsidR="000A5430" w:rsidRPr="00742A04">
        <w:t xml:space="preserve"> debe</w:t>
      </w:r>
      <w:r w:rsidR="00545D1B" w:rsidRPr="00742A04">
        <w:t xml:space="preserve"> </w:t>
      </w:r>
      <w:r w:rsidR="000A5430" w:rsidRPr="00742A04">
        <w:t>proporcionar</w:t>
      </w:r>
      <w:r w:rsidR="00545D1B" w:rsidRPr="00742A04">
        <w:t xml:space="preserve"> informa</w:t>
      </w:r>
      <w:r w:rsidR="00C14BFF" w:rsidRPr="00742A04">
        <w:t xml:space="preserve">ción </w:t>
      </w:r>
      <w:r w:rsidR="000A5430" w:rsidRPr="00742A04">
        <w:t>al público en general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0A5430" w:rsidRPr="00742A04">
        <w:t>brindar apoyo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1775" w:rsidRPr="00742A04">
        <w:t>orientación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0A5430" w:rsidRPr="00742A04">
        <w:t>organismos públicos</w:t>
      </w:r>
      <w:r w:rsidR="00545D1B" w:rsidRPr="00742A04">
        <w:t xml:space="preserve">, </w:t>
      </w:r>
      <w:r w:rsidR="000A5430" w:rsidRPr="00742A04">
        <w:t>organiz</w:t>
      </w:r>
      <w:r w:rsidR="000A5430" w:rsidRPr="00742A04">
        <w:t>a</w:t>
      </w:r>
      <w:r w:rsidR="000A5430" w:rsidRPr="00742A04">
        <w:t xml:space="preserve">ciones </w:t>
      </w:r>
      <w:r w:rsidR="00545D1B" w:rsidRPr="00742A04">
        <w:t>priva</w:t>
      </w:r>
      <w:r w:rsidR="000A5430" w:rsidRPr="00742A04">
        <w:t>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volunta</w:t>
      </w:r>
      <w:r w:rsidR="000A5430" w:rsidRPr="00742A04">
        <w:t>rias</w:t>
      </w:r>
      <w:r w:rsidR="00545D1B" w:rsidRPr="00742A04">
        <w:t xml:space="preserve"> </w:t>
      </w:r>
      <w:r w:rsidR="000A5430" w:rsidRPr="00742A04">
        <w:t>y particulares</w:t>
      </w:r>
      <w:r w:rsidR="00545D1B" w:rsidRPr="00742A04">
        <w:t xml:space="preserve"> </w:t>
      </w:r>
      <w:r w:rsidR="000A5430" w:rsidRPr="00742A04">
        <w:t>que trabajen para</w:t>
      </w:r>
      <w:r w:rsidR="00545D1B" w:rsidRPr="00742A04">
        <w:t xml:space="preserve"> </w:t>
      </w:r>
      <w:r w:rsidR="00502E16" w:rsidRPr="00742A04">
        <w:t>promover la igua</w:t>
      </w:r>
      <w:r w:rsidR="00502E16" w:rsidRPr="00742A04">
        <w:t>l</w:t>
      </w:r>
      <w:r w:rsidR="00502E16" w:rsidRPr="00742A04">
        <w:t>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B0483" w:rsidRPr="00742A04">
        <w:t>eliminar</w:t>
      </w:r>
      <w:r w:rsidR="00545D1B" w:rsidRPr="00742A04">
        <w:t xml:space="preserve"> </w:t>
      </w:r>
      <w:r w:rsidR="000A5430" w:rsidRPr="00742A04">
        <w:t xml:space="preserve">la </w:t>
      </w:r>
      <w:r w:rsidR="00A05847" w:rsidRPr="00742A04">
        <w:t>discriminación</w:t>
      </w:r>
      <w:r w:rsidR="00545D1B" w:rsidRPr="00742A04">
        <w:t xml:space="preserve">. </w:t>
      </w:r>
      <w:r w:rsidR="000A5430" w:rsidRPr="00742A04">
        <w:t>Por ejemplo las organizaciones de</w:t>
      </w:r>
      <w:r w:rsidR="00545D1B" w:rsidRPr="00742A04">
        <w:t xml:space="preserve"> empl</w:t>
      </w:r>
      <w:r w:rsidR="000A5430" w:rsidRPr="00742A04">
        <w:t>eados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D0883" w:rsidRPr="00742A04">
        <w:t>e</w:t>
      </w:r>
      <w:r w:rsidR="00AD0883" w:rsidRPr="00742A04">
        <w:t>m</w:t>
      </w:r>
      <w:r w:rsidR="00AD0883" w:rsidRPr="00742A04">
        <w:t>pleadores</w:t>
      </w:r>
      <w:r w:rsidR="00545D1B" w:rsidRPr="00742A04">
        <w:t xml:space="preserve">, </w:t>
      </w:r>
      <w:r w:rsidR="000A5430" w:rsidRPr="00742A04">
        <w:t>las escuelas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5430" w:rsidRPr="00742A04">
        <w:t>las aso</w:t>
      </w:r>
      <w:r w:rsidR="00545D1B" w:rsidRPr="00742A04">
        <w:t>cia</w:t>
      </w:r>
      <w:r w:rsidR="008907B8" w:rsidRPr="00742A04">
        <w:t>ciones</w:t>
      </w:r>
      <w:r w:rsidR="00545D1B" w:rsidRPr="00742A04">
        <w:t xml:space="preserve"> </w:t>
      </w:r>
      <w:r w:rsidR="000A5430" w:rsidRPr="00742A04">
        <w:t>pueden solicitar</w:t>
      </w:r>
      <w:r w:rsidR="00545D1B" w:rsidRPr="00742A04">
        <w:t xml:space="preserve"> </w:t>
      </w:r>
      <w:r w:rsidR="00502E16" w:rsidRPr="00742A04">
        <w:t>asesoramiento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1775" w:rsidRPr="00742A04">
        <w:t>orient</w:t>
      </w:r>
      <w:r w:rsidR="00581775" w:rsidRPr="00742A04">
        <w:t>a</w:t>
      </w:r>
      <w:r w:rsidR="00581775" w:rsidRPr="00742A04">
        <w:t>ción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836A1" w:rsidRPr="00742A04">
        <w:t>Ombudsman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0F0ACC" w:rsidRPr="00742A04">
        <w:t>también</w:t>
      </w:r>
      <w:r w:rsidR="000A5430" w:rsidRPr="00742A04">
        <w:t xml:space="preserve"> debe</w:t>
      </w:r>
      <w:r w:rsidR="00545D1B" w:rsidRPr="00742A04">
        <w:t xml:space="preserve"> monitor</w:t>
      </w:r>
      <w:r w:rsidR="000A5430" w:rsidRPr="00742A04">
        <w:t>ear</w:t>
      </w:r>
      <w:r w:rsidR="00545D1B" w:rsidRPr="00742A04">
        <w:t xml:space="preserve"> </w:t>
      </w:r>
      <w:r w:rsidR="000A5430" w:rsidRPr="00742A04">
        <w:t>la naturaleza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5430" w:rsidRPr="00742A04">
        <w:t xml:space="preserve">la </w:t>
      </w:r>
      <w:r w:rsidR="00545D1B" w:rsidRPr="00742A04">
        <w:t>exten</w:t>
      </w:r>
      <w:r w:rsidR="000A5430" w:rsidRPr="00742A04">
        <w:t>sión</w:t>
      </w:r>
      <w:r w:rsidR="00545D1B" w:rsidRPr="00742A04">
        <w:t xml:space="preserve"> </w:t>
      </w:r>
      <w:r w:rsidR="00F43124" w:rsidRPr="00742A04">
        <w:t xml:space="preserve">de la </w:t>
      </w:r>
      <w:r w:rsidR="00A05847" w:rsidRPr="00742A04">
        <w:t>discriminación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0A5430" w:rsidRPr="00742A04">
        <w:t>contribuir</w:t>
      </w:r>
      <w:r w:rsidR="00545D1B" w:rsidRPr="00742A04">
        <w:t xml:space="preserve"> </w:t>
      </w:r>
      <w:r w:rsidR="000A5430" w:rsidRPr="00742A04">
        <w:t>a desarrollar los conocimientos especi</w:t>
      </w:r>
      <w:r w:rsidR="000A5430" w:rsidRPr="00742A04">
        <w:t>a</w:t>
      </w:r>
      <w:r w:rsidR="000A5430" w:rsidRPr="00742A04">
        <w:t>lizados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5430" w:rsidRPr="00742A04">
        <w:t>a difundir los conocimientos</w:t>
      </w:r>
      <w:r w:rsidR="00545D1B" w:rsidRPr="00742A04">
        <w:t xml:space="preserve"> </w:t>
      </w:r>
      <w:r w:rsidR="00072AD7" w:rsidRPr="00742A04">
        <w:t>relati</w:t>
      </w:r>
      <w:r w:rsidR="000A5430" w:rsidRPr="00742A04">
        <w:t>vos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02E16" w:rsidRPr="00742A04">
        <w:t>igua</w:t>
      </w:r>
      <w:r w:rsidR="00502E16" w:rsidRPr="00742A04">
        <w:t>l</w:t>
      </w:r>
      <w:r w:rsidR="00502E16" w:rsidRPr="00742A04">
        <w:t>dad</w:t>
      </w:r>
      <w:r w:rsidR="00545D1B" w:rsidRPr="00742A04">
        <w:t>.</w:t>
      </w:r>
    </w:p>
    <w:p w:rsidR="000A08D8" w:rsidRPr="00742A04" w:rsidRDefault="000A5430" w:rsidP="001C6426">
      <w:pPr>
        <w:pStyle w:val="SingleTxt"/>
        <w:ind w:firstLine="475"/>
      </w:pPr>
      <w:r w:rsidRPr="00742A04">
        <w:t>Las c</w:t>
      </w:r>
      <w:r w:rsidR="002E5047" w:rsidRPr="00742A04">
        <w:t>uestiones</w:t>
      </w:r>
      <w:r w:rsidR="00545D1B" w:rsidRPr="00742A04">
        <w:t xml:space="preserve"> rela</w:t>
      </w:r>
      <w:r w:rsidRPr="00742A04">
        <w:t>cionadas con l</w:t>
      </w:r>
      <w:r w:rsidR="0030626A" w:rsidRPr="00742A04">
        <w:t>a</w:t>
      </w:r>
      <w:r w:rsidR="00545D1B" w:rsidRPr="00742A04">
        <w:t xml:space="preserve"> </w:t>
      </w:r>
      <w:r w:rsidR="00502E16" w:rsidRPr="00742A04">
        <w:t>igualdad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Pr="00742A04">
        <w:t>siguen</w:t>
      </w:r>
      <w:r w:rsidR="00545D1B" w:rsidRPr="00742A04">
        <w:t xml:space="preserve"> domina</w:t>
      </w:r>
      <w:r w:rsidRPr="00742A04">
        <w:t>ndo las</w:t>
      </w:r>
      <w:r w:rsidR="00545D1B" w:rsidRPr="00742A04">
        <w:t xml:space="preserve"> </w:t>
      </w:r>
      <w:r w:rsidR="004F07A7" w:rsidRPr="00742A04">
        <w:t>quejas</w:t>
      </w:r>
      <w:r w:rsidR="00545D1B" w:rsidRPr="00742A04">
        <w:t xml:space="preserve"> </w:t>
      </w:r>
      <w:r w:rsidRPr="00742A04">
        <w:t>presentadas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6137EC" w:rsidRPr="00742A04">
        <w:t>Ombudsman</w:t>
      </w:r>
      <w:r w:rsidR="00640C6D" w:rsidRPr="00742A04">
        <w:t xml:space="preserve"> </w:t>
      </w:r>
      <w:r w:rsidR="00FC59C5" w:rsidRPr="00742A04">
        <w:t xml:space="preserve">de Promoción </w:t>
      </w:r>
      <w:r w:rsidR="00F43124" w:rsidRPr="00742A04">
        <w:t xml:space="preserve">de la </w:t>
      </w:r>
      <w:r w:rsidR="00FC59C5" w:rsidRPr="00742A04">
        <w:t>Igualdad y Lucha</w:t>
      </w:r>
      <w:r w:rsidR="00640C6D" w:rsidRPr="00742A04">
        <w:t xml:space="preserve"> contra la Discriminación</w:t>
      </w:r>
      <w:r w:rsidR="00545D1B" w:rsidRPr="00742A04">
        <w:t xml:space="preserve">, </w:t>
      </w:r>
      <w:r w:rsidR="00230F13" w:rsidRPr="00742A04">
        <w:t>en particular</w:t>
      </w:r>
      <w:r w:rsidR="00545D1B" w:rsidRPr="00742A04">
        <w:t xml:space="preserve"> </w:t>
      </w:r>
      <w:r w:rsidRPr="00742A04">
        <w:t xml:space="preserve">las </w:t>
      </w:r>
      <w:r w:rsidR="002E5047" w:rsidRPr="00742A04">
        <w:t>cuestiones</w:t>
      </w:r>
      <w:r w:rsidR="00545D1B" w:rsidRPr="00742A04">
        <w:t xml:space="preserve"> re</w:t>
      </w:r>
      <w:r w:rsidRPr="00742A04">
        <w:t>lativas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discrim</w:t>
      </w:r>
      <w:r w:rsidRPr="00742A04">
        <w:t>i</w:t>
      </w:r>
      <w:r w:rsidRPr="00742A04">
        <w:t>nación en el</w:t>
      </w:r>
      <w:r w:rsidR="005E2D7A" w:rsidRPr="00742A04">
        <w:t xml:space="preserve"> empleo</w:t>
      </w:r>
      <w:r w:rsidR="00545D1B" w:rsidRPr="00742A04">
        <w:t xml:space="preserve"> </w:t>
      </w:r>
      <w:r w:rsidR="006137EC" w:rsidRPr="00742A04">
        <w:t>basad</w:t>
      </w:r>
      <w:r w:rsidRPr="00742A04">
        <w:t>a</w:t>
      </w:r>
      <w:r w:rsidR="006137EC" w:rsidRPr="00742A04">
        <w:t xml:space="preserve"> en</w:t>
      </w:r>
      <w:r w:rsidR="00545D1B" w:rsidRPr="00742A04">
        <w:t xml:space="preserve"> </w:t>
      </w:r>
      <w:r w:rsidRPr="00742A04">
        <w:t xml:space="preserve">el </w:t>
      </w:r>
      <w:r w:rsidR="002E5047" w:rsidRPr="00742A04">
        <w:t>embarazo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Pr="00742A04">
        <w:t xml:space="preserve">ha </w:t>
      </w:r>
      <w:r w:rsidR="00545D1B" w:rsidRPr="00742A04">
        <w:t>rec</w:t>
      </w:r>
      <w:r w:rsidRPr="00742A04">
        <w:t>ibido</w:t>
      </w:r>
      <w:r w:rsidR="00545D1B" w:rsidRPr="00742A04">
        <w:t xml:space="preserve"> nume</w:t>
      </w:r>
      <w:r w:rsidRPr="00742A04">
        <w:t>rosas</w:t>
      </w:r>
      <w:r w:rsidR="00545D1B" w:rsidRPr="00742A04">
        <w:t xml:space="preserve"> </w:t>
      </w:r>
      <w:r w:rsidRPr="00742A04">
        <w:t>averiguaciones</w:t>
      </w:r>
      <w:r w:rsidR="00545D1B" w:rsidRPr="00742A04">
        <w:t xml:space="preserve"> </w:t>
      </w:r>
      <w:r w:rsidR="00EA6AC2" w:rsidRPr="00742A04">
        <w:t>relativ</w:t>
      </w:r>
      <w:r w:rsidRPr="00742A04">
        <w:t>a</w:t>
      </w:r>
      <w:r w:rsidR="00EA6AC2" w:rsidRPr="00742A04">
        <w:t>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discriminación por motivos de edad</w:t>
      </w:r>
      <w:r w:rsidR="00545D1B" w:rsidRPr="00742A04">
        <w:t xml:space="preserve">, </w:t>
      </w:r>
      <w:r w:rsidRPr="00742A04">
        <w:t>princ</w:t>
      </w:r>
      <w:r w:rsidRPr="00742A04">
        <w:t>i</w:t>
      </w:r>
      <w:r w:rsidRPr="00742A04">
        <w:t>palmente</w:t>
      </w:r>
      <w:r w:rsidR="00545D1B" w:rsidRPr="00742A04">
        <w:t xml:space="preserve"> </w:t>
      </w:r>
      <w:r w:rsidRPr="00742A04">
        <w:t>en forma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solicitudes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81775" w:rsidRPr="00742A04">
        <w:t>orientación</w:t>
      </w:r>
      <w:r w:rsidR="00545D1B" w:rsidRPr="00742A04">
        <w:t xml:space="preserve"> </w:t>
      </w:r>
      <w:r w:rsidRPr="00742A04">
        <w:t>presentadas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>teléfono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correo electrónico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E77E20" w:rsidRPr="00742A04">
        <w:t>ha recibido</w:t>
      </w:r>
      <w:r w:rsidR="00545D1B" w:rsidRPr="00742A04">
        <w:t xml:space="preserve"> </w:t>
      </w:r>
      <w:r w:rsidR="00E77E20" w:rsidRPr="00742A04">
        <w:t>menos</w:t>
      </w:r>
      <w:r w:rsidR="00545D1B" w:rsidRPr="00742A04">
        <w:t xml:space="preserve"> </w:t>
      </w:r>
      <w:r w:rsidR="004F07A7" w:rsidRPr="00742A04">
        <w:t>quejas</w:t>
      </w:r>
      <w:r w:rsidR="00545D1B" w:rsidRPr="00742A04">
        <w:t xml:space="preserve"> </w:t>
      </w:r>
      <w:r w:rsidR="00E77E20" w:rsidRPr="00742A04">
        <w:t>que las esperadas</w:t>
      </w:r>
      <w:r w:rsidR="00545D1B" w:rsidRPr="00742A04">
        <w:t xml:space="preserve"> </w:t>
      </w:r>
      <w:r w:rsidR="00E77E20" w:rsidRPr="00742A04">
        <w:t>en relación con</w:t>
      </w:r>
      <w:r w:rsidR="00545D1B" w:rsidRPr="00742A04">
        <w:t xml:space="preserve"> </w:t>
      </w:r>
      <w:r w:rsidR="00E77E20" w:rsidRPr="00742A04">
        <w:t>la discriminación por motivos étnicos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E77E20" w:rsidRPr="00742A04">
        <w:t>ha puesto en marcha algunos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581775" w:rsidRPr="00742A04">
        <w:t>por iniciativa propia</w:t>
      </w:r>
      <w:r w:rsidR="00545D1B" w:rsidRPr="00742A04">
        <w:t xml:space="preserve">, </w:t>
      </w:r>
      <w:r w:rsidR="00E77E20" w:rsidRPr="00742A04">
        <w:t>entre ellos,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EA6AC2" w:rsidRPr="00742A04">
        <w:t>relativos 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E77E20" w:rsidRPr="00742A04">
        <w:t xml:space="preserve">en </w:t>
      </w:r>
      <w:r w:rsidR="0073499D" w:rsidRPr="00742A04">
        <w:t>lugares</w:t>
      </w:r>
      <w:r w:rsidR="00E77E20" w:rsidRPr="00742A04">
        <w:t xml:space="preserve"> que si</w:t>
      </w:r>
      <w:r w:rsidR="00E77E20" w:rsidRPr="00742A04">
        <w:t>r</w:t>
      </w:r>
      <w:r w:rsidR="00E77E20" w:rsidRPr="00742A04">
        <w:t>ven al</w:t>
      </w:r>
      <w:r w:rsidR="00545D1B" w:rsidRPr="00742A04">
        <w:t xml:space="preserve"> </w:t>
      </w:r>
      <w:r w:rsidR="00E77E20" w:rsidRPr="00742A04">
        <w:t>público en general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bar</w:t>
      </w:r>
      <w:r w:rsidR="00E77E20" w:rsidRPr="00742A04">
        <w:t>e</w:t>
      </w:r>
      <w:r w:rsidR="00545D1B" w:rsidRPr="00742A04">
        <w:t>s, restaurant</w:t>
      </w:r>
      <w:r w:rsidR="00E77E20" w:rsidRPr="00742A04">
        <w:t>e</w:t>
      </w:r>
      <w:r w:rsidR="00545D1B" w:rsidRPr="00742A04">
        <w:t xml:space="preserve">s, </w:t>
      </w:r>
      <w:r w:rsidR="00E77E20" w:rsidRPr="00742A04">
        <w:t>clubes nocturnos</w:t>
      </w:r>
      <w:r w:rsidR="00545D1B" w:rsidRPr="00742A04">
        <w:t xml:space="preserve">, etc., </w:t>
      </w:r>
      <w:r w:rsidR="00877AA0" w:rsidRPr="00742A04">
        <w:t>y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E77E20" w:rsidRPr="00742A04">
        <w:t>relativos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E77E20" w:rsidRPr="00742A04">
        <w:t>exigencia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D7AC7" w:rsidRPr="00742A04">
        <w:t>buen conocimiento del idioma noruego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D7AC7" w:rsidRPr="00742A04">
        <w:t>avisos de vacantes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CD7AC7" w:rsidRPr="00742A04">
        <w:t xml:space="preserve">seguirá poniendo en marcha </w:t>
      </w:r>
      <w:r w:rsidR="008A2682" w:rsidRPr="00742A04">
        <w:t>casos</w:t>
      </w:r>
      <w:r w:rsidR="00545D1B" w:rsidRPr="00742A04">
        <w:t xml:space="preserve"> </w:t>
      </w:r>
      <w:r w:rsidR="00581775" w:rsidRPr="00742A04">
        <w:t>por iniciativa propia</w:t>
      </w:r>
      <w:r w:rsidR="00545D1B" w:rsidRPr="00742A04">
        <w:t xml:space="preserve"> </w:t>
      </w:r>
      <w:r w:rsidR="00230F13" w:rsidRPr="00742A04">
        <w:t>con miras a</w:t>
      </w:r>
      <w:r w:rsidR="00545D1B" w:rsidRPr="00742A04">
        <w:t xml:space="preserve"> establ</w:t>
      </w:r>
      <w:r w:rsidR="00CD7AC7" w:rsidRPr="00742A04">
        <w:t>ecer</w:t>
      </w:r>
      <w:r w:rsidR="00545D1B" w:rsidRPr="00742A04">
        <w:t xml:space="preserve"> </w:t>
      </w:r>
      <w:r w:rsidR="00CD7AC7" w:rsidRPr="00742A04">
        <w:t>nuevas prácticas administrativas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D7AC7" w:rsidRPr="00742A04">
        <w:t>aclarar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="00CD7AC7" w:rsidRPr="00742A04">
        <w:t>deben inte</w:t>
      </w:r>
      <w:r w:rsidR="00CD7AC7" w:rsidRPr="00742A04">
        <w:t>r</w:t>
      </w:r>
      <w:r w:rsidR="00CD7AC7" w:rsidRPr="00742A04">
        <w:t xml:space="preserve">pretarse las nuevas </w:t>
      </w:r>
      <w:r w:rsidR="00980475" w:rsidRPr="00742A04">
        <w:t>disposiciones</w:t>
      </w:r>
      <w:r w:rsidR="00CD7AC7" w:rsidRPr="00742A04">
        <w:t xml:space="preserve"> de lucha contra la discriminación</w:t>
      </w:r>
      <w:r w:rsidR="00545D1B" w:rsidRPr="00742A04">
        <w:t xml:space="preserve">. </w:t>
      </w:r>
      <w:r w:rsidR="00A836A1" w:rsidRPr="00742A04">
        <w:t>La Ombudsman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intensif</w:t>
      </w:r>
      <w:r w:rsidR="00CD7AC7" w:rsidRPr="00742A04">
        <w:t>icará sus</w:t>
      </w:r>
      <w:r w:rsidR="00545D1B" w:rsidRPr="00742A04">
        <w:t xml:space="preserve"> </w:t>
      </w:r>
      <w:r w:rsidR="00CD7AC7" w:rsidRPr="00742A04">
        <w:t>actividades de información</w:t>
      </w:r>
      <w:r w:rsidR="00545D1B" w:rsidRPr="00742A04">
        <w:t xml:space="preserve">, </w:t>
      </w:r>
      <w:r w:rsidR="00CD7AC7" w:rsidRPr="00742A04">
        <w:t>con lo cual se espera que s</w:t>
      </w:r>
      <w:r w:rsidR="004F79D4">
        <w:t>e</w:t>
      </w:r>
      <w:r w:rsidR="00CD7AC7" w:rsidRPr="00742A04">
        <w:t xml:space="preserve"> presenten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4F07A7" w:rsidRPr="00742A04">
        <w:t>quejas</w:t>
      </w:r>
      <w:r w:rsidR="000A08D8" w:rsidRPr="00742A04">
        <w:t>.</w:t>
      </w:r>
    </w:p>
    <w:p w:rsidR="00545D1B" w:rsidRPr="00742A04" w:rsidRDefault="00FC59C5" w:rsidP="001C6426">
      <w:pPr>
        <w:pStyle w:val="SingleTxt"/>
        <w:ind w:firstLine="475"/>
      </w:pPr>
      <w:r w:rsidRPr="00742A04">
        <w:t xml:space="preserve">El Tribunal de Promoción </w:t>
      </w:r>
      <w:r w:rsidR="00F43124" w:rsidRPr="00742A04">
        <w:t xml:space="preserve">de la </w:t>
      </w:r>
      <w:r w:rsidRPr="00742A04">
        <w:t>Igualdad y Lucha contra la Discriminación</w:t>
      </w:r>
      <w:r w:rsidR="00545D1B" w:rsidRPr="00742A04">
        <w:t xml:space="preserve"> </w:t>
      </w:r>
      <w:r w:rsidR="00CD7AC7" w:rsidRPr="00742A04">
        <w:t>c</w:t>
      </w:r>
      <w:r w:rsidR="00CD7AC7" w:rsidRPr="00742A04">
        <w:t>o</w:t>
      </w:r>
      <w:r w:rsidR="00CD7AC7" w:rsidRPr="00742A04">
        <w:t xml:space="preserve">noce </w:t>
      </w:r>
      <w:r w:rsidR="00C076F2" w:rsidRPr="00742A04">
        <w:t xml:space="preserve">de los </w:t>
      </w:r>
      <w:r w:rsidR="00581775" w:rsidRPr="00742A04">
        <w:t>dictámenes</w:t>
      </w:r>
      <w:r w:rsidR="00545D1B" w:rsidRPr="00742A04">
        <w:t xml:space="preserve"> </w:t>
      </w:r>
      <w:r w:rsidR="00CD7AC7" w:rsidRPr="00742A04">
        <w:t xml:space="preserve">expedidos </w:t>
      </w:r>
      <w:r w:rsidR="00614C7D" w:rsidRPr="00742A04">
        <w:t xml:space="preserve">por la </w:t>
      </w:r>
      <w:r w:rsidR="00A836A1" w:rsidRPr="00742A04">
        <w:t>Ombudsman</w:t>
      </w:r>
      <w:r w:rsidR="00545D1B" w:rsidRPr="00742A04">
        <w:t xml:space="preserve"> </w:t>
      </w:r>
      <w:r w:rsidR="00CD7AC7" w:rsidRPr="00742A04">
        <w:t>que se presenten</w:t>
      </w:r>
      <w:r w:rsidR="00545D1B" w:rsidRPr="00742A04">
        <w:t xml:space="preserve"> </w:t>
      </w:r>
      <w:r w:rsidR="00CD7AC7" w:rsidRPr="00742A04">
        <w:t>ante él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CD7AC7" w:rsidRPr="00742A04">
        <w:t>que el propio T</w:t>
      </w:r>
      <w:r w:rsidR="00545D1B" w:rsidRPr="00742A04">
        <w:t xml:space="preserve">ribunal </w:t>
      </w:r>
      <w:r w:rsidR="000A5430" w:rsidRPr="00742A04">
        <w:t>solicit</w:t>
      </w:r>
      <w:r w:rsidR="00CD7AC7" w:rsidRPr="00742A04">
        <w:t>e que se presenten</w:t>
      </w:r>
      <w:r w:rsidR="00545D1B" w:rsidRPr="00742A04">
        <w:t xml:space="preserve"> </w:t>
      </w:r>
      <w:r w:rsidR="00CD7AC7" w:rsidRPr="00742A04">
        <w:t>ante él</w:t>
      </w:r>
      <w:r w:rsidR="00545D1B" w:rsidRPr="00742A04">
        <w:t xml:space="preserve">. </w:t>
      </w:r>
      <w:r w:rsidR="00CD7AC7" w:rsidRPr="00742A04">
        <w:t>Las decisiones del Tribunal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un caso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CD7AC7" w:rsidRPr="00742A04">
        <w:t>obligatorias para</w:t>
      </w:r>
      <w:r w:rsidR="00545D1B" w:rsidRPr="00742A04">
        <w:t xml:space="preserve"> </w:t>
      </w:r>
      <w:r w:rsidR="00CD7AC7" w:rsidRPr="00742A04">
        <w:t>todas las partes</w:t>
      </w:r>
      <w:r w:rsidR="00545D1B" w:rsidRPr="00742A04">
        <w:t xml:space="preserve">. </w:t>
      </w:r>
      <w:r w:rsidR="00CD7AC7" w:rsidRPr="00742A04">
        <w:t>El Tribunal</w:t>
      </w:r>
      <w:r w:rsidR="00545D1B" w:rsidRPr="00742A04">
        <w:t xml:space="preserve"> </w:t>
      </w:r>
      <w:r w:rsidR="00CD7AC7" w:rsidRPr="00742A04">
        <w:t>tiene</w:t>
      </w:r>
      <w:r w:rsidR="00545D1B" w:rsidRPr="00742A04">
        <w:t xml:space="preserve"> </w:t>
      </w:r>
      <w:r w:rsidRPr="00742A04">
        <w:t>competencia</w:t>
      </w:r>
      <w:r w:rsidR="00545D1B" w:rsidRPr="00742A04">
        <w:t xml:space="preserve"> </w:t>
      </w:r>
      <w:r w:rsidR="00CD7AC7" w:rsidRPr="00742A04">
        <w:t>par</w:t>
      </w:r>
      <w:r w:rsidR="0030626A" w:rsidRPr="00742A04">
        <w:t>a</w:t>
      </w:r>
      <w:r w:rsidR="00545D1B" w:rsidRPr="00742A04">
        <w:t xml:space="preserve"> impo</w:t>
      </w:r>
      <w:r w:rsidR="00CD7AC7" w:rsidRPr="00742A04">
        <w:t>ner una</w:t>
      </w:r>
      <w:r w:rsidR="00545D1B" w:rsidRPr="00742A04">
        <w:t xml:space="preserve"> </w:t>
      </w:r>
      <w:r w:rsidR="00CD7AC7" w:rsidRPr="00742A04">
        <w:t>multa conminatoria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D7AC7" w:rsidRPr="00742A04">
        <w:t>parte que haya</w:t>
      </w:r>
      <w:r w:rsidR="00545D1B" w:rsidRPr="00742A04">
        <w:t xml:space="preserve"> </w:t>
      </w:r>
      <w:r w:rsidR="001A2997">
        <w:t xml:space="preserve">incurrido en </w:t>
      </w:r>
      <w:r w:rsidR="00545D1B" w:rsidRPr="00742A04">
        <w:t>discrimina</w:t>
      </w:r>
      <w:r w:rsidR="001A2997">
        <w:t>ción</w:t>
      </w:r>
      <w:r w:rsidR="00CD7AC7" w:rsidRPr="00742A04">
        <w:t xml:space="preserve"> h</w:t>
      </w:r>
      <w:r w:rsidR="00194AB3" w:rsidRPr="00742A04">
        <w:t>asta</w:t>
      </w:r>
      <w:r w:rsidR="00545D1B" w:rsidRPr="00742A04">
        <w:t xml:space="preserve"> </w:t>
      </w:r>
      <w:r w:rsidR="00CD7AC7" w:rsidRPr="00742A04">
        <w:t>que cese</w:t>
      </w:r>
      <w:r w:rsidR="00545D1B" w:rsidRPr="00742A04">
        <w:t xml:space="preserve"> </w:t>
      </w:r>
      <w:r w:rsidR="00CD7AC7" w:rsidRPr="00742A04">
        <w:t>el acto discriminatorio</w:t>
      </w:r>
      <w:r w:rsidR="00545D1B" w:rsidRPr="00742A04">
        <w:t xml:space="preserve">. </w:t>
      </w:r>
      <w:r w:rsidR="00CD7AC7" w:rsidRPr="00742A04">
        <w:t>El Tribunal</w:t>
      </w:r>
      <w:r w:rsidR="00545D1B" w:rsidRPr="00742A04">
        <w:t xml:space="preserve"> </w:t>
      </w:r>
      <w:r w:rsidR="00CD7AC7" w:rsidRPr="00742A04">
        <w:t>ha asumido funciones en los</w:t>
      </w:r>
      <w:r w:rsidR="00545D1B" w:rsidRPr="00742A04">
        <w:t xml:space="preserve"> </w:t>
      </w:r>
      <w:r w:rsidR="008A2682" w:rsidRPr="00742A04">
        <w:t>c</w:t>
      </w:r>
      <w:r w:rsidR="008A2682" w:rsidRPr="00742A04">
        <w:t>a</w:t>
      </w:r>
      <w:r w:rsidR="008A2682" w:rsidRPr="00742A04">
        <w:t>sos</w:t>
      </w:r>
      <w:r w:rsidR="00545D1B" w:rsidRPr="00742A04">
        <w:t xml:space="preserve"> </w:t>
      </w:r>
      <w:r w:rsidR="00CD7AC7" w:rsidRPr="00742A04">
        <w:t>que estaban ante</w:t>
      </w:r>
      <w:r w:rsidR="00545D1B" w:rsidRPr="00742A04">
        <w:t xml:space="preserve"> </w:t>
      </w:r>
      <w:r w:rsidR="00AE0831" w:rsidRPr="00742A04">
        <w:t>la Junta de Apelaciones para la Igualdad de Género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CD7AC7" w:rsidRPr="00742A04">
        <w:t xml:space="preserve">conocerá </w:t>
      </w:r>
      <w:r w:rsidR="00C076F2" w:rsidRPr="00742A04">
        <w:t xml:space="preserve">de los </w:t>
      </w:r>
      <w:r w:rsidR="008A2682" w:rsidRPr="00742A04">
        <w:t>casos</w:t>
      </w:r>
      <w:r w:rsidR="00545D1B" w:rsidRPr="00742A04">
        <w:t xml:space="preserve"> </w:t>
      </w:r>
      <w:r w:rsidR="00EA6AC2" w:rsidRPr="00742A04">
        <w:t>relativos a</w:t>
      </w:r>
      <w:r w:rsidR="00545D1B" w:rsidRPr="00742A04">
        <w:t xml:space="preserve"> </w:t>
      </w:r>
      <w:r w:rsidR="00CD7AC7" w:rsidRPr="00742A04">
        <w:t xml:space="preserve">los dictámenes </w:t>
      </w:r>
      <w:r w:rsidR="00F43124" w:rsidRPr="00742A04">
        <w:t xml:space="preserve">de la </w:t>
      </w:r>
      <w:r w:rsidR="00CD7AC7" w:rsidRPr="00742A04">
        <w:t>Ombudsman</w:t>
      </w:r>
      <w:r w:rsidR="00545D1B" w:rsidRPr="00742A04">
        <w:t xml:space="preserve"> </w:t>
      </w:r>
      <w:r w:rsidR="00BD47D3" w:rsidRPr="00742A04">
        <w:t xml:space="preserve">en virtud </w:t>
      </w:r>
      <w:r w:rsidR="00F43124" w:rsidRPr="00742A04">
        <w:t xml:space="preserve">de la </w:t>
      </w:r>
      <w:r w:rsidR="00130F7F" w:rsidRPr="00742A04">
        <w:t>Ley de Lucha contra la Discriminación</w:t>
      </w:r>
      <w:r w:rsidR="00545D1B" w:rsidRPr="00742A04">
        <w:t xml:space="preserve">, </w:t>
      </w:r>
      <w:r w:rsidR="00232DF9" w:rsidRPr="00742A04">
        <w:t>el Capítulo</w:t>
      </w:r>
      <w:r w:rsidR="00545D1B" w:rsidRPr="00742A04">
        <w:t xml:space="preserve"> 13 </w:t>
      </w:r>
      <w:r w:rsidR="00F43124" w:rsidRPr="00742A04">
        <w:t xml:space="preserve">de la </w:t>
      </w:r>
      <w:r w:rsidR="00963214" w:rsidRPr="00742A04">
        <w:t xml:space="preserve">Ley </w:t>
      </w:r>
      <w:r w:rsidR="00AF398C" w:rsidRPr="00742A04">
        <w:t>sobre el Ambiente de Trabajo</w:t>
      </w:r>
      <w:r w:rsidR="00545D1B" w:rsidRPr="00742A04">
        <w:t xml:space="preserve"> re</w:t>
      </w:r>
      <w:r w:rsidR="00232DF9" w:rsidRPr="00742A04">
        <w:t>la</w:t>
      </w:r>
      <w:r w:rsidR="00096F3E">
        <w:t>tivo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protec</w:t>
      </w:r>
      <w:r w:rsidR="00C14BFF" w:rsidRPr="00742A04">
        <w:t xml:space="preserve">ción </w:t>
      </w:r>
      <w:r w:rsidR="00232DF9" w:rsidRPr="00742A04">
        <w:t>contra la discriminación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 </w:t>
      </w:r>
      <w:r w:rsidR="00877AA0" w:rsidRPr="00742A04">
        <w:t>y</w:t>
      </w:r>
      <w:r w:rsidR="00232DF9" w:rsidRPr="00742A04">
        <w:t xml:space="preserve"> las</w:t>
      </w:r>
      <w:r w:rsidR="00545D1B" w:rsidRPr="00742A04">
        <w:t xml:space="preserve"> </w:t>
      </w:r>
      <w:r w:rsidR="00232DF9" w:rsidRPr="00742A04">
        <w:t>disposiciones relativas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D0883" w:rsidRPr="00742A04">
        <w:t>lucha contra la discriminación</w:t>
      </w:r>
      <w:r w:rsidR="00545D1B" w:rsidRPr="00742A04">
        <w:t xml:space="preserve"> </w:t>
      </w:r>
      <w:r w:rsidR="00F43124" w:rsidRPr="00742A04">
        <w:t xml:space="preserve">de la </w:t>
      </w:r>
      <w:r w:rsidR="00232DF9" w:rsidRPr="00742A04">
        <w:t>legislación sobre v</w:t>
      </w:r>
      <w:r w:rsidR="00232DF9" w:rsidRPr="00742A04">
        <w:t>i</w:t>
      </w:r>
      <w:r w:rsidR="00232DF9" w:rsidRPr="00742A04">
        <w:t>vienda</w:t>
      </w:r>
      <w:r w:rsidR="00C27C42" w:rsidRPr="00742A04">
        <w:t>.</w:t>
      </w:r>
    </w:p>
    <w:p w:rsidR="00545D1B" w:rsidRPr="00742A04" w:rsidRDefault="00CD7AC7" w:rsidP="001C6426">
      <w:pPr>
        <w:pStyle w:val="SingleTxt"/>
        <w:ind w:firstLine="475"/>
      </w:pPr>
      <w:r w:rsidRPr="00742A04">
        <w:t>El Tribunal</w:t>
      </w:r>
      <w:r w:rsidR="00545D1B" w:rsidRPr="00742A04">
        <w:t xml:space="preserve"> </w:t>
      </w:r>
      <w:r w:rsidR="00232DF9" w:rsidRPr="00742A04">
        <w:t>tiene doce</w:t>
      </w:r>
      <w:r w:rsidR="00545D1B" w:rsidRPr="00742A04">
        <w:t xml:space="preserve"> </w:t>
      </w:r>
      <w:r w:rsidR="00A836A1" w:rsidRPr="00742A04">
        <w:t>miembros</w:t>
      </w:r>
      <w:r w:rsidR="00545D1B" w:rsidRPr="00742A04">
        <w:t xml:space="preserve">, </w:t>
      </w:r>
      <w:r w:rsidR="00232DF9" w:rsidRPr="00742A04">
        <w:t xml:space="preserve">cuatro </w:t>
      </w:r>
      <w:r w:rsidR="00C076F2" w:rsidRPr="00742A04">
        <w:t xml:space="preserve">de los </w:t>
      </w:r>
      <w:r w:rsidR="00232DF9" w:rsidRPr="00742A04">
        <w:t>cuales son</w:t>
      </w:r>
      <w:r w:rsidR="00545D1B" w:rsidRPr="00742A04">
        <w:t xml:space="preserve"> </w:t>
      </w:r>
      <w:r w:rsidR="00A836A1" w:rsidRPr="00742A04">
        <w:t>miembros</w:t>
      </w:r>
      <w:r w:rsidR="00232DF9" w:rsidRPr="00742A04">
        <w:t xml:space="preserve"> adjuntos</w:t>
      </w:r>
      <w:r w:rsidR="00545D1B" w:rsidRPr="00742A04">
        <w:t>,</w:t>
      </w:r>
      <w:r w:rsidR="002E5047" w:rsidRPr="00742A04">
        <w:t xml:space="preserve"> </w:t>
      </w:r>
      <w:r w:rsidR="00232DF9" w:rsidRPr="00742A04">
        <w:t>y cuenta con la a</w:t>
      </w:r>
      <w:r w:rsidR="00545D1B" w:rsidRPr="00742A04">
        <w:t>siste</w:t>
      </w:r>
      <w:r w:rsidR="00232DF9" w:rsidRPr="00742A04">
        <w:t>ncia de una</w:t>
      </w:r>
      <w:r w:rsidR="00545D1B" w:rsidRPr="00742A04">
        <w:t xml:space="preserve"> secretar</w:t>
      </w:r>
      <w:r w:rsidR="00232DF9" w:rsidRPr="00742A04">
        <w:t>ía especializada</w:t>
      </w:r>
      <w:r w:rsidR="00545D1B" w:rsidRPr="00742A04">
        <w:t>.</w:t>
      </w:r>
    </w:p>
    <w:p w:rsidR="00545D1B" w:rsidRPr="00742A04" w:rsidRDefault="00232DF9" w:rsidP="001C6426">
      <w:pPr>
        <w:pStyle w:val="SingleTxt"/>
        <w:ind w:firstLine="475"/>
      </w:pPr>
      <w:r w:rsidRPr="00742A04">
        <w:t>Algunas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organizaciones voluntarias</w:t>
      </w:r>
      <w:r w:rsidR="00545D1B" w:rsidRPr="00742A04">
        <w:t xml:space="preserve"> </w:t>
      </w:r>
      <w:r w:rsidRPr="00742A04">
        <w:t>adoptaron una posición cr</w:t>
      </w:r>
      <w:r w:rsidRPr="00742A04">
        <w:t>í</w:t>
      </w:r>
      <w:r w:rsidRPr="00742A04">
        <w:t xml:space="preserve">tica ante el </w:t>
      </w:r>
      <w:r w:rsidR="00AD0883" w:rsidRPr="00742A04">
        <w:t xml:space="preserve">mecanismo común de </w:t>
      </w:r>
      <w:r w:rsidR="00614C7D" w:rsidRPr="00742A04">
        <w:t>fiscalización</w:t>
      </w:r>
      <w:r w:rsidR="00545D1B" w:rsidRPr="00742A04">
        <w:t xml:space="preserve">. </w:t>
      </w:r>
      <w:r w:rsidRPr="00742A04">
        <w:t>Temían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633F4" w:rsidRPr="00742A04">
        <w:t>parte</w:t>
      </w:r>
      <w:r w:rsidR="00545D1B" w:rsidRPr="00742A04">
        <w:t xml:space="preserve"> </w:t>
      </w:r>
      <w:r w:rsidRPr="00742A04">
        <w:t>que la atención se centrara más en</w:t>
      </w:r>
      <w:r w:rsidR="00545D1B" w:rsidRPr="00742A04">
        <w:t xml:space="preserve"> </w:t>
      </w:r>
      <w:r w:rsidRPr="00742A04">
        <w:t>algunos</w:t>
      </w:r>
      <w:r w:rsidR="00545D1B" w:rsidRPr="00742A04">
        <w:t xml:space="preserve"> </w:t>
      </w:r>
      <w:r w:rsidRPr="00742A04">
        <w:t>motivos de discriminación</w:t>
      </w:r>
      <w:r w:rsidR="00545D1B" w:rsidRPr="00742A04">
        <w:t xml:space="preserve"> </w:t>
      </w:r>
      <w:r w:rsidRPr="00742A04">
        <w:t>que en otros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633F4" w:rsidRPr="00742A04">
        <w:t>parte</w:t>
      </w:r>
      <w:r w:rsidR="00545D1B" w:rsidRPr="00742A04">
        <w:t xml:space="preserve"> </w:t>
      </w:r>
      <w:r w:rsidRPr="00742A04">
        <w:t>que la labor</w:t>
      </w:r>
      <w:r w:rsidR="00545D1B" w:rsidRPr="00742A04">
        <w:t xml:space="preserve"> </w:t>
      </w:r>
      <w:r w:rsidRPr="00742A04">
        <w:t>aparentemente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Pr="00742A04">
        <w:t>urgente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ocuparse de</w:t>
      </w:r>
      <w:r w:rsidR="00545D1B" w:rsidRPr="00742A04">
        <w:t xml:space="preserve"> </w:t>
      </w:r>
      <w:r w:rsidR="004F07A7" w:rsidRPr="00742A04">
        <w:t>quejas</w:t>
      </w:r>
      <w:r w:rsidR="00545D1B" w:rsidRPr="00742A04">
        <w:t xml:space="preserve"> </w:t>
      </w:r>
      <w:r w:rsidRPr="00742A04">
        <w:t>concretas hiciese que se d</w:t>
      </w:r>
      <w:r w:rsidRPr="00742A04">
        <w:t>i</w:t>
      </w:r>
      <w:r w:rsidRPr="00742A04">
        <w:t>era una menor</w:t>
      </w:r>
      <w:r w:rsidR="00545D1B" w:rsidRPr="00742A04">
        <w:t xml:space="preserve"> prior</w:t>
      </w:r>
      <w:r w:rsidR="00502E16" w:rsidRPr="00742A04">
        <w:t>idad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 xml:space="preserve">los </w:t>
      </w:r>
      <w:r w:rsidR="00935A90" w:rsidRPr="00742A04">
        <w:t>esfuerzos</w:t>
      </w:r>
      <w:r w:rsidR="00AD08DB">
        <w:t xml:space="preserve"> a</w:t>
      </w:r>
      <w:r w:rsidR="00935A90" w:rsidRPr="00742A04">
        <w:t xml:space="preserve"> </w:t>
      </w:r>
      <w:r w:rsidRPr="00742A04">
        <w:t>largo plazo por</w:t>
      </w:r>
      <w:r w:rsidR="00545D1B" w:rsidRPr="00742A04">
        <w:t xml:space="preserve"> </w:t>
      </w:r>
      <w:r w:rsidR="00502E16" w:rsidRPr="00742A04">
        <w:t>promover la igualdad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</w:t>
      </w:r>
      <w:r w:rsidRPr="00742A04">
        <w:t>u</w:t>
      </w:r>
      <w:r w:rsidRPr="00742A04">
        <w:t>char contra la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Pr="00742A04">
        <w:t>–</w:t>
      </w:r>
      <w:r w:rsidR="00545D1B" w:rsidRPr="00742A04">
        <w:t xml:space="preserve"> </w:t>
      </w:r>
      <w:r w:rsidR="00230F13" w:rsidRPr="00742A04">
        <w:t>en particular</w:t>
      </w:r>
      <w:r w:rsidR="00545D1B" w:rsidRPr="00742A04">
        <w:t xml:space="preserve"> </w:t>
      </w:r>
      <w:r w:rsidRPr="00742A04">
        <w:t>si</w:t>
      </w:r>
      <w:r w:rsidR="00545D1B" w:rsidRPr="00742A04">
        <w:t xml:space="preserve"> </w:t>
      </w:r>
      <w:r w:rsidRPr="00742A04">
        <w:t>el organismo</w:t>
      </w:r>
      <w:r w:rsidR="00545D1B" w:rsidRPr="00742A04">
        <w:t xml:space="preserve"> </w:t>
      </w:r>
      <w:r w:rsidRPr="00742A04">
        <w:t>se viese limitado por</w:t>
      </w:r>
      <w:r w:rsidR="00545D1B" w:rsidRPr="00742A04">
        <w:t xml:space="preserve"> </w:t>
      </w:r>
      <w:r w:rsidRPr="00742A04">
        <w:t>falta de recursos</w:t>
      </w:r>
      <w:r w:rsidR="00545D1B" w:rsidRPr="00742A04">
        <w:t>.</w:t>
      </w:r>
      <w:r w:rsidR="001167D2" w:rsidRPr="00742A04">
        <w:t xml:space="preserve"> </w:t>
      </w:r>
      <w:r w:rsidRPr="00742A04">
        <w:t>E</w:t>
      </w:r>
      <w:r w:rsidR="001167D2" w:rsidRPr="00742A04">
        <w:t>l</w:t>
      </w:r>
      <w:r w:rsidRPr="00742A04">
        <w:t xml:space="preserve"> </w:t>
      </w:r>
      <w:r w:rsidR="008F0C8E" w:rsidRPr="00742A04">
        <w:t>Gobierno</w:t>
      </w:r>
      <w:r w:rsidR="00545D1B" w:rsidRPr="00742A04">
        <w:t xml:space="preserve"> </w:t>
      </w:r>
      <w:r w:rsidRPr="00742A04">
        <w:t>tiene conciencia</w:t>
      </w:r>
      <w:r w:rsidR="00545D1B" w:rsidRPr="00742A04">
        <w:t xml:space="preserve"> </w:t>
      </w:r>
      <w:r w:rsidR="00C076F2" w:rsidRPr="00742A04">
        <w:t xml:space="preserve">de los </w:t>
      </w:r>
      <w:r w:rsidR="00502E16" w:rsidRPr="00742A04">
        <w:t>desafíos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ha procurado evitar esas hipótesis</w:t>
      </w:r>
      <w:r w:rsidR="00545D1B" w:rsidRPr="00742A04">
        <w:t xml:space="preserve">, </w:t>
      </w:r>
      <w:r w:rsidRPr="00742A04">
        <w:t>entre otras cosas</w:t>
      </w:r>
      <w:r w:rsidR="00545D1B" w:rsidRPr="00742A04">
        <w:t xml:space="preserve"> </w:t>
      </w:r>
      <w:r w:rsidRPr="00742A04">
        <w:t>dando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836A1" w:rsidRPr="00742A04">
        <w:t>Ombudsman</w:t>
      </w:r>
      <w:r w:rsidR="00545D1B" w:rsidRPr="00742A04">
        <w:t xml:space="preserve"> </w:t>
      </w:r>
      <w:r w:rsidRPr="00742A04">
        <w:t>un claro mandato de</w:t>
      </w:r>
      <w:r w:rsidR="00545D1B" w:rsidRPr="00742A04">
        <w:t xml:space="preserve"> </w:t>
      </w:r>
      <w:r w:rsidRPr="00742A04">
        <w:t xml:space="preserve">actuar proactivamente </w:t>
      </w:r>
      <w:r w:rsidR="00AD08DB">
        <w:t xml:space="preserve">en la </w:t>
      </w:r>
      <w:r w:rsidRPr="00742A04">
        <w:t>promo</w:t>
      </w:r>
      <w:r w:rsidR="00AD08DB">
        <w:t>ción de</w:t>
      </w:r>
      <w:r w:rsidRPr="00742A04">
        <w:t xml:space="preserve"> </w:t>
      </w:r>
      <w:r w:rsidR="00502E16" w:rsidRPr="00742A04">
        <w:t>la igualdad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D08DB">
        <w:t xml:space="preserve">la </w:t>
      </w:r>
      <w:r w:rsidR="00502E16" w:rsidRPr="00742A04">
        <w:t>prev</w:t>
      </w:r>
      <w:r w:rsidR="00AD08DB">
        <w:t>e</w:t>
      </w:r>
      <w:r w:rsidRPr="00742A04">
        <w:t>n</w:t>
      </w:r>
      <w:r w:rsidR="00AD08DB">
        <w:t>ción de</w:t>
      </w:r>
      <w:r w:rsidRPr="00742A04">
        <w:t xml:space="preserve"> la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>.</w:t>
      </w:r>
    </w:p>
    <w:p w:rsidR="00545D1B" w:rsidRPr="00742A04" w:rsidRDefault="00A836A1" w:rsidP="001C6426">
      <w:pPr>
        <w:pStyle w:val="SingleTxt"/>
        <w:ind w:firstLine="475"/>
      </w:pPr>
      <w:r w:rsidRPr="00742A04">
        <w:t>La Ombudsman</w:t>
      </w:r>
      <w:r w:rsidR="00545D1B" w:rsidRPr="00742A04">
        <w:t xml:space="preserve"> </w:t>
      </w:r>
      <w:r w:rsidR="00232DF9" w:rsidRPr="00742A04">
        <w:t>debe tratar de</w:t>
      </w:r>
      <w:r w:rsidR="00545D1B" w:rsidRPr="00742A04">
        <w:t xml:space="preserve"> </w:t>
      </w:r>
      <w:r w:rsidR="00502E16" w:rsidRPr="00742A04">
        <w:t>promover la igualdad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todas las esferas</w:t>
      </w:r>
      <w:r w:rsidR="00545D1B" w:rsidRPr="00742A04">
        <w:t xml:space="preserve"> </w:t>
      </w:r>
      <w:r w:rsidR="00F43124" w:rsidRPr="00742A04">
        <w:t xml:space="preserve">de la </w:t>
      </w:r>
      <w:r w:rsidR="000A5430" w:rsidRPr="00742A04">
        <w:t>sociedad</w:t>
      </w:r>
      <w:r w:rsidR="00545D1B" w:rsidRPr="00742A04">
        <w:t xml:space="preserve">. </w:t>
      </w:r>
      <w:r w:rsidR="00232DF9" w:rsidRPr="00742A04">
        <w:t>Ello entraña</w:t>
      </w:r>
      <w:r w:rsidR="00545D1B" w:rsidRPr="00742A04">
        <w:t>:</w:t>
      </w:r>
    </w:p>
    <w:p w:rsidR="00545D1B" w:rsidRPr="00742A04" w:rsidRDefault="00935A90" w:rsidP="001C6426">
      <w:pPr>
        <w:pStyle w:val="SingleTxt"/>
        <w:numPr>
          <w:ilvl w:val="2"/>
          <w:numId w:val="35"/>
        </w:numPr>
      </w:pPr>
      <w:r w:rsidRPr="00742A04">
        <w:t>dar a conocer y señalar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atención</w:t>
      </w:r>
      <w:r w:rsidR="00545D1B" w:rsidRPr="00742A04">
        <w:t xml:space="preserve"> </w:t>
      </w:r>
      <w:r w:rsidRPr="00742A04">
        <w:t>las cuestiones que se opongan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02E16" w:rsidRPr="00742A04">
        <w:t>igualdad</w:t>
      </w:r>
      <w:r w:rsidR="002E5047" w:rsidRPr="00742A04">
        <w:t xml:space="preserve"> </w:t>
      </w:r>
      <w:r w:rsidRPr="00742A04">
        <w:t xml:space="preserve">y </w:t>
      </w:r>
      <w:r w:rsidR="002F19D5">
        <w:t xml:space="preserve">a </w:t>
      </w:r>
      <w:r w:rsidRPr="00742A04">
        <w:t>la</w:t>
      </w:r>
      <w:r w:rsidR="002E5047" w:rsidRPr="00742A04">
        <w:t xml:space="preserve"> i</w:t>
      </w:r>
      <w:r w:rsidR="00B82A08" w:rsidRPr="00742A04">
        <w:t>gualdad de trato</w:t>
      </w:r>
    </w:p>
    <w:p w:rsidR="00545D1B" w:rsidRPr="00742A04" w:rsidRDefault="00935A90" w:rsidP="001C6426">
      <w:pPr>
        <w:pStyle w:val="SingleTxt"/>
        <w:numPr>
          <w:ilvl w:val="2"/>
          <w:numId w:val="35"/>
        </w:numPr>
      </w:pPr>
      <w:r w:rsidRPr="00742A04">
        <w:t xml:space="preserve">elevar el nivel de conciencia acerca </w:t>
      </w:r>
      <w:r w:rsidR="00F43124" w:rsidRPr="00742A04">
        <w:t xml:space="preserve">de la </w:t>
      </w:r>
      <w:r w:rsidRPr="00742A04">
        <w:t>igualdad y la igualdad</w:t>
      </w:r>
      <w:r w:rsidR="00B82A08" w:rsidRPr="00742A04">
        <w:t xml:space="preserve"> de trato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promover activamente</w:t>
      </w:r>
      <w:r w:rsidR="00545D1B" w:rsidRPr="00742A04">
        <w:t xml:space="preserve"> </w:t>
      </w:r>
      <w:r w:rsidRPr="00742A04">
        <w:t>cambios</w:t>
      </w:r>
      <w:r w:rsidR="00545D1B" w:rsidRPr="00742A04">
        <w:t xml:space="preserve"> </w:t>
      </w:r>
      <w:r w:rsidRPr="00742A04">
        <w:t>de actitudes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comportamiento</w:t>
      </w:r>
    </w:p>
    <w:p w:rsidR="00545D1B" w:rsidRPr="00742A04" w:rsidRDefault="00935A90" w:rsidP="001C6426">
      <w:pPr>
        <w:pStyle w:val="SingleTxt"/>
        <w:numPr>
          <w:ilvl w:val="2"/>
          <w:numId w:val="35"/>
        </w:numPr>
      </w:pPr>
      <w:r w:rsidRPr="00742A04">
        <w:t>brindar</w:t>
      </w:r>
      <w:r w:rsidR="00545D1B" w:rsidRPr="00742A04">
        <w:t xml:space="preserve"> informa</w:t>
      </w:r>
      <w:r w:rsidRPr="00742A04">
        <w:t>ción,</w:t>
      </w:r>
      <w:r w:rsidR="00545D1B" w:rsidRPr="00742A04">
        <w:t xml:space="preserve"> </w:t>
      </w:r>
      <w:r w:rsidRPr="00742A04">
        <w:t>apoyo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1775" w:rsidRPr="00742A04">
        <w:t>orientación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2E16" w:rsidRPr="00742A04">
        <w:t xml:space="preserve">los </w:t>
      </w:r>
      <w:r w:rsidRPr="00742A04">
        <w:t xml:space="preserve">esfuerzos por </w:t>
      </w:r>
      <w:r w:rsidR="00502E16" w:rsidRPr="00742A04">
        <w:t>promover la igualdad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hacer frente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discriminación</w:t>
      </w:r>
    </w:p>
    <w:p w:rsidR="00545D1B" w:rsidRPr="00742A04" w:rsidRDefault="00935A90" w:rsidP="001C6426">
      <w:pPr>
        <w:pStyle w:val="SingleTxt"/>
        <w:numPr>
          <w:ilvl w:val="2"/>
          <w:numId w:val="35"/>
        </w:numPr>
      </w:pPr>
      <w:r w:rsidRPr="00742A04">
        <w:t>brindar</w:t>
      </w:r>
      <w:r w:rsidR="00545D1B" w:rsidRPr="00742A04">
        <w:t xml:space="preserve"> </w:t>
      </w:r>
      <w:r w:rsidR="00502E16" w:rsidRPr="00742A04">
        <w:t>asesoramiento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1775" w:rsidRPr="00742A04">
        <w:t>orientación</w:t>
      </w:r>
      <w:r w:rsidR="00545D1B" w:rsidRPr="00742A04">
        <w:t xml:space="preserve"> </w:t>
      </w:r>
      <w:r w:rsidRPr="00742A04">
        <w:t>sobre</w:t>
      </w:r>
      <w:r w:rsidR="00545D1B" w:rsidRPr="00742A04">
        <w:t xml:space="preserve"> </w:t>
      </w:r>
      <w:r w:rsidRPr="00742A04">
        <w:t>la diversidad étnica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D0883" w:rsidRPr="00742A04">
        <w:t>los empleadores</w:t>
      </w:r>
      <w:r w:rsidR="00545D1B" w:rsidRPr="00742A04">
        <w:t xml:space="preserve"> </w:t>
      </w:r>
      <w:r w:rsidR="00C076F2" w:rsidRPr="00742A04">
        <w:t xml:space="preserve">de los </w:t>
      </w:r>
      <w:r w:rsidRPr="00742A04">
        <w:t>sectores público y privado</w:t>
      </w:r>
    </w:p>
    <w:p w:rsidR="00545D1B" w:rsidRPr="00742A04" w:rsidRDefault="00935A90" w:rsidP="001C6426">
      <w:pPr>
        <w:pStyle w:val="SingleTxt"/>
        <w:numPr>
          <w:ilvl w:val="2"/>
          <w:numId w:val="35"/>
        </w:numPr>
      </w:pPr>
      <w:r w:rsidRPr="00742A04">
        <w:t>impartir conocimientos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elaborar</w:t>
      </w:r>
      <w:r w:rsidR="00545D1B" w:rsidRPr="00742A04">
        <w:t xml:space="preserve"> documenta</w:t>
      </w:r>
      <w:r w:rsidR="00C14BFF" w:rsidRPr="00742A04">
        <w:t xml:space="preserve">ción </w:t>
      </w:r>
      <w:r w:rsidRPr="00742A04">
        <w:t xml:space="preserve">en materia </w:t>
      </w:r>
      <w:r w:rsidR="00242371" w:rsidRPr="00742A04">
        <w:t>de igua</w:t>
      </w:r>
      <w:r w:rsidR="00242371" w:rsidRPr="00742A04">
        <w:t>l</w:t>
      </w:r>
      <w:r w:rsidR="00242371" w:rsidRPr="00742A04">
        <w:t>dad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monitor</w:t>
      </w:r>
      <w:r w:rsidRPr="00742A04">
        <w:t>ear</w:t>
      </w:r>
      <w:r w:rsidR="00545D1B" w:rsidRPr="00742A04">
        <w:t xml:space="preserve"> </w:t>
      </w:r>
      <w:r w:rsidR="000A5430" w:rsidRPr="00742A04">
        <w:t>la naturaleza</w:t>
      </w:r>
      <w:r w:rsidR="00545D1B" w:rsidRPr="00742A04">
        <w:t xml:space="preserve"> </w:t>
      </w:r>
      <w:r w:rsidR="00BB4DB1" w:rsidRPr="00742A04">
        <w:t xml:space="preserve">y el </w:t>
      </w:r>
      <w:r w:rsidRPr="00742A04">
        <w:t>alcance</w:t>
      </w:r>
      <w:r w:rsidR="00545D1B" w:rsidRPr="00742A04">
        <w:t xml:space="preserve"> </w:t>
      </w:r>
      <w:r w:rsidR="00F43124" w:rsidRPr="00742A04">
        <w:t xml:space="preserve">de la </w:t>
      </w:r>
      <w:r w:rsidR="00A05847" w:rsidRPr="00742A04">
        <w:t>discriminación</w:t>
      </w:r>
    </w:p>
    <w:p w:rsidR="00545D1B" w:rsidRPr="00742A04" w:rsidRDefault="00545D1B" w:rsidP="001C6426">
      <w:pPr>
        <w:pStyle w:val="SingleTxt"/>
        <w:numPr>
          <w:ilvl w:val="2"/>
          <w:numId w:val="35"/>
        </w:numPr>
      </w:pPr>
      <w:r w:rsidRPr="00742A04">
        <w:t>servi</w:t>
      </w:r>
      <w:r w:rsidR="00935A90" w:rsidRPr="00742A04">
        <w:t>r de</w:t>
      </w:r>
      <w:r w:rsidRPr="00742A04">
        <w:t xml:space="preserve"> </w:t>
      </w:r>
      <w:r w:rsidR="00935A90" w:rsidRPr="00742A04">
        <w:t>lugar de reunión</w:t>
      </w:r>
      <w:r w:rsidR="002E5047" w:rsidRPr="00742A04">
        <w:t xml:space="preserve"> </w:t>
      </w:r>
      <w:r w:rsidR="00935A90" w:rsidRPr="00742A04">
        <w:t>y centro de información</w:t>
      </w:r>
      <w:r w:rsidRPr="00742A04">
        <w:t xml:space="preserve"> </w:t>
      </w:r>
      <w:r w:rsidR="00935A90" w:rsidRPr="00742A04">
        <w:t>par</w:t>
      </w:r>
      <w:r w:rsidR="0030626A" w:rsidRPr="00742A04">
        <w:t>a</w:t>
      </w:r>
      <w:r w:rsidRPr="00742A04">
        <w:t xml:space="preserve"> facilita</w:t>
      </w:r>
      <w:r w:rsidR="00935A90" w:rsidRPr="00742A04">
        <w:t>r</w:t>
      </w:r>
      <w:r w:rsidRPr="00742A04">
        <w:t xml:space="preserve"> </w:t>
      </w:r>
      <w:r w:rsidR="00935A90" w:rsidRPr="00742A04">
        <w:t>la colab</w:t>
      </w:r>
      <w:r w:rsidRPr="00742A04">
        <w:t>o</w:t>
      </w:r>
      <w:r w:rsidRPr="00742A04">
        <w:t>ra</w:t>
      </w:r>
      <w:r w:rsidR="00C14BFF" w:rsidRPr="00742A04">
        <w:t xml:space="preserve">ción </w:t>
      </w:r>
      <w:r w:rsidR="007D66F2" w:rsidRPr="00742A04">
        <w:t>entre</w:t>
      </w:r>
      <w:r w:rsidRPr="00742A04">
        <w:t xml:space="preserve"> </w:t>
      </w:r>
      <w:r w:rsidR="00935A90" w:rsidRPr="00742A04">
        <w:t>los actores pertinentes</w:t>
      </w:r>
    </w:p>
    <w:p w:rsidR="00545D1B" w:rsidRPr="00742A04" w:rsidRDefault="00935A90" w:rsidP="001C6426">
      <w:pPr>
        <w:pStyle w:val="SingleTxt"/>
        <w:ind w:firstLine="475"/>
      </w:pPr>
      <w:r w:rsidRPr="00742A04">
        <w:t>La labor de</w:t>
      </w:r>
      <w:r w:rsidR="00545D1B" w:rsidRPr="00742A04">
        <w:t xml:space="preserve"> evalua</w:t>
      </w:r>
      <w:r w:rsidR="00C14BFF" w:rsidRPr="00742A04">
        <w:t xml:space="preserve">ción </w:t>
      </w:r>
      <w:r w:rsidRPr="00742A04">
        <w:t>del nuevo mecanismo</w:t>
      </w:r>
      <w:r w:rsidR="00545D1B" w:rsidRPr="00742A04">
        <w:t xml:space="preserve"> </w:t>
      </w:r>
      <w:r w:rsidRPr="00742A04">
        <w:t>comenzará a finales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2008.</w:t>
      </w:r>
    </w:p>
    <w:p w:rsidR="00545D1B" w:rsidRPr="00742A04" w:rsidRDefault="00FC59C5" w:rsidP="00BB4DB1">
      <w:pPr>
        <w:pStyle w:val="SingleTxt"/>
        <w:jc w:val="left"/>
        <w:rPr>
          <w:i/>
        </w:rPr>
      </w:pPr>
      <w:r w:rsidRPr="00742A04">
        <w:rPr>
          <w:i/>
        </w:rPr>
        <w:t>Competencia</w:t>
      </w:r>
      <w:r w:rsidR="00494EA8" w:rsidRPr="00742A04">
        <w:rPr>
          <w:i/>
        </w:rPr>
        <w:t xml:space="preserve"> </w:t>
      </w:r>
      <w:r w:rsidR="00F43124" w:rsidRPr="00742A04">
        <w:rPr>
          <w:i/>
        </w:rPr>
        <w:t xml:space="preserve">de la </w:t>
      </w:r>
      <w:r w:rsidR="00A836A1" w:rsidRPr="00742A04">
        <w:rPr>
          <w:i/>
        </w:rPr>
        <w:t>Ombudsman</w:t>
      </w:r>
      <w:r w:rsidR="00545D1B" w:rsidRPr="00742A04">
        <w:rPr>
          <w:i/>
        </w:rPr>
        <w:t xml:space="preserve"> </w:t>
      </w:r>
      <w:r w:rsidR="00BB4DB1" w:rsidRPr="00742A04">
        <w:rPr>
          <w:i/>
        </w:rPr>
        <w:t xml:space="preserve">y el </w:t>
      </w:r>
      <w:r w:rsidR="00CD7AC7" w:rsidRPr="00742A04">
        <w:rPr>
          <w:i/>
        </w:rPr>
        <w:t>Tribunal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rela</w:t>
      </w:r>
      <w:r w:rsidR="00BB4DB1" w:rsidRPr="00742A04">
        <w:rPr>
          <w:i/>
        </w:rPr>
        <w:t>ción</w:t>
      </w:r>
      <w:r w:rsidR="00BB4DB1" w:rsidRPr="00742A04">
        <w:rPr>
          <w:i/>
        </w:rPr>
        <w:br/>
        <w:t>con otros</w:t>
      </w:r>
      <w:r w:rsidR="00545D1B" w:rsidRPr="00742A04">
        <w:rPr>
          <w:i/>
        </w:rPr>
        <w:t xml:space="preserve"> </w:t>
      </w:r>
      <w:r w:rsidR="00BB4DB1" w:rsidRPr="00742A04">
        <w:rPr>
          <w:i/>
        </w:rPr>
        <w:t>organismos administrativos</w:t>
      </w:r>
      <w:r w:rsidR="00545D1B" w:rsidRPr="00742A04">
        <w:rPr>
          <w:i/>
        </w:rPr>
        <w:t>, etc.</w:t>
      </w:r>
    </w:p>
    <w:p w:rsidR="00545D1B" w:rsidRPr="00742A04" w:rsidRDefault="00BB4DB1" w:rsidP="001C6426">
      <w:pPr>
        <w:pStyle w:val="SingleTxt"/>
        <w:ind w:firstLine="475"/>
      </w:pPr>
      <w:r w:rsidRPr="00742A04">
        <w:t>La c</w:t>
      </w:r>
      <w:r w:rsidR="00FC59C5" w:rsidRPr="00742A04">
        <w:t>ompetencia</w:t>
      </w:r>
      <w:r w:rsidR="00545D1B" w:rsidRPr="00742A04">
        <w:t xml:space="preserve"> </w:t>
      </w:r>
      <w:r w:rsidR="00F43124" w:rsidRPr="00742A04">
        <w:t xml:space="preserve">de la </w:t>
      </w:r>
      <w:r w:rsidRPr="00742A04">
        <w:t>nueva</w:t>
      </w:r>
      <w:r w:rsidR="00545D1B" w:rsidRPr="00742A04">
        <w:t xml:space="preserve"> </w:t>
      </w:r>
      <w:r w:rsidRPr="00742A04">
        <w:t>Ombudsman</w:t>
      </w:r>
      <w:r w:rsidR="00545D1B" w:rsidRPr="00742A04">
        <w:t xml:space="preserve"> </w:t>
      </w:r>
      <w:r w:rsidRPr="00742A04">
        <w:t>y el nuevo</w:t>
      </w:r>
      <w:r w:rsidR="00545D1B" w:rsidRPr="00742A04">
        <w:t xml:space="preserve"> Tribunal </w:t>
      </w:r>
      <w:r w:rsidR="00C14BFF" w:rsidRPr="00742A04">
        <w:t>en</w:t>
      </w:r>
      <w:r w:rsidR="00545D1B" w:rsidRPr="00742A04">
        <w:t xml:space="preserve"> rela</w:t>
      </w:r>
      <w:r w:rsidR="00C14BFF" w:rsidRPr="00742A04">
        <w:t xml:space="preserve">ción </w:t>
      </w:r>
      <w:r w:rsidRPr="00742A04">
        <w:t>con otros</w:t>
      </w:r>
      <w:r w:rsidR="00545D1B" w:rsidRPr="00742A04">
        <w:t xml:space="preserve"> </w:t>
      </w:r>
      <w:r w:rsidRPr="00742A04">
        <w:t>organismos administrativos</w:t>
      </w:r>
      <w:r w:rsidR="00545D1B" w:rsidRPr="00742A04">
        <w:t xml:space="preserve"> </w:t>
      </w:r>
      <w:r w:rsidRPr="00742A04">
        <w:t>es</w:t>
      </w:r>
      <w:r w:rsidR="00545D1B" w:rsidRPr="00742A04">
        <w:t xml:space="preserve"> </w:t>
      </w:r>
      <w:r w:rsidRPr="00742A04">
        <w:t>un</w:t>
      </w:r>
      <w:r w:rsidR="00545D1B" w:rsidRPr="00742A04">
        <w:t>a continua</w:t>
      </w:r>
      <w:r w:rsidR="00C14BFF" w:rsidRPr="00742A04">
        <w:t xml:space="preserve">ción </w:t>
      </w:r>
      <w:r w:rsidR="00F43124" w:rsidRPr="00742A04">
        <w:t xml:space="preserve">de la </w:t>
      </w:r>
      <w:r w:rsidR="00FC59C5" w:rsidRPr="00742A04">
        <w:t>competencia</w:t>
      </w:r>
      <w:r w:rsidR="00545D1B" w:rsidRPr="00742A04">
        <w:t xml:space="preserve"> </w:t>
      </w:r>
      <w:r w:rsidR="00F43124" w:rsidRPr="00742A04">
        <w:t xml:space="preserve">de la </w:t>
      </w:r>
      <w:r w:rsidR="005E603B" w:rsidRPr="00742A04">
        <w:t>O</w:t>
      </w:r>
      <w:r w:rsidR="005E603B" w:rsidRPr="00742A04">
        <w:t>m</w:t>
      </w:r>
      <w:r w:rsidR="005E603B" w:rsidRPr="00742A04">
        <w:t>budsman de Igualdad de Género</w:t>
      </w:r>
      <w:r w:rsidR="002E5047" w:rsidRPr="00742A04">
        <w:t xml:space="preserve"> </w:t>
      </w:r>
      <w:r w:rsidRPr="00742A04">
        <w:t>y la</w:t>
      </w:r>
      <w:r w:rsidR="00545D1B" w:rsidRPr="00742A04">
        <w:t xml:space="preserve"> </w:t>
      </w:r>
      <w:r w:rsidR="00AE0831" w:rsidRPr="00742A04">
        <w:t>Junta de Apelaciones</w:t>
      </w:r>
      <w:r w:rsidRPr="00742A04">
        <w:t xml:space="preserve"> </w:t>
      </w:r>
      <w:r w:rsidR="00242371" w:rsidRPr="00742A04">
        <w:t>de</w:t>
      </w:r>
      <w:r w:rsidR="00F14044">
        <w:t xml:space="preserve"> I</w:t>
      </w:r>
      <w:r w:rsidR="00242371" w:rsidRPr="00742A04">
        <w:t>gualdad</w:t>
      </w:r>
      <w:r w:rsidRPr="00742A04">
        <w:t xml:space="preserve"> de Género que existían anteriormente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Pr="00742A04">
        <w:t>a continuación se da un</w:t>
      </w:r>
      <w:r w:rsidR="00545D1B" w:rsidRPr="00742A04">
        <w:t xml:space="preserve">a </w:t>
      </w:r>
      <w:r w:rsidRPr="00742A04">
        <w:t>descripción gen</w:t>
      </w:r>
      <w:r w:rsidRPr="00742A04">
        <w:t>e</w:t>
      </w:r>
      <w:r w:rsidRPr="00742A04">
        <w:t>ral</w:t>
      </w:r>
      <w:r w:rsidR="00C14BFF" w:rsidRPr="00742A04">
        <w:t xml:space="preserve"> </w:t>
      </w:r>
      <w:r w:rsidR="00F43124" w:rsidRPr="00742A04">
        <w:t xml:space="preserve">de la </w:t>
      </w:r>
      <w:r w:rsidR="00FC59C5" w:rsidRPr="00742A04">
        <w:t>competencia</w:t>
      </w:r>
      <w:r w:rsidR="00494EA8" w:rsidRPr="00742A04">
        <w:t xml:space="preserve"> </w:t>
      </w:r>
      <w:r w:rsidR="00F43124" w:rsidRPr="00742A04">
        <w:t xml:space="preserve">de la </w:t>
      </w:r>
      <w:r w:rsidR="00A836A1" w:rsidRPr="00742A04">
        <w:t>Ombudsman</w:t>
      </w:r>
      <w:r w:rsidR="00545D1B" w:rsidRPr="00742A04">
        <w:t xml:space="preserve"> </w:t>
      </w:r>
      <w:r w:rsidRPr="00742A04">
        <w:t xml:space="preserve">y el </w:t>
      </w:r>
      <w:r w:rsidR="00CD7AC7" w:rsidRPr="00742A04">
        <w:t>Tribunal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rela</w:t>
      </w:r>
      <w:r w:rsidR="00C14BFF" w:rsidRPr="00742A04">
        <w:t xml:space="preserve">ción </w:t>
      </w:r>
      <w:r w:rsidRPr="00742A04">
        <w:t>con otros</w:t>
      </w:r>
      <w:r w:rsidR="00545D1B" w:rsidRPr="00742A04">
        <w:t xml:space="preserve"> </w:t>
      </w:r>
      <w:r w:rsidRPr="00742A04">
        <w:t>org</w:t>
      </w:r>
      <w:r w:rsidRPr="00742A04">
        <w:t>a</w:t>
      </w:r>
      <w:r w:rsidRPr="00742A04">
        <w:t>nismos administrativos</w:t>
      </w:r>
      <w:r w:rsidR="00545D1B" w:rsidRPr="00742A04">
        <w:t xml:space="preserve">, </w:t>
      </w:r>
      <w:r w:rsidRPr="00742A04">
        <w:t>pues la</w:t>
      </w:r>
      <w:r w:rsidR="00545D1B" w:rsidRPr="00742A04">
        <w:t xml:space="preserve"> </w:t>
      </w:r>
      <w:r w:rsidR="00FC59C5" w:rsidRPr="00742A04">
        <w:t>competencia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dichos órganos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rela</w:t>
      </w:r>
      <w:r w:rsidR="00C14BFF" w:rsidRPr="00742A04">
        <w:t xml:space="preserve">ción </w:t>
      </w:r>
      <w:r w:rsidRPr="00742A04">
        <w:t>con el</w:t>
      </w:r>
      <w:r w:rsidR="00545D1B" w:rsidRPr="00742A04">
        <w:t xml:space="preserve"> rest</w:t>
      </w:r>
      <w:r w:rsidRPr="00742A04">
        <w:t>o</w:t>
      </w:r>
      <w:r w:rsidR="00545D1B" w:rsidRPr="00742A04">
        <w:t xml:space="preserve"> </w:t>
      </w:r>
      <w:r w:rsidR="00F43124" w:rsidRPr="00742A04">
        <w:t xml:space="preserve">de la </w:t>
      </w:r>
      <w:r w:rsidRPr="00742A04">
        <w:t>administración pública</w:t>
      </w:r>
      <w:r w:rsidR="00C14BFF" w:rsidRPr="00742A04">
        <w:t xml:space="preserve"> </w:t>
      </w:r>
      <w:r w:rsidRPr="00742A04">
        <w:t>es</w:t>
      </w:r>
      <w:r w:rsidR="00545D1B" w:rsidRPr="00742A04">
        <w:t xml:space="preserve"> </w:t>
      </w:r>
      <w:r w:rsidRPr="00742A04">
        <w:t>un medio de asegurar que</w:t>
      </w:r>
      <w:r w:rsidR="00545D1B" w:rsidRPr="00742A04">
        <w:t xml:space="preserve"> </w:t>
      </w:r>
      <w:r w:rsidRPr="00742A04">
        <w:t>las autoridades</w:t>
      </w:r>
      <w:r w:rsidR="00545D1B" w:rsidRPr="00742A04">
        <w:t xml:space="preserve"> </w:t>
      </w:r>
      <w:r w:rsidRPr="00742A04">
        <w:t>cu</w:t>
      </w:r>
      <w:r w:rsidRPr="00742A04">
        <w:t>m</w:t>
      </w:r>
      <w:r w:rsidRPr="00742A04">
        <w:t>plan</w:t>
      </w:r>
      <w:r w:rsidR="00545D1B" w:rsidRPr="00742A04">
        <w:t xml:space="preserve"> </w:t>
      </w:r>
      <w:r w:rsidRPr="00742A04">
        <w:t>las obligaciones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02E16" w:rsidRPr="00742A04">
        <w:t>promover la igualdad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discriminación</w:t>
      </w:r>
      <w:r w:rsidR="00545D1B" w:rsidRPr="00742A04">
        <w:t xml:space="preserve"> </w:t>
      </w:r>
      <w:r w:rsidRPr="00742A04">
        <w:t>estipul</w:t>
      </w:r>
      <w:r w:rsidRPr="00742A04">
        <w:t>a</w:t>
      </w:r>
      <w:r w:rsidRPr="00742A04">
        <w:t>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D47D3" w:rsidRPr="00742A04">
        <w:t>el derecho de 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D47D3" w:rsidRPr="00742A04">
        <w:t>las convenciones</w:t>
      </w:r>
      <w:r w:rsidR="00545D1B" w:rsidRPr="00742A04">
        <w:t xml:space="preserve"> </w:t>
      </w:r>
      <w:r w:rsidRPr="00742A04">
        <w:t>obligatorias para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>.</w:t>
      </w:r>
    </w:p>
    <w:p w:rsidR="00545D1B" w:rsidRPr="00742A04" w:rsidRDefault="00A836A1" w:rsidP="001C6426">
      <w:pPr>
        <w:pStyle w:val="SingleTxt"/>
        <w:ind w:firstLine="475"/>
      </w:pPr>
      <w:r w:rsidRPr="00742A04">
        <w:t>La Ombudsman</w:t>
      </w:r>
      <w:r w:rsidR="00545D1B" w:rsidRPr="00742A04">
        <w:t xml:space="preserve"> </w:t>
      </w:r>
      <w:r w:rsidR="00BB4DB1" w:rsidRPr="00742A04">
        <w:t xml:space="preserve">y el </w:t>
      </w:r>
      <w:r w:rsidR="00CD7AC7" w:rsidRPr="00742A04">
        <w:t>Tribunal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6325F6" w:rsidRPr="00742A04">
        <w:t>órganos administrativos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56679F" w:rsidRPr="00742A04">
        <w:t>la ley les g</w:t>
      </w:r>
      <w:r w:rsidR="0056679F" w:rsidRPr="00742A04">
        <w:t>a</w:t>
      </w:r>
      <w:r w:rsidR="0056679F" w:rsidRPr="00742A04">
        <w:t>rantiza la</w:t>
      </w:r>
      <w:r w:rsidR="00545D1B" w:rsidRPr="00742A04">
        <w:t xml:space="preserve"> </w:t>
      </w:r>
      <w:r w:rsidR="0056679F" w:rsidRPr="00742A04">
        <w:t>autonomía profesional</w:t>
      </w:r>
      <w:r w:rsidR="00545D1B" w:rsidRPr="00742A04">
        <w:t xml:space="preserve"> </w:t>
      </w:r>
      <w:r w:rsidR="0056679F" w:rsidRPr="00742A04">
        <w:t xml:space="preserve">que entraña que </w:t>
      </w:r>
      <w:r w:rsidR="00F14044">
        <w:t xml:space="preserve">ni </w:t>
      </w:r>
      <w:r w:rsidR="0056679F" w:rsidRPr="00742A04">
        <w:t xml:space="preserve">el Rey </w:t>
      </w:r>
      <w:r w:rsidR="00F14044">
        <w:t xml:space="preserve">ni </w:t>
      </w:r>
      <w:r w:rsidR="004A0730" w:rsidRPr="00742A04">
        <w:t>el Ministerio</w:t>
      </w:r>
      <w:r w:rsidR="0056679F" w:rsidRPr="00742A04">
        <w:t xml:space="preserve"> </w:t>
      </w:r>
      <w:r w:rsidR="00F14044">
        <w:t>tengan competencia</w:t>
      </w:r>
      <w:r w:rsidR="00F14044" w:rsidRPr="00742A04">
        <w:t xml:space="preserve"> </w:t>
      </w:r>
      <w:r w:rsidR="00F14044">
        <w:t>para darles i</w:t>
      </w:r>
      <w:r w:rsidR="00545D1B" w:rsidRPr="00742A04">
        <w:t>nstruc</w:t>
      </w:r>
      <w:r w:rsidR="008907B8" w:rsidRPr="00742A04">
        <w:t>ciones</w:t>
      </w:r>
      <w:r w:rsidR="00545D1B" w:rsidRPr="00742A04">
        <w:t xml:space="preserve"> </w:t>
      </w:r>
      <w:r w:rsidR="0056679F" w:rsidRPr="00742A04">
        <w:t>sobre</w:t>
      </w:r>
      <w:r w:rsidR="00545D1B" w:rsidRPr="00742A04">
        <w:t xml:space="preserve"> </w:t>
      </w:r>
      <w:r w:rsidR="00F97F41" w:rsidRPr="00742A04">
        <w:t>su</w:t>
      </w:r>
      <w:r w:rsidR="0056679F" w:rsidRPr="00742A04">
        <w:t>s</w:t>
      </w:r>
      <w:r w:rsidR="00545D1B" w:rsidRPr="00742A04">
        <w:t xml:space="preserve"> </w:t>
      </w:r>
      <w:r w:rsidR="0056679F" w:rsidRPr="00742A04">
        <w:t>procedimientos administrativos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56679F" w:rsidRPr="00742A04">
        <w:t>sus actividades profesionales</w:t>
      </w:r>
      <w:r w:rsidR="00545D1B" w:rsidRPr="00742A04">
        <w:t>.</w:t>
      </w:r>
    </w:p>
    <w:p w:rsidR="00545D1B" w:rsidRPr="00742A04" w:rsidRDefault="0056679F" w:rsidP="001C6426">
      <w:pPr>
        <w:pStyle w:val="SingleTxt"/>
        <w:ind w:firstLine="475"/>
      </w:pPr>
      <w:r w:rsidRPr="00742A04">
        <w:t>Por otro lado</w:t>
      </w:r>
      <w:r w:rsidR="00A93B9E" w:rsidRPr="00742A04">
        <w:t xml:space="preserve">, la </w:t>
      </w:r>
      <w:r w:rsidR="00A836A1" w:rsidRPr="00742A04">
        <w:t>Ombudsman</w:t>
      </w:r>
      <w:r w:rsidR="00545D1B" w:rsidRPr="00742A04">
        <w:t xml:space="preserve"> </w:t>
      </w:r>
      <w:r w:rsidR="00BB4DB1" w:rsidRPr="00742A04">
        <w:t xml:space="preserve">y el </w:t>
      </w:r>
      <w:r w:rsidR="00CD7AC7" w:rsidRPr="00742A04">
        <w:t>Tribunal</w:t>
      </w:r>
      <w:r w:rsidR="00545D1B" w:rsidRPr="00742A04">
        <w:t xml:space="preserve"> </w:t>
      </w:r>
      <w:r w:rsidRPr="00742A04">
        <w:t>no pueden dirigir</w:t>
      </w:r>
      <w:r w:rsidR="00545D1B" w:rsidRPr="00742A04">
        <w:t xml:space="preserve"> </w:t>
      </w:r>
      <w:r w:rsidRPr="00742A04">
        <w:t>órdenes juríd</w:t>
      </w:r>
      <w:r w:rsidRPr="00742A04">
        <w:t>i</w:t>
      </w:r>
      <w:r w:rsidRPr="00742A04">
        <w:t>camente obligatorias</w:t>
      </w:r>
      <w:r w:rsidR="001167D2" w:rsidRPr="00742A04">
        <w:t xml:space="preserve"> al </w:t>
      </w:r>
      <w:r w:rsidR="004A0730" w:rsidRPr="00742A04">
        <w:t>Ministerio</w:t>
      </w:r>
      <w:r w:rsidR="00545D1B" w:rsidRPr="00742A04">
        <w:t xml:space="preserve"> </w:t>
      </w:r>
      <w:r w:rsidR="00F14044">
        <w:t>ni</w:t>
      </w:r>
      <w:r w:rsidR="00545D1B" w:rsidRPr="00742A04">
        <w:t xml:space="preserve"> </w:t>
      </w:r>
      <w:r w:rsidRPr="00742A04">
        <w:t>al Rey</w:t>
      </w:r>
      <w:r w:rsidR="00545D1B" w:rsidRPr="00742A04">
        <w:t xml:space="preserve">. </w:t>
      </w:r>
      <w:r w:rsidRPr="00742A04">
        <w:t>Tampoco pueden l</w:t>
      </w:r>
      <w:r w:rsidR="00A836A1" w:rsidRPr="00742A04">
        <w:t>a Ombudsman</w:t>
      </w:r>
      <w:r w:rsidR="00545D1B" w:rsidRPr="00742A04">
        <w:t xml:space="preserve"> </w:t>
      </w:r>
      <w:r w:rsidRPr="00742A04">
        <w:t xml:space="preserve">ni el </w:t>
      </w:r>
      <w:r w:rsidR="00CD7AC7" w:rsidRPr="00742A04">
        <w:t>Tribunal</w:t>
      </w:r>
      <w:r w:rsidR="00545D1B" w:rsidRPr="00742A04">
        <w:t xml:space="preserve"> </w:t>
      </w:r>
      <w:r w:rsidRPr="00742A04">
        <w:t>anular o modificar</w:t>
      </w:r>
      <w:r w:rsidR="00545D1B" w:rsidRPr="00742A04">
        <w:t xml:space="preserve"> </w:t>
      </w:r>
      <w:r w:rsidRPr="00742A04">
        <w:t>decisiones administrativas</w:t>
      </w:r>
      <w:r w:rsidR="00545D1B" w:rsidRPr="00742A04">
        <w:t xml:space="preserve"> </w:t>
      </w:r>
      <w:r w:rsidRPr="00742A04">
        <w:t>adoptadas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>otros organi</w:t>
      </w:r>
      <w:r w:rsidRPr="00742A04">
        <w:t>s</w:t>
      </w:r>
      <w:r w:rsidRPr="00742A04">
        <w:t>mos</w:t>
      </w:r>
      <w:r w:rsidR="00BB4DB1" w:rsidRPr="00742A04">
        <w:t xml:space="preserve"> administrativos</w:t>
      </w:r>
      <w:r w:rsidR="00545D1B" w:rsidRPr="00742A04">
        <w:t xml:space="preserve">, </w:t>
      </w:r>
      <w:r w:rsidRPr="00742A04">
        <w:t>ni dar</w:t>
      </w:r>
      <w:r w:rsidR="00545D1B" w:rsidRPr="00742A04">
        <w:t xml:space="preserve"> </w:t>
      </w:r>
      <w:r w:rsidRPr="00742A04">
        <w:t>órdenes</w:t>
      </w:r>
      <w:r w:rsidR="00545D1B" w:rsidRPr="00742A04">
        <w:t xml:space="preserve"> </w:t>
      </w:r>
      <w:r w:rsidRPr="00742A04">
        <w:t>acerca</w:t>
      </w:r>
      <w:r w:rsidR="00545D1B" w:rsidRPr="00742A04">
        <w:t xml:space="preserve"> </w:t>
      </w:r>
      <w:r w:rsidR="00F14044">
        <w:t xml:space="preserve">de </w:t>
      </w:r>
      <w:r w:rsidR="00CD7AC7" w:rsidRPr="00742A04">
        <w:t>cómo</w:t>
      </w:r>
      <w:r w:rsidR="00545D1B" w:rsidRPr="00742A04">
        <w:t xml:space="preserve"> </w:t>
      </w:r>
      <w:r w:rsidRPr="00742A04">
        <w:t xml:space="preserve">debe ejercerse la </w:t>
      </w:r>
      <w:r w:rsidR="00FC59C5" w:rsidRPr="00742A04">
        <w:t>competencia</w:t>
      </w:r>
      <w:r w:rsidR="00545D1B" w:rsidRPr="00742A04">
        <w:t xml:space="preserve"> </w:t>
      </w:r>
      <w:r w:rsidRPr="00742A04">
        <w:t>par</w:t>
      </w:r>
      <w:r w:rsidR="0030626A" w:rsidRPr="00742A04">
        <w:t>a</w:t>
      </w:r>
      <w:r w:rsidR="00545D1B" w:rsidRPr="00742A04">
        <w:t xml:space="preserve"> </w:t>
      </w:r>
      <w:r w:rsidRPr="00742A04">
        <w:t>adoptar una</w:t>
      </w:r>
      <w:r w:rsidR="00545D1B" w:rsidRPr="00742A04">
        <w:t xml:space="preserve"> </w:t>
      </w:r>
      <w:r w:rsidRPr="00742A04">
        <w:t xml:space="preserve">decisión </w:t>
      </w:r>
      <w:r w:rsidR="000248A9" w:rsidRPr="00742A04">
        <w:t>administr</w:t>
      </w:r>
      <w:r w:rsidRPr="00742A04">
        <w:t>ativa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>dictar reglamentos</w:t>
      </w:r>
      <w:r w:rsidR="00545D1B" w:rsidRPr="00742A04">
        <w:t xml:space="preserve">. </w:t>
      </w:r>
      <w:r w:rsidRPr="00742A04">
        <w:t>Cabe señalar</w:t>
      </w:r>
      <w:r w:rsidR="00545D1B" w:rsidRPr="00742A04">
        <w:t xml:space="preserve"> </w:t>
      </w:r>
      <w:r w:rsidRPr="00742A04">
        <w:t>a este respecto</w:t>
      </w:r>
      <w:r w:rsidR="00545D1B" w:rsidRPr="00742A04">
        <w:t xml:space="preserve"> </w:t>
      </w:r>
      <w:r w:rsidRPr="00742A04">
        <w:t>que Noruega</w:t>
      </w:r>
      <w:r w:rsidR="00545D1B" w:rsidRPr="00742A04">
        <w:t xml:space="preserve"> </w:t>
      </w:r>
      <w:r w:rsidRPr="00742A04">
        <w:t>no tiene una</w:t>
      </w:r>
      <w:r w:rsidR="00545D1B" w:rsidRPr="00742A04">
        <w:t xml:space="preserve"> tr</w:t>
      </w:r>
      <w:r w:rsidR="00545D1B" w:rsidRPr="00742A04">
        <w:t>a</w:t>
      </w:r>
      <w:r w:rsidR="00545D1B" w:rsidRPr="00742A04">
        <w:t>di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Pr="00742A04">
        <w:t>tribunales administrativos</w:t>
      </w:r>
      <w:r w:rsidR="00545D1B" w:rsidRPr="00742A04">
        <w:t>.</w:t>
      </w:r>
    </w:p>
    <w:p w:rsidR="00545D1B" w:rsidRPr="00742A04" w:rsidRDefault="00CB0483" w:rsidP="001C6426">
      <w:pPr>
        <w:pStyle w:val="SingleTxt"/>
        <w:ind w:firstLine="475"/>
      </w:pPr>
      <w:r w:rsidRPr="00742A04">
        <w:t>Sin embargo</w:t>
      </w:r>
      <w:r w:rsidR="00A93B9E" w:rsidRPr="00742A04">
        <w:t xml:space="preserve">, la </w:t>
      </w:r>
      <w:r w:rsidR="00230F13" w:rsidRPr="00742A04">
        <w:t>Ley</w:t>
      </w:r>
      <w:r w:rsidR="00545D1B" w:rsidRPr="00742A04">
        <w:t xml:space="preserve"> </w:t>
      </w:r>
      <w:r w:rsidR="0056679F" w:rsidRPr="00742A04">
        <w:t>no excluye la</w:t>
      </w:r>
      <w:r w:rsidR="00545D1B" w:rsidRPr="00742A04">
        <w:t xml:space="preserve"> </w:t>
      </w:r>
      <w:r w:rsidR="00FC59C5" w:rsidRPr="00742A04">
        <w:t>competencia</w:t>
      </w:r>
      <w:r w:rsidR="00494EA8" w:rsidRPr="00742A04">
        <w:t xml:space="preserve"> </w:t>
      </w:r>
      <w:r w:rsidR="00F43124" w:rsidRPr="00742A04">
        <w:t xml:space="preserve">de la </w:t>
      </w:r>
      <w:r w:rsidR="00A836A1" w:rsidRPr="00742A04">
        <w:t>Ombudsman</w:t>
      </w:r>
      <w:r w:rsidR="00545D1B" w:rsidRPr="00742A04">
        <w:t xml:space="preserve"> </w:t>
      </w:r>
      <w:r w:rsidR="0056679F" w:rsidRPr="00742A04">
        <w:t xml:space="preserve">o el </w:t>
      </w:r>
      <w:r w:rsidR="00CD7AC7" w:rsidRPr="00742A04">
        <w:t>Trib</w:t>
      </w:r>
      <w:r w:rsidR="00CD7AC7" w:rsidRPr="00742A04">
        <w:t>u</w:t>
      </w:r>
      <w:r w:rsidR="00CD7AC7" w:rsidRPr="00742A04">
        <w:t>nal</w:t>
      </w:r>
      <w:r w:rsidR="00545D1B" w:rsidRPr="00742A04">
        <w:t xml:space="preserve"> </w:t>
      </w:r>
      <w:r w:rsidR="0056679F" w:rsidRPr="00742A04">
        <w:t>de emitir</w:t>
      </w:r>
      <w:r w:rsidR="00545D1B" w:rsidRPr="00742A04">
        <w:t xml:space="preserve"> </w:t>
      </w:r>
      <w:r w:rsidR="00581775" w:rsidRPr="00742A04">
        <w:t>dictámenes</w:t>
      </w:r>
      <w:r w:rsidR="00545D1B" w:rsidRPr="00742A04">
        <w:t xml:space="preserve"> </w:t>
      </w:r>
      <w:r w:rsidR="0056679F" w:rsidRPr="00742A04">
        <w:t>acerca de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56679F" w:rsidRPr="00742A04">
        <w:t>las decisiones administrativas</w:t>
      </w:r>
      <w:r w:rsidR="00545D1B" w:rsidRPr="00742A04">
        <w:t xml:space="preserve"> </w:t>
      </w:r>
      <w:r w:rsidR="001F255C">
        <w:t xml:space="preserve">que hayan </w:t>
      </w:r>
      <w:r w:rsidR="0056679F" w:rsidRPr="00742A04">
        <w:t>dict</w:t>
      </w:r>
      <w:r w:rsidR="0056679F" w:rsidRPr="00742A04">
        <w:t>a</w:t>
      </w:r>
      <w:r w:rsidR="001F255C">
        <w:t>do</w:t>
      </w:r>
      <w:r w:rsidR="0056679F" w:rsidRPr="00742A04">
        <w:t xml:space="preserve"> </w:t>
      </w:r>
      <w:r w:rsidR="0073499D" w:rsidRPr="00742A04">
        <w:t>o</w:t>
      </w:r>
      <w:r w:rsidR="0073499D">
        <w:t>t</w:t>
      </w:r>
      <w:r w:rsidR="0073499D" w:rsidRPr="00742A04">
        <w:t>ras</w:t>
      </w:r>
      <w:r w:rsidR="00545D1B" w:rsidRPr="00742A04">
        <w:t xml:space="preserve"> </w:t>
      </w:r>
      <w:r w:rsidR="0056679F" w:rsidRPr="00742A04">
        <w:t>autoridades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contrar</w:t>
      </w:r>
      <w:r w:rsidR="0056679F" w:rsidRPr="00742A04">
        <w:t>ias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Ley sobre la Igualdad de Género</w:t>
      </w:r>
      <w:r w:rsidR="00545D1B" w:rsidRPr="00742A04">
        <w:t xml:space="preserve">. </w:t>
      </w:r>
      <w:r w:rsidR="0056679F" w:rsidRPr="00742A04">
        <w:t>Tales</w:t>
      </w:r>
      <w:r w:rsidR="00545D1B" w:rsidRPr="00742A04">
        <w:t xml:space="preserve"> </w:t>
      </w:r>
      <w:r w:rsidR="00581775" w:rsidRPr="00742A04">
        <w:t>di</w:t>
      </w:r>
      <w:r w:rsidR="00581775" w:rsidRPr="00742A04">
        <w:t>c</w:t>
      </w:r>
      <w:r w:rsidR="00581775" w:rsidRPr="00742A04">
        <w:t>támenes</w:t>
      </w:r>
      <w:r w:rsidR="00545D1B" w:rsidRPr="00742A04">
        <w:t xml:space="preserve"> </w:t>
      </w:r>
      <w:r w:rsidR="0056679F" w:rsidRPr="00742A04">
        <w:t>no serán</w:t>
      </w:r>
      <w:r w:rsidR="00545D1B" w:rsidRPr="00742A04">
        <w:t xml:space="preserve"> </w:t>
      </w:r>
      <w:r w:rsidR="0056679F" w:rsidRPr="00742A04">
        <w:t>jurídicamente obligatorios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56679F" w:rsidRPr="00742A04">
        <w:t>normalmente</w:t>
      </w:r>
      <w:r w:rsidR="00545D1B" w:rsidRPr="00742A04">
        <w:t xml:space="preserve"> </w:t>
      </w:r>
      <w:r w:rsidR="0056679F" w:rsidRPr="00742A04">
        <w:t>se supone que</w:t>
      </w:r>
      <w:r w:rsidR="00545D1B" w:rsidRPr="00742A04">
        <w:t xml:space="preserve"> </w:t>
      </w:r>
      <w:r w:rsidR="0056679F" w:rsidRPr="00742A04">
        <w:t>las autoridades administrativas</w:t>
      </w:r>
      <w:r w:rsidR="00545D1B" w:rsidRPr="00742A04">
        <w:t xml:space="preserve"> </w:t>
      </w:r>
      <w:r w:rsidR="0056679F" w:rsidRPr="00742A04">
        <w:t>respetarán los</w:t>
      </w:r>
      <w:r w:rsidR="00545D1B" w:rsidRPr="00742A04">
        <w:t xml:space="preserve"> </w:t>
      </w:r>
      <w:r w:rsidR="00581775" w:rsidRPr="00742A04">
        <w:t>dictámenes</w:t>
      </w:r>
      <w:r w:rsidR="00494EA8" w:rsidRPr="00742A04">
        <w:t xml:space="preserve"> </w:t>
      </w:r>
      <w:r w:rsidR="00F43124" w:rsidRPr="00742A04">
        <w:t xml:space="preserve">de la </w:t>
      </w:r>
      <w:r w:rsidR="00A836A1" w:rsidRPr="00742A04">
        <w:t>Ombudsman</w:t>
      </w:r>
      <w:r w:rsidR="00545D1B" w:rsidRPr="00742A04">
        <w:t xml:space="preserve"> </w:t>
      </w:r>
      <w:r w:rsidR="00BB4DB1" w:rsidRPr="00742A04">
        <w:t xml:space="preserve">y el </w:t>
      </w:r>
      <w:r w:rsidR="00CD7AC7" w:rsidRPr="00742A04">
        <w:t>Trib</w:t>
      </w:r>
      <w:r w:rsidR="00CD7AC7" w:rsidRPr="00742A04">
        <w:t>u</w:t>
      </w:r>
      <w:r w:rsidR="00CD7AC7" w:rsidRPr="00742A04">
        <w:t>nal</w:t>
      </w:r>
      <w:r w:rsidR="00545D1B" w:rsidRPr="00742A04">
        <w:t xml:space="preserve">. </w:t>
      </w:r>
      <w:r w:rsidR="0056679F" w:rsidRPr="00742A04">
        <w:t>El Ombudsman del Storting</w:t>
      </w:r>
      <w:r w:rsidR="00545D1B" w:rsidRPr="00742A04">
        <w:t xml:space="preserve"> </w:t>
      </w:r>
      <w:r w:rsidR="0056679F" w:rsidRPr="00742A04">
        <w:t>para la</w:t>
      </w:r>
      <w:r w:rsidR="00545D1B" w:rsidRPr="00742A04">
        <w:t xml:space="preserve"> </w:t>
      </w:r>
      <w:r w:rsidR="0056679F" w:rsidRPr="00742A04">
        <w:t>Administración Pública</w:t>
      </w:r>
      <w:r w:rsidR="00C14BFF" w:rsidRPr="00742A04">
        <w:t xml:space="preserve"> </w:t>
      </w:r>
      <w:r w:rsidR="00545D1B" w:rsidRPr="00742A04">
        <w:t>(</w:t>
      </w:r>
      <w:r w:rsidR="0056679F" w:rsidRPr="00742A04">
        <w:t>el Ombudsman</w:t>
      </w:r>
      <w:r w:rsidR="004B0EC3" w:rsidRPr="00742A04">
        <w:t xml:space="preserve"> </w:t>
      </w:r>
      <w:r w:rsidR="0056679F" w:rsidRPr="00742A04">
        <w:t>Parlamen</w:t>
      </w:r>
      <w:r w:rsidR="00356229" w:rsidRPr="00742A04">
        <w:t>tario</w:t>
      </w:r>
      <w:r w:rsidR="00545D1B" w:rsidRPr="00742A04">
        <w:t xml:space="preserve">) </w:t>
      </w:r>
      <w:r w:rsidR="0030626A" w:rsidRPr="00742A04">
        <w:t>también</w:t>
      </w:r>
      <w:r w:rsidR="00545D1B" w:rsidRPr="00742A04">
        <w:t xml:space="preserve"> </w:t>
      </w:r>
      <w:r w:rsidR="00356229" w:rsidRPr="00742A04">
        <w:t xml:space="preserve">ha </w:t>
      </w:r>
      <w:r w:rsidR="00545D1B" w:rsidRPr="00742A04">
        <w:t>act</w:t>
      </w:r>
      <w:r w:rsidR="00356229" w:rsidRPr="00742A04">
        <w:t>uado sobre la base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56229" w:rsidRPr="00742A04">
        <w:t>este supuesto</w:t>
      </w:r>
      <w:r w:rsidR="00C14BFF" w:rsidRPr="00742A04">
        <w:t xml:space="preserve"> </w:t>
      </w:r>
      <w:r w:rsidR="00356229" w:rsidRPr="00742A04">
        <w:t>al conocer de</w:t>
      </w:r>
      <w:r w:rsidR="00545D1B" w:rsidRPr="00742A04">
        <w:t xml:space="preserve"> </w:t>
      </w:r>
      <w:r w:rsidR="004F07A7" w:rsidRPr="00742A04">
        <w:t>qu</w:t>
      </w:r>
      <w:r w:rsidR="004F07A7" w:rsidRPr="00742A04">
        <w:t>e</w:t>
      </w:r>
      <w:r w:rsidR="004F07A7" w:rsidRPr="00742A04">
        <w:t>jas</w:t>
      </w:r>
      <w:r w:rsidR="00545D1B" w:rsidRPr="00742A04">
        <w:t xml:space="preserve"> </w:t>
      </w:r>
      <w:r w:rsidR="00356229" w:rsidRPr="00742A04">
        <w:t>de que determinadas</w:t>
      </w:r>
      <w:r w:rsidR="00545D1B" w:rsidRPr="00742A04">
        <w:t xml:space="preserve"> </w:t>
      </w:r>
      <w:r w:rsidR="0056679F" w:rsidRPr="00742A04">
        <w:t>decisiones administrativas</w:t>
      </w:r>
      <w:r w:rsidR="00545D1B" w:rsidRPr="00742A04">
        <w:t xml:space="preserve"> constitu</w:t>
      </w:r>
      <w:r w:rsidR="00356229" w:rsidRPr="00742A04">
        <w:t>yen una violación</w:t>
      </w:r>
      <w:r w:rsidR="00545D1B" w:rsidRPr="00742A04">
        <w:t xml:space="preserve"> </w:t>
      </w:r>
      <w:r w:rsidR="00F43124" w:rsidRPr="00742A04">
        <w:t xml:space="preserve">de la </w:t>
      </w:r>
      <w:r w:rsidR="004B0EC3" w:rsidRPr="00742A04">
        <w:t xml:space="preserve">Ley sobre la </w:t>
      </w:r>
      <w:r w:rsidR="00116976" w:rsidRPr="00742A04">
        <w:t>Igualdad de Género</w:t>
      </w:r>
      <w:r w:rsidR="00545D1B" w:rsidRPr="00742A04">
        <w:t>.</w:t>
      </w:r>
    </w:p>
    <w:p w:rsidR="00545D1B" w:rsidRPr="00742A04" w:rsidRDefault="004B0EC3" w:rsidP="001C6426">
      <w:pPr>
        <w:pStyle w:val="SingleTxt"/>
        <w:ind w:firstLine="475"/>
      </w:pPr>
      <w:r w:rsidRPr="00742A04">
        <w:t>En lo tocante a</w:t>
      </w:r>
      <w:r w:rsidR="00545D1B" w:rsidRPr="00742A04">
        <w:t xml:space="preserve"> </w:t>
      </w:r>
      <w:r w:rsidRPr="00742A04">
        <w:t>las relaciones</w:t>
      </w:r>
      <w:r w:rsidR="00494EA8" w:rsidRPr="00742A04">
        <w:t xml:space="preserve"> </w:t>
      </w:r>
      <w:r w:rsidR="00F43124" w:rsidRPr="00742A04">
        <w:t xml:space="preserve">de la </w:t>
      </w:r>
      <w:r w:rsidR="00A836A1" w:rsidRPr="00742A04">
        <w:t>Ombudsman</w:t>
      </w:r>
      <w:r w:rsidR="00545D1B" w:rsidRPr="00742A04">
        <w:t xml:space="preserve"> </w:t>
      </w:r>
      <w:r w:rsidR="00BB4DB1" w:rsidRPr="00742A04">
        <w:t xml:space="preserve">y el </w:t>
      </w:r>
      <w:r w:rsidR="00CD7AC7" w:rsidRPr="00742A04">
        <w:t>Tribunal</w:t>
      </w:r>
      <w:r w:rsidR="001167D2" w:rsidRPr="00742A04">
        <w:t xml:space="preserve"> </w:t>
      </w:r>
      <w:r w:rsidRPr="00742A04">
        <w:t>con e</w:t>
      </w:r>
      <w:r w:rsidR="001167D2" w:rsidRPr="00742A04">
        <w:t xml:space="preserve">l </w:t>
      </w:r>
      <w:r w:rsidR="00BD47D3" w:rsidRPr="00742A04">
        <w:t>Storting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los tribunales</w:t>
      </w:r>
      <w:r w:rsidR="00545D1B" w:rsidRPr="00742A04">
        <w:t xml:space="preserve">, </w:t>
      </w:r>
      <w:r w:rsidRPr="00742A04">
        <w:t xml:space="preserve">los trabajos preparatorios </w:t>
      </w:r>
      <w:r w:rsidR="00F43124" w:rsidRPr="00742A04">
        <w:t xml:space="preserve">de la </w:t>
      </w:r>
      <w:r w:rsidR="00230F13" w:rsidRPr="00742A04">
        <w:t>Ley</w:t>
      </w:r>
      <w:r w:rsidR="00545D1B" w:rsidRPr="00742A04">
        <w:t xml:space="preserve"> </w:t>
      </w:r>
      <w:r w:rsidRPr="00742A04">
        <w:t>se fundan en</w:t>
      </w:r>
      <w:r w:rsidR="00545D1B" w:rsidRPr="00742A04">
        <w:t xml:space="preserve"> </w:t>
      </w:r>
      <w:r w:rsidRPr="00742A04">
        <w:t>los principios gen</w:t>
      </w:r>
      <w:r w:rsidRPr="00742A04">
        <w:t>e</w:t>
      </w:r>
      <w:r w:rsidRPr="00742A04">
        <w:t>rales constitucionales</w:t>
      </w:r>
      <w:r w:rsidR="00545D1B" w:rsidRPr="00742A04">
        <w:t xml:space="preserve"> </w:t>
      </w:r>
      <w:r w:rsidRPr="00742A04">
        <w:t>según los cuales un organismo administrativo</w:t>
      </w:r>
      <w:r w:rsidR="00545D1B" w:rsidRPr="00742A04">
        <w:t xml:space="preserve"> </w:t>
      </w:r>
      <w:r w:rsidRPr="00742A04">
        <w:t>no puede crit</w:t>
      </w:r>
      <w:r w:rsidRPr="00742A04">
        <w:t>i</w:t>
      </w:r>
      <w:r w:rsidRPr="00742A04">
        <w:t>car</w:t>
      </w:r>
      <w:r w:rsidR="00545D1B" w:rsidRPr="00742A04">
        <w:t xml:space="preserve"> </w:t>
      </w:r>
      <w:r w:rsidRPr="00742A04">
        <w:t>a los órganos mencionados ni rever lo hecho por ellos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Pr="00742A04">
        <w:t>la práctica</w:t>
      </w:r>
      <w:r w:rsidR="00545D1B" w:rsidRPr="00742A04">
        <w:t xml:space="preserve">, </w:t>
      </w:r>
      <w:r w:rsidRPr="00742A04">
        <w:t xml:space="preserve">tanto la </w:t>
      </w:r>
      <w:r w:rsidR="00A836A1" w:rsidRPr="00742A04">
        <w:t>Ombudsman</w:t>
      </w:r>
      <w:r w:rsidR="00545D1B" w:rsidRPr="00742A04">
        <w:t xml:space="preserve"> </w:t>
      </w:r>
      <w:r w:rsidR="00673B5D" w:rsidRPr="00742A04">
        <w:t>como</w:t>
      </w:r>
      <w:r w:rsidR="00BB4DB1" w:rsidRPr="00742A04">
        <w:t xml:space="preserve"> el </w:t>
      </w:r>
      <w:r w:rsidR="00CD7AC7" w:rsidRPr="00742A04">
        <w:t>Tribunal</w:t>
      </w:r>
      <w:r w:rsidR="00545D1B" w:rsidRPr="00742A04">
        <w:t xml:space="preserve"> ha</w:t>
      </w:r>
      <w:r w:rsidR="00673B5D" w:rsidRPr="00742A04">
        <w:t>n emitido</w:t>
      </w:r>
      <w:r w:rsidR="00545D1B" w:rsidRPr="00742A04">
        <w:t xml:space="preserve"> </w:t>
      </w:r>
      <w:r w:rsidR="00581775" w:rsidRPr="00742A04">
        <w:t>dictámenes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73B5D" w:rsidRPr="00742A04">
        <w:t>los que han tomado pos</w:t>
      </w:r>
      <w:r w:rsidR="00673B5D" w:rsidRPr="00742A04">
        <w:t>i</w:t>
      </w:r>
      <w:r w:rsidR="00673B5D" w:rsidRPr="00742A04">
        <w:t xml:space="preserve">ción acerca </w:t>
      </w:r>
      <w:r w:rsidR="00F43124" w:rsidRPr="00742A04">
        <w:t xml:space="preserve">de la </w:t>
      </w:r>
      <w:r w:rsidR="005E2D7A" w:rsidRPr="00742A04">
        <w:t>cuestión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673B5D" w:rsidRPr="00742A04">
        <w:t>determinadas disposiciones legislativas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contr</w:t>
      </w:r>
      <w:r w:rsidR="00545D1B" w:rsidRPr="00742A04">
        <w:t>a</w:t>
      </w:r>
      <w:r w:rsidR="00545D1B" w:rsidRPr="00742A04">
        <w:t>r</w:t>
      </w:r>
      <w:r w:rsidR="00673B5D" w:rsidRPr="00742A04">
        <w:t>ias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prohibi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673B5D" w:rsidRPr="00742A04">
        <w:t>discriminación directa o indirecta contenida en la Ley sobre la Igualdad de Género</w:t>
      </w:r>
      <w:r w:rsidR="00545D1B" w:rsidRPr="00742A04">
        <w:t xml:space="preserve">. </w:t>
      </w:r>
      <w:r w:rsidR="00673B5D" w:rsidRPr="00742A04">
        <w:t>La última vez</w:t>
      </w:r>
      <w:r w:rsidR="00545D1B" w:rsidRPr="00742A04">
        <w:t xml:space="preserve"> </w:t>
      </w:r>
      <w:r w:rsidR="00673B5D" w:rsidRPr="00742A04">
        <w:t>que</w:t>
      </w:r>
      <w:r w:rsidR="00614C7D" w:rsidRPr="00742A04">
        <w:t xml:space="preserve"> la </w:t>
      </w:r>
      <w:r w:rsidR="00A836A1" w:rsidRPr="00742A04">
        <w:t>Ombudsman</w:t>
      </w:r>
      <w:r w:rsidR="00545D1B" w:rsidRPr="00742A04">
        <w:t xml:space="preserve"> </w:t>
      </w:r>
      <w:r w:rsidR="00BB4DB1" w:rsidRPr="00742A04">
        <w:t xml:space="preserve">y el </w:t>
      </w:r>
      <w:r w:rsidR="00CD7AC7" w:rsidRPr="00742A04">
        <w:t>Tribunal</w:t>
      </w:r>
      <w:r w:rsidR="00545D1B" w:rsidRPr="00742A04">
        <w:t xml:space="preserve"> </w:t>
      </w:r>
      <w:r w:rsidR="00673B5D" w:rsidRPr="00742A04">
        <w:t>procedieron de tal modo fue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73B5D" w:rsidRPr="00742A04">
        <w:t>relación con un</w:t>
      </w:r>
      <w:r w:rsidR="00545D1B" w:rsidRPr="00742A04">
        <w:t xml:space="preserve">a </w:t>
      </w:r>
      <w:r w:rsidR="008E5EBF" w:rsidRPr="00742A04">
        <w:t>queja</w:t>
      </w:r>
      <w:r w:rsidR="00545D1B" w:rsidRPr="00742A04">
        <w:t xml:space="preserve"> </w:t>
      </w:r>
      <w:r w:rsidR="00EA6AC2" w:rsidRPr="00742A04">
        <w:t>relati</w:t>
      </w:r>
      <w:r w:rsidR="00673B5D" w:rsidRPr="00742A04">
        <w:t>va</w:t>
      </w:r>
      <w:r w:rsidR="00EA6AC2" w:rsidRPr="00742A04">
        <w:t xml:space="preserve"> a</w:t>
      </w:r>
      <w:r w:rsidR="00673B5D" w:rsidRPr="00742A04">
        <w:t>l</w:t>
      </w:r>
      <w:r w:rsidR="00545D1B" w:rsidRPr="00742A04">
        <w:t xml:space="preserve"> </w:t>
      </w:r>
      <w:r w:rsidR="008E5EBF" w:rsidRPr="00742A04">
        <w:t>trato diferencial</w:t>
      </w:r>
      <w:r w:rsidR="00545D1B" w:rsidRPr="00742A04">
        <w:t xml:space="preserve"> </w:t>
      </w:r>
      <w:r w:rsidR="00673B5D" w:rsidRPr="00742A04">
        <w:t>que la Ley de Biotecnología da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dona</w:t>
      </w:r>
      <w:r w:rsidR="00C14BFF" w:rsidRPr="00742A04">
        <w:t xml:space="preserve">ción </w:t>
      </w:r>
      <w:r w:rsidR="00673B5D" w:rsidRPr="00742A04">
        <w:t xml:space="preserve">de óvulos </w:t>
      </w:r>
      <w:r w:rsidR="00877AA0" w:rsidRPr="00742A04">
        <w:t>y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dona</w:t>
      </w:r>
      <w:r w:rsidR="00C27C42" w:rsidRPr="00742A04">
        <w:t>ci</w:t>
      </w:r>
      <w:r w:rsidR="00C14BFF" w:rsidRPr="00742A04">
        <w:t>ón</w:t>
      </w:r>
      <w:r w:rsidR="00673B5D" w:rsidRPr="00742A04">
        <w:t xml:space="preserve"> de esperma</w:t>
      </w:r>
      <w:r w:rsidR="00C27C42" w:rsidRPr="00742A04">
        <w:t>.</w:t>
      </w:r>
      <w:r w:rsidR="00545D1B" w:rsidRPr="00742A04">
        <w:t xml:space="preserve"> </w:t>
      </w:r>
      <w:r w:rsidR="00CD7AC7" w:rsidRPr="00742A04">
        <w:t>El Tribunal</w:t>
      </w:r>
      <w:r w:rsidR="00545D1B" w:rsidRPr="00742A04">
        <w:t xml:space="preserve"> </w:t>
      </w:r>
      <w:r w:rsidR="00673B5D" w:rsidRPr="00742A04">
        <w:t>no abordó la</w:t>
      </w:r>
      <w:r w:rsidR="00545D1B" w:rsidRPr="00742A04">
        <w:t xml:space="preserve"> </w:t>
      </w:r>
      <w:r w:rsidR="00673B5D" w:rsidRPr="00742A04">
        <w:t>cuestión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673B5D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73B5D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673B5D" w:rsidRPr="00742A04">
        <w:t>eran tratados</w:t>
      </w:r>
      <w:r w:rsidR="00545D1B" w:rsidRPr="00742A04">
        <w:t xml:space="preserve"> </w:t>
      </w:r>
      <w:r w:rsidR="00673B5D" w:rsidRPr="00742A04">
        <w:t>diferentemente</w:t>
      </w:r>
      <w:r w:rsidR="00545D1B" w:rsidRPr="00742A04">
        <w:t xml:space="preserve">, </w:t>
      </w:r>
      <w:r w:rsidR="00E77E20" w:rsidRPr="00742A04">
        <w:t>p</w:t>
      </w:r>
      <w:r w:rsidR="00E77E20" w:rsidRPr="00742A04">
        <w:t>e</w:t>
      </w:r>
      <w:r w:rsidR="00E77E20" w:rsidRPr="00742A04">
        <w:t>ro</w:t>
      </w:r>
      <w:r w:rsidR="00545D1B" w:rsidRPr="00742A04">
        <w:t xml:space="preserve"> conclu</w:t>
      </w:r>
      <w:r w:rsidR="00673B5D" w:rsidRPr="00742A04">
        <w:t>yó</w:t>
      </w:r>
      <w:r w:rsidR="00545D1B" w:rsidRPr="00742A04">
        <w:t xml:space="preserve"> </w:t>
      </w:r>
      <w:r w:rsidR="00356229" w:rsidRPr="00742A04">
        <w:t>sobre la base</w:t>
      </w:r>
      <w:r w:rsidR="00545D1B" w:rsidRPr="00742A04">
        <w:t xml:space="preserve"> </w:t>
      </w:r>
      <w:r w:rsidR="00C076F2" w:rsidRPr="00742A04">
        <w:t xml:space="preserve">de los </w:t>
      </w:r>
      <w:r w:rsidR="00673B5D" w:rsidRPr="00742A04">
        <w:t>principios generales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interpreta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673B5D" w:rsidRPr="00742A04">
        <w:t>precede</w:t>
      </w:r>
      <w:r w:rsidR="00673B5D" w:rsidRPr="00742A04">
        <w:t>n</w:t>
      </w:r>
      <w:r w:rsidR="00673B5D" w:rsidRPr="00742A04">
        <w:t>cia legislativa</w:t>
      </w:r>
      <w:r w:rsidR="00545D1B" w:rsidRPr="00742A04">
        <w:t xml:space="preserve"> </w:t>
      </w:r>
      <w:r w:rsidR="00673B5D" w:rsidRPr="00742A04">
        <w:t>que</w:t>
      </w:r>
      <w:r w:rsidR="00545D1B" w:rsidRPr="00742A04">
        <w:t xml:space="preserve"> </w:t>
      </w:r>
      <w:r w:rsidR="008E5EBF" w:rsidRPr="00742A04">
        <w:t>la prohibición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73B5D" w:rsidRPr="00742A04">
        <w:t>donación de óvulos</w:t>
      </w:r>
      <w:r w:rsidR="00C14BFF" w:rsidRPr="00742A04">
        <w:t xml:space="preserve"> </w:t>
      </w:r>
      <w:r w:rsidR="001F255C">
        <w:t>no era</w:t>
      </w:r>
      <w:r w:rsidR="00673B5D" w:rsidRPr="00742A04">
        <w:t xml:space="preserve"> una violación</w:t>
      </w:r>
      <w:r w:rsidR="00545D1B" w:rsidRPr="00742A04">
        <w:t xml:space="preserve"> </w:t>
      </w:r>
      <w:r w:rsidR="00F43124" w:rsidRPr="00742A04">
        <w:t xml:space="preserve">de la </w:t>
      </w:r>
      <w:r w:rsidR="00A05847" w:rsidRPr="00742A04">
        <w:t>Ley sobre la Igualdad de Género</w:t>
      </w:r>
      <w:r w:rsidR="00545D1B" w:rsidRPr="00742A04">
        <w:t xml:space="preserve"> (</w:t>
      </w:r>
      <w:r w:rsidR="00673B5D" w:rsidRPr="00742A04">
        <w:t>caso</w:t>
      </w:r>
      <w:r w:rsidR="00545D1B" w:rsidRPr="00742A04">
        <w:t xml:space="preserve"> </w:t>
      </w:r>
      <w:r w:rsidR="00F97F41" w:rsidRPr="00742A04">
        <w:t>N°</w:t>
      </w:r>
      <w:r w:rsidR="00545D1B" w:rsidRPr="00742A04">
        <w:t xml:space="preserve"> 9/2006</w:t>
      </w:r>
      <w:r w:rsidR="00673B5D" w:rsidRPr="00742A04">
        <w:t xml:space="preserve"> del Tr</w:t>
      </w:r>
      <w:r w:rsidR="00673B5D" w:rsidRPr="00742A04">
        <w:t>i</w:t>
      </w:r>
      <w:r w:rsidR="00673B5D" w:rsidRPr="00742A04">
        <w:t>bunal</w:t>
      </w:r>
      <w:r w:rsidR="00545D1B" w:rsidRPr="00742A04">
        <w:t>).</w:t>
      </w:r>
    </w:p>
    <w:p w:rsidR="002D182E" w:rsidRPr="00742A04" w:rsidRDefault="002D182E" w:rsidP="002D182E">
      <w:pPr>
        <w:pStyle w:val="H1"/>
        <w:spacing w:line="120" w:lineRule="exact"/>
        <w:ind w:left="2534" w:right="1260" w:hanging="1267"/>
        <w:rPr>
          <w:bCs/>
          <w:sz w:val="10"/>
          <w:szCs w:val="24"/>
        </w:rPr>
      </w:pPr>
      <w:bookmarkStart w:id="5" w:name="_Toc131924661"/>
      <w:bookmarkStart w:id="6" w:name="_Toc147129450"/>
    </w:p>
    <w:p w:rsidR="002D182E" w:rsidRPr="00742A04" w:rsidRDefault="00814B5D" w:rsidP="005176A8">
      <w:pPr>
        <w:pStyle w:val="H23"/>
        <w:ind w:left="1267"/>
        <w:rPr>
          <w:bCs/>
          <w:szCs w:val="24"/>
        </w:rPr>
      </w:pPr>
      <w:r w:rsidRPr="00742A04">
        <w:rPr>
          <w:bCs/>
          <w:szCs w:val="24"/>
        </w:rPr>
        <w:t>Artículo</w:t>
      </w:r>
      <w:r w:rsidR="002D182E" w:rsidRPr="00742A04">
        <w:rPr>
          <w:bCs/>
          <w:szCs w:val="24"/>
        </w:rPr>
        <w:t xml:space="preserve"> 2</w:t>
      </w:r>
      <w:r w:rsidR="0056679F" w:rsidRPr="00742A04">
        <w:rPr>
          <w:bCs/>
          <w:szCs w:val="24"/>
        </w:rPr>
        <w:t xml:space="preserve"> </w:t>
      </w:r>
      <w:r w:rsidR="002D182E" w:rsidRPr="00742A04">
        <w:rPr>
          <w:bCs/>
          <w:i/>
          <w:szCs w:val="24"/>
        </w:rPr>
        <w:t>d</w:t>
      </w:r>
    </w:p>
    <w:p w:rsidR="00545D1B" w:rsidRPr="00742A04" w:rsidRDefault="00A05847" w:rsidP="005176A8">
      <w:pPr>
        <w:pStyle w:val="H23"/>
        <w:ind w:left="1267"/>
        <w:rPr>
          <w:bCs/>
          <w:szCs w:val="24"/>
        </w:rPr>
      </w:pPr>
      <w:r w:rsidRPr="00742A04">
        <w:rPr>
          <w:bCs/>
          <w:szCs w:val="24"/>
        </w:rPr>
        <w:t>Esfuerzos de las au</w:t>
      </w:r>
      <w:r w:rsidR="001F255C">
        <w:rPr>
          <w:bCs/>
          <w:szCs w:val="24"/>
        </w:rPr>
        <w:t>toridades públicas por</w:t>
      </w:r>
      <w:r w:rsidR="001F255C">
        <w:rPr>
          <w:bCs/>
          <w:szCs w:val="24"/>
        </w:rPr>
        <w:br/>
      </w:r>
      <w:r w:rsidR="002D182E" w:rsidRPr="00742A04">
        <w:rPr>
          <w:bCs/>
          <w:szCs w:val="24"/>
        </w:rPr>
        <w:t>promover</w:t>
      </w:r>
      <w:r w:rsidR="001F255C">
        <w:rPr>
          <w:bCs/>
          <w:szCs w:val="24"/>
        </w:rPr>
        <w:t xml:space="preserve"> </w:t>
      </w:r>
      <w:r w:rsidRPr="00742A04">
        <w:rPr>
          <w:bCs/>
          <w:szCs w:val="24"/>
        </w:rPr>
        <w:t>la igualdad de género</w:t>
      </w:r>
      <w:bookmarkEnd w:id="5"/>
      <w:bookmarkEnd w:id="6"/>
    </w:p>
    <w:p w:rsidR="002D182E" w:rsidRPr="00742A04" w:rsidRDefault="002D182E" w:rsidP="002D182E">
      <w:pPr>
        <w:pStyle w:val="SingleTxt"/>
        <w:spacing w:after="0" w:line="120" w:lineRule="exact"/>
        <w:rPr>
          <w:sz w:val="10"/>
        </w:rPr>
      </w:pPr>
    </w:p>
    <w:p w:rsidR="00545D1B" w:rsidRPr="00742A04" w:rsidRDefault="00A05847" w:rsidP="001C6426">
      <w:pPr>
        <w:pStyle w:val="SingleTxt"/>
        <w:ind w:firstLine="475"/>
      </w:pPr>
      <w:r w:rsidRPr="00742A04">
        <w:t>La Ley sobre la Igualdad de Género</w:t>
      </w:r>
      <w:r w:rsidR="00545D1B" w:rsidRPr="00742A04">
        <w:t xml:space="preserve"> </w:t>
      </w:r>
      <w:r w:rsidR="00552048" w:rsidRPr="00742A04">
        <w:t>exige que</w:t>
      </w:r>
      <w:r w:rsidR="00545D1B" w:rsidRPr="00742A04">
        <w:t xml:space="preserve"> </w:t>
      </w:r>
      <w:r w:rsidR="00552048" w:rsidRPr="00742A04">
        <w:t>las autoridades públicas</w:t>
      </w:r>
      <w:r w:rsidR="00545D1B" w:rsidRPr="00742A04">
        <w:t xml:space="preserve"> </w:t>
      </w:r>
      <w:r w:rsidR="00552048" w:rsidRPr="00742A04">
        <w:t>hagan</w:t>
      </w:r>
      <w:r w:rsidR="00545D1B" w:rsidRPr="00742A04">
        <w:t xml:space="preserve"> </w:t>
      </w:r>
      <w:r w:rsidR="00552048" w:rsidRPr="00742A04">
        <w:t xml:space="preserve">esfuerzos sistemáticos y </w:t>
      </w:r>
      <w:r w:rsidR="00B146CA" w:rsidRPr="00742A04">
        <w:t>claramente enfocados</w:t>
      </w:r>
      <w:r w:rsidR="00552048" w:rsidRPr="00742A04">
        <w:t xml:space="preserve"> </w:t>
      </w:r>
      <w:r w:rsidR="00935A90" w:rsidRPr="00742A04">
        <w:t xml:space="preserve">por </w:t>
      </w:r>
      <w:r w:rsidR="00502E16" w:rsidRPr="00742A04">
        <w:t>promover la igualdad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</w:t>
      </w:r>
      <w:r w:rsidR="00072AD7" w:rsidRPr="00742A04">
        <w:t>e</w:t>
      </w:r>
      <w:r w:rsidR="00072AD7" w:rsidRPr="00742A04">
        <w:t>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todas las esferas</w:t>
      </w:r>
      <w:r w:rsidR="00545D1B" w:rsidRPr="00742A04">
        <w:t xml:space="preserve"> </w:t>
      </w:r>
      <w:r w:rsidR="00F43124" w:rsidRPr="00742A04">
        <w:t xml:space="preserve">de la </w:t>
      </w:r>
      <w:r w:rsidR="000A5430" w:rsidRPr="00742A04">
        <w:t>sociedad</w:t>
      </w:r>
      <w:r w:rsidR="00545D1B" w:rsidRPr="00742A04">
        <w:t xml:space="preserve">. </w:t>
      </w:r>
      <w:r w:rsidR="00552048" w:rsidRPr="00742A04">
        <w:t>Para cumplir esta</w:t>
      </w:r>
      <w:r w:rsidR="00545D1B" w:rsidRPr="00742A04">
        <w:t xml:space="preserve"> obliga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552048" w:rsidRPr="00742A04">
        <w:t>compromiso activo</w:t>
      </w:r>
      <w:r w:rsidR="00545D1B" w:rsidRPr="00742A04">
        <w:t xml:space="preserve">, </w:t>
      </w:r>
      <w:r w:rsidR="00EA26AB" w:rsidRPr="00742A04">
        <w:t>Noruega</w:t>
      </w:r>
      <w:r w:rsidR="00545D1B" w:rsidRPr="00742A04">
        <w:t xml:space="preserve"> ha</w:t>
      </w:r>
      <w:r w:rsidR="00552048" w:rsidRPr="00742A04">
        <w:t xml:space="preserve"> seguido una</w:t>
      </w:r>
      <w:r w:rsidR="00545D1B" w:rsidRPr="00742A04">
        <w:t xml:space="preserve"> </w:t>
      </w:r>
      <w:r w:rsidR="00552048" w:rsidRPr="00742A04">
        <w:t>política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integra</w:t>
      </w:r>
      <w:r w:rsidR="00552048" w:rsidRPr="00742A04">
        <w:t>r</w:t>
      </w:r>
      <w:r w:rsidR="00545D1B" w:rsidRPr="00742A04">
        <w:t xml:space="preserve"> </w:t>
      </w:r>
      <w:r w:rsidR="00552048" w:rsidRPr="00742A04">
        <w:t>una perspectiv</w:t>
      </w:r>
      <w:r w:rsidR="00545D1B" w:rsidRPr="00742A04">
        <w:t>a</w:t>
      </w:r>
      <w:r w:rsidR="00552048" w:rsidRPr="00742A04">
        <w:t xml:space="preserve"> de</w:t>
      </w:r>
      <w:r w:rsidR="00545D1B" w:rsidRPr="00742A04">
        <w:t xml:space="preserve"> </w:t>
      </w:r>
      <w:r w:rsidR="00A836A1" w:rsidRPr="00742A04">
        <w:t>género</w:t>
      </w:r>
      <w:r w:rsidR="002E5047" w:rsidRPr="00742A04">
        <w:t xml:space="preserve"> e i</w:t>
      </w:r>
      <w:r w:rsidR="00502E16" w:rsidRPr="00742A04">
        <w:t>gualdad</w:t>
      </w:r>
      <w:r w:rsidR="00545D1B" w:rsidRPr="00742A04">
        <w:t xml:space="preserve"> </w:t>
      </w:r>
      <w:r w:rsidR="00552048" w:rsidRPr="00742A04">
        <w:t>en</w:t>
      </w:r>
      <w:r w:rsidR="00545D1B" w:rsidRPr="00742A04">
        <w:t xml:space="preserve"> </w:t>
      </w:r>
      <w:r w:rsidR="000A5430" w:rsidRPr="00742A04">
        <w:t>todas las esferas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52048" w:rsidRPr="00742A04">
        <w:t>política</w:t>
      </w:r>
      <w:r w:rsidR="00545D1B" w:rsidRPr="00742A04">
        <w:t xml:space="preserve"> (</w:t>
      </w:r>
      <w:r w:rsidR="00552048" w:rsidRPr="00742A04">
        <w:t xml:space="preserve">incorporación </w:t>
      </w:r>
      <w:r w:rsidR="00F43124" w:rsidRPr="00742A04">
        <w:t xml:space="preserve">de la </w:t>
      </w:r>
      <w:r w:rsidR="00552048" w:rsidRPr="00742A04">
        <w:t>perspectiva de género</w:t>
      </w:r>
      <w:r w:rsidR="00545D1B" w:rsidRPr="00742A04">
        <w:t xml:space="preserve">) </w:t>
      </w:r>
      <w:r w:rsidR="00C14BFF" w:rsidRPr="00742A04">
        <w:t>en</w:t>
      </w:r>
      <w:r w:rsidR="00545D1B" w:rsidRPr="00742A04">
        <w:t xml:space="preserve"> </w:t>
      </w:r>
      <w:r w:rsidR="00552048" w:rsidRPr="00742A04">
        <w:t xml:space="preserve">la </w:t>
      </w:r>
      <w:r w:rsidR="000248A9" w:rsidRPr="00742A04">
        <w:t>administr</w:t>
      </w:r>
      <w:r w:rsidR="00552048" w:rsidRPr="00742A04">
        <w:t>ación gubernamental central</w:t>
      </w:r>
      <w:r w:rsidR="00C14BFF" w:rsidRPr="00742A04">
        <w:t xml:space="preserve"> </w:t>
      </w:r>
      <w:r w:rsidR="00B34971" w:rsidRPr="00742A04">
        <w:t>a partir de</w:t>
      </w:r>
      <w:r w:rsidR="00545D1B" w:rsidRPr="00742A04">
        <w:t xml:space="preserve"> </w:t>
      </w:r>
      <w:r w:rsidR="00552048" w:rsidRPr="00742A04">
        <w:t>mediados del decenio de 1980. El</w:t>
      </w:r>
      <w:r w:rsidR="00AD0883" w:rsidRPr="00742A04">
        <w:t xml:space="preserve"> proceso de formulación </w:t>
      </w:r>
      <w:r w:rsidR="00F43124" w:rsidRPr="00742A04">
        <w:t xml:space="preserve">de la </w:t>
      </w:r>
      <w:r w:rsidR="00AD0883" w:rsidRPr="00742A04">
        <w:t xml:space="preserve">estrategia de integración y asignación de responsabilidades en la </w:t>
      </w:r>
      <w:r w:rsidR="00552048" w:rsidRPr="00742A04">
        <w:t>materia</w:t>
      </w:r>
      <w:r w:rsidR="00AD0883" w:rsidRPr="00742A04">
        <w:t xml:space="preserve"> hasta</w:t>
      </w:r>
      <w:r w:rsidR="00545D1B" w:rsidRPr="00742A04">
        <w:t xml:space="preserve"> 2001 </w:t>
      </w:r>
      <w:r w:rsidR="00552048" w:rsidRPr="00742A04">
        <w:t>se</w:t>
      </w:r>
      <w:r w:rsidR="00545D1B" w:rsidRPr="00742A04">
        <w:t xml:space="preserve"> describ</w:t>
      </w:r>
      <w:r w:rsidR="00552048" w:rsidRPr="00742A04">
        <w:t>ió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2048" w:rsidRPr="00742A04">
        <w:t>el sexto informe periód</w:t>
      </w:r>
      <w:r w:rsidR="00552048" w:rsidRPr="00742A04">
        <w:t>i</w:t>
      </w:r>
      <w:r w:rsidR="00552048" w:rsidRPr="00742A04">
        <w:t>co de Noruega</w:t>
      </w:r>
      <w:r w:rsidR="00545D1B" w:rsidRPr="00742A04">
        <w:t xml:space="preserve"> </w:t>
      </w:r>
      <w:r w:rsidR="00552048" w:rsidRPr="00742A04">
        <w:t>en relación con el artículo</w:t>
      </w:r>
      <w:r w:rsidR="00545D1B" w:rsidRPr="00742A04">
        <w:t xml:space="preserve"> 2 d. </w:t>
      </w:r>
      <w:r w:rsidR="00B34971" w:rsidRPr="00742A04">
        <w:t>A partir de</w:t>
      </w:r>
      <w:r w:rsidR="00545D1B" w:rsidRPr="00742A04">
        <w:t xml:space="preserve"> 2001, </w:t>
      </w:r>
      <w:r w:rsidR="00502E16" w:rsidRPr="00742A04">
        <w:t xml:space="preserve">los </w:t>
      </w:r>
      <w:r w:rsidR="00935A90" w:rsidRPr="00742A04">
        <w:t xml:space="preserve">esfuerzos por </w:t>
      </w:r>
      <w:r w:rsidR="00545D1B" w:rsidRPr="00742A04">
        <w:t>i</w:t>
      </w:r>
      <w:r w:rsidR="00545D1B" w:rsidRPr="00742A04">
        <w:t>n</w:t>
      </w:r>
      <w:r w:rsidR="00545D1B" w:rsidRPr="00742A04">
        <w:t>tegra</w:t>
      </w:r>
      <w:r w:rsidR="00552048" w:rsidRPr="00742A04">
        <w:t>r</w:t>
      </w:r>
      <w:r w:rsidR="00545D1B" w:rsidRPr="00742A04">
        <w:t xml:space="preserve"> </w:t>
      </w:r>
      <w:r w:rsidR="00552048" w:rsidRPr="00742A04">
        <w:t>una perspectiva de género e igualdad</w:t>
      </w:r>
      <w:r w:rsidR="00545D1B" w:rsidRPr="00742A04">
        <w:t xml:space="preserve"> </w:t>
      </w:r>
      <w:r w:rsidR="0067405D" w:rsidRPr="00742A04">
        <w:t>en la labor relativa al presupuesto del Estado</w:t>
      </w:r>
      <w:r w:rsidR="00545D1B" w:rsidRPr="00742A04">
        <w:t xml:space="preserve"> (</w:t>
      </w:r>
      <w:r w:rsidR="0067405D" w:rsidRPr="00742A04">
        <w:t>presupuestación con perspectiva de género</w:t>
      </w:r>
      <w:r w:rsidR="00545D1B" w:rsidRPr="00742A04">
        <w:t xml:space="preserve">) </w:t>
      </w:r>
      <w:r w:rsidR="0067405D" w:rsidRPr="00742A04">
        <w:t>se han seguido ampliando hasta abarcar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0626A" w:rsidRPr="00742A04">
        <w:t xml:space="preserve">todos los </w:t>
      </w:r>
      <w:r w:rsidR="008F0C8E" w:rsidRPr="00742A04">
        <w:t>ministerios</w:t>
      </w:r>
      <w:r w:rsidR="00545D1B" w:rsidRPr="00742A04">
        <w:t>.</w:t>
      </w:r>
      <w:r w:rsidR="001167D2" w:rsidRPr="00742A04">
        <w:t xml:space="preserve"> </w:t>
      </w:r>
      <w:r w:rsidR="0067405D" w:rsidRPr="00742A04">
        <w:t>E</w:t>
      </w:r>
      <w:r w:rsidR="001167D2" w:rsidRPr="00742A04">
        <w:t>l</w:t>
      </w:r>
      <w:r w:rsidR="0067405D" w:rsidRPr="00742A04">
        <w:t xml:space="preserve"> primer Anexo sobre igualdad de género adjuntado por el </w:t>
      </w:r>
      <w:r w:rsidR="008A38B9" w:rsidRPr="00742A04">
        <w:t xml:space="preserve">Ministerio </w:t>
      </w:r>
      <w:r w:rsidR="00F43124" w:rsidRPr="00742A04">
        <w:t xml:space="preserve">de la </w:t>
      </w:r>
      <w:r w:rsidR="008A38B9" w:rsidRPr="00742A04">
        <w:t>Infancia y Asuntos</w:t>
      </w:r>
      <w:r w:rsidR="001F255C">
        <w:t xml:space="preserve"> de Familia</w:t>
      </w:r>
      <w:r w:rsidR="001E30D6" w:rsidRPr="00742A04">
        <w:t xml:space="preserve"> una </w:t>
      </w:r>
      <w:r w:rsidR="00545D1B" w:rsidRPr="00742A04">
        <w:t>Proposi</w:t>
      </w:r>
      <w:r w:rsidR="00C14BFF" w:rsidRPr="00742A04">
        <w:t xml:space="preserve">ción </w:t>
      </w:r>
      <w:r w:rsidR="00F97F41" w:rsidRPr="00742A04">
        <w:t>N°</w:t>
      </w:r>
      <w:r w:rsidR="00545D1B" w:rsidRPr="00742A04">
        <w:t xml:space="preserve"> 1</w:t>
      </w:r>
      <w:r w:rsidR="001167D2" w:rsidRPr="00742A04">
        <w:t xml:space="preserve"> al </w:t>
      </w:r>
      <w:r w:rsidR="00BD47D3" w:rsidRPr="00742A04">
        <w:t>Sto</w:t>
      </w:r>
      <w:r w:rsidR="00BD47D3" w:rsidRPr="00742A04">
        <w:t>r</w:t>
      </w:r>
      <w:r w:rsidR="00BD47D3" w:rsidRPr="00742A04">
        <w:t>ting</w:t>
      </w:r>
      <w:r w:rsidR="00545D1B" w:rsidRPr="00742A04">
        <w:t xml:space="preserve"> </w:t>
      </w:r>
      <w:r w:rsidR="0067405D" w:rsidRPr="00742A04">
        <w:t>fue presentado en el otoño de</w:t>
      </w:r>
      <w:r w:rsidR="00545D1B" w:rsidRPr="00742A04">
        <w:t xml:space="preserve"> 2002 </w:t>
      </w:r>
      <w:r w:rsidR="00877AA0" w:rsidRPr="00742A04">
        <w:t>y</w:t>
      </w:r>
      <w:r w:rsidR="00545D1B" w:rsidRPr="00742A04">
        <w:t xml:space="preserve"> cont</w:t>
      </w:r>
      <w:r w:rsidR="0067405D" w:rsidRPr="00742A04">
        <w:t>enía aportes de ocho</w:t>
      </w:r>
      <w:r w:rsidR="00545D1B" w:rsidRPr="00742A04">
        <w:t xml:space="preserve"> </w:t>
      </w:r>
      <w:r w:rsidR="00603216" w:rsidRPr="00742A04">
        <w:t>ministerios</w:t>
      </w:r>
      <w:r w:rsidR="00545D1B" w:rsidRPr="00742A04">
        <w:t xml:space="preserve">. </w:t>
      </w:r>
      <w:r w:rsidR="0067405D" w:rsidRPr="00742A04">
        <w:t>El trabajo fue</w:t>
      </w:r>
      <w:r w:rsidR="00545D1B" w:rsidRPr="00742A04">
        <w:t xml:space="preserve"> coordina</w:t>
      </w:r>
      <w:r w:rsidR="0067405D" w:rsidRPr="00742A04">
        <w:t>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dir</w:t>
      </w:r>
      <w:r w:rsidR="0067405D" w:rsidRPr="00742A04">
        <w:t>igido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4A0730" w:rsidRPr="00742A04">
        <w:t xml:space="preserve">el </w:t>
      </w:r>
      <w:r w:rsidR="008A38B9" w:rsidRPr="00742A04">
        <w:t xml:space="preserve">Ministerio </w:t>
      </w:r>
      <w:r w:rsidR="00F43124" w:rsidRPr="00742A04">
        <w:t xml:space="preserve">de la </w:t>
      </w:r>
      <w:r w:rsidR="008A38B9" w:rsidRPr="00742A04">
        <w:t>Infancia y Asuntos de F</w:t>
      </w:r>
      <w:r w:rsidR="008A38B9" w:rsidRPr="00742A04">
        <w:t>a</w:t>
      </w:r>
      <w:r w:rsidR="008A38B9" w:rsidRPr="00742A04">
        <w:t>milia</w:t>
      </w:r>
      <w:r w:rsidR="00545D1B" w:rsidRPr="00742A04">
        <w:t>.</w:t>
      </w: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2005 </w:t>
      </w:r>
      <w:r w:rsidR="008F0C8E" w:rsidRPr="00742A04">
        <w:t>el Gobierno</w:t>
      </w:r>
      <w:r w:rsidR="00545D1B" w:rsidRPr="00742A04">
        <w:t xml:space="preserve"> </w:t>
      </w:r>
      <w:r w:rsidR="0067405D" w:rsidRPr="00742A04">
        <w:t>que entonces estaba en funciones</w:t>
      </w:r>
      <w:r w:rsidR="00545D1B" w:rsidRPr="00742A04">
        <w:t xml:space="preserve"> decid</w:t>
      </w:r>
      <w:r w:rsidR="0067405D" w:rsidRPr="00742A04">
        <w:t>ió</w:t>
      </w:r>
      <w:r w:rsidR="00545D1B" w:rsidRPr="00742A04">
        <w:t xml:space="preserve"> intensif</w:t>
      </w:r>
      <w:r w:rsidR="0067405D" w:rsidRPr="00742A04">
        <w:t>icar esos</w:t>
      </w:r>
      <w:r w:rsidR="00502E16" w:rsidRPr="00742A04">
        <w:t xml:space="preserve"> esfuerzos</w:t>
      </w:r>
      <w:r w:rsidR="00545D1B" w:rsidRPr="00742A04">
        <w:t xml:space="preserve"> </w:t>
      </w:r>
      <w:r w:rsidR="0067405D" w:rsidRPr="00742A04">
        <w:t xml:space="preserve">pidiendo a cada uno </w:t>
      </w:r>
      <w:r w:rsidR="00C076F2" w:rsidRPr="00742A04">
        <w:t xml:space="preserve">de los </w:t>
      </w:r>
      <w:r w:rsidR="00545D1B" w:rsidRPr="00742A04">
        <w:t>minist</w:t>
      </w:r>
      <w:r w:rsidR="0067405D" w:rsidRPr="00742A04">
        <w:t xml:space="preserve">erios que realizara una evaluación </w:t>
      </w:r>
      <w:r w:rsidR="00242371" w:rsidRPr="00742A04">
        <w:t>de la igualdad</w:t>
      </w:r>
      <w:r w:rsidR="00A05847" w:rsidRPr="00742A04">
        <w:t xml:space="preserve"> de género</w:t>
      </w:r>
      <w:r w:rsidR="00545D1B" w:rsidRPr="00742A04">
        <w:t xml:space="preserve"> </w:t>
      </w:r>
      <w:r w:rsidR="0067405D" w:rsidRPr="00742A04">
        <w:t>de sus propias esferas presupuestarias</w:t>
      </w:r>
      <w:r w:rsidR="00545D1B" w:rsidRPr="00742A04">
        <w:t xml:space="preserve"> </w:t>
      </w:r>
      <w:r w:rsidR="0067405D" w:rsidRPr="00742A04">
        <w:t>e</w:t>
      </w:r>
      <w:r w:rsidR="00545D1B" w:rsidRPr="00742A04">
        <w:t>speciali</w:t>
      </w:r>
      <w:r w:rsidR="0067405D" w:rsidRPr="00742A04">
        <w:t>zad</w:t>
      </w:r>
      <w:r w:rsidR="00545D1B" w:rsidRPr="00742A04">
        <w:t xml:space="preserve">as. </w:t>
      </w:r>
      <w:r w:rsidR="0067405D" w:rsidRPr="00742A04">
        <w:t>Ta</w:t>
      </w:r>
      <w:r w:rsidR="0067405D" w:rsidRPr="00742A04">
        <w:t>m</w:t>
      </w:r>
      <w:r w:rsidR="0067405D" w:rsidRPr="00742A04">
        <w:t>bién se pidió a l</w:t>
      </w:r>
      <w:r w:rsidR="008F0C8E" w:rsidRPr="00742A04">
        <w:t>os ministerios</w:t>
      </w:r>
      <w:r w:rsidR="00545D1B" w:rsidRPr="00742A04">
        <w:t xml:space="preserve"> </w:t>
      </w:r>
      <w:r w:rsidR="00A60AC5">
        <w:t xml:space="preserve">que incluyeran </w:t>
      </w:r>
      <w:r w:rsidR="00FC59C5" w:rsidRPr="00742A04">
        <w:t>un informe</w:t>
      </w:r>
      <w:r w:rsidR="00545D1B" w:rsidRPr="00742A04">
        <w:t xml:space="preserve"> </w:t>
      </w:r>
      <w:r w:rsidR="0067405D" w:rsidRPr="00742A04">
        <w:t xml:space="preserve">sobre </w:t>
      </w:r>
      <w:r w:rsidR="00A60AC5">
        <w:t>e</w:t>
      </w:r>
      <w:r w:rsidR="0067405D" w:rsidRPr="00742A04">
        <w:t>s</w:t>
      </w:r>
      <w:r w:rsidR="00A60AC5">
        <w:t>e</w:t>
      </w:r>
      <w:r w:rsidR="0067405D" w:rsidRPr="00742A04">
        <w:t xml:space="preserve"> trabajo en sus</w:t>
      </w:r>
      <w:r w:rsidR="00545D1B" w:rsidRPr="00742A04">
        <w:t xml:space="preserve"> </w:t>
      </w:r>
      <w:r w:rsidR="0067405D" w:rsidRPr="00742A04">
        <w:t>propuestas presupuestarias</w:t>
      </w:r>
      <w:r w:rsidR="00545D1B" w:rsidRPr="00742A04">
        <w:t xml:space="preserve">. </w:t>
      </w:r>
      <w:r w:rsidR="0067405D" w:rsidRPr="00742A04">
        <w:t>Cada ministro era libre de</w:t>
      </w:r>
      <w:r w:rsidR="00545D1B" w:rsidRPr="00742A04">
        <w:t xml:space="preserve"> </w:t>
      </w:r>
      <w:r w:rsidR="0073499D" w:rsidRPr="00742A04">
        <w:t>determinar</w:t>
      </w:r>
      <w:r w:rsidR="0067405D" w:rsidRPr="00742A04">
        <w:t xml:space="preserve"> el alcance</w:t>
      </w:r>
      <w:r w:rsidR="0030626A" w:rsidRPr="00742A04">
        <w:t xml:space="preserve"> del </w:t>
      </w:r>
      <w:r w:rsidR="00C27C42" w:rsidRPr="00742A04">
        <w:t>i</w:t>
      </w:r>
      <w:r w:rsidR="00C27C42" w:rsidRPr="00742A04">
        <w:t>n</w:t>
      </w:r>
      <w:r w:rsidR="00C27C42" w:rsidRPr="00742A04">
        <w:t>forme</w:t>
      </w:r>
      <w:r w:rsidR="00545D1B" w:rsidRPr="00742A04">
        <w:t xml:space="preserve">. </w:t>
      </w:r>
      <w:r w:rsidR="0067405D" w:rsidRPr="00742A04">
        <w:t>Asimismo se rediseñó el Anexo sobre igualdad de género</w:t>
      </w:r>
      <w:r w:rsidR="00545D1B" w:rsidRPr="00742A04">
        <w:t xml:space="preserve">. </w:t>
      </w:r>
      <w:r w:rsidR="0067405D" w:rsidRPr="00742A04">
        <w:t>Mientras que ant</w:t>
      </w:r>
      <w:r w:rsidR="0067405D" w:rsidRPr="00742A04">
        <w:t>e</w:t>
      </w:r>
      <w:r w:rsidR="0067405D" w:rsidRPr="00742A04">
        <w:t>riormente</w:t>
      </w:r>
      <w:r w:rsidR="00545D1B" w:rsidRPr="00742A04">
        <w:t xml:space="preserve"> descr</w:t>
      </w:r>
      <w:r w:rsidR="00545D1B" w:rsidRPr="00742A04">
        <w:t>i</w:t>
      </w:r>
      <w:r w:rsidR="00545D1B" w:rsidRPr="00742A04">
        <w:t>b</w:t>
      </w:r>
      <w:r w:rsidR="0067405D" w:rsidRPr="00742A04">
        <w:t xml:space="preserve">ía la labor de evaluación </w:t>
      </w:r>
      <w:r w:rsidR="00F43124" w:rsidRPr="00742A04">
        <w:t xml:space="preserve">de la </w:t>
      </w:r>
      <w:r w:rsidR="0067405D" w:rsidRPr="00742A04">
        <w:t>igualdad de género</w:t>
      </w:r>
      <w:r w:rsidR="00545D1B" w:rsidRPr="00742A04">
        <w:t xml:space="preserve"> </w:t>
      </w:r>
      <w:r w:rsidR="0067405D" w:rsidRPr="00742A04">
        <w:t xml:space="preserve">que se estaba llevando a cabo </w:t>
      </w:r>
      <w:r w:rsidR="00C14BFF" w:rsidRPr="00742A04">
        <w:t>en</w:t>
      </w:r>
      <w:r w:rsidR="00545D1B" w:rsidRPr="00742A04">
        <w:t xml:space="preserve"> </w:t>
      </w:r>
      <w:r w:rsidR="0067405D" w:rsidRPr="00742A04">
        <w:t xml:space="preserve">las esferas presupuestarias especializadas </w:t>
      </w:r>
      <w:r w:rsidR="00C076F2" w:rsidRPr="00742A04">
        <w:t xml:space="preserve">de los </w:t>
      </w:r>
      <w:r w:rsidR="00603216" w:rsidRPr="00742A04">
        <w:t>ministerios</w:t>
      </w:r>
      <w:r w:rsidR="00545D1B" w:rsidRPr="00742A04">
        <w:t xml:space="preserve">, </w:t>
      </w:r>
      <w:r w:rsidR="0067405D" w:rsidRPr="00742A04">
        <w:t>en el Anexo</w:t>
      </w:r>
      <w:r w:rsidR="00545D1B" w:rsidRPr="00742A04">
        <w:t xml:space="preserve"> </w:t>
      </w:r>
      <w:r w:rsidR="00F43124" w:rsidRPr="00742A04">
        <w:t xml:space="preserve">de la </w:t>
      </w:r>
      <w:r w:rsidR="0067405D" w:rsidRPr="00742A04">
        <w:t>Pr</w:t>
      </w:r>
      <w:r w:rsidR="0067405D" w:rsidRPr="00742A04">
        <w:t>o</w:t>
      </w:r>
      <w:r w:rsidR="0067405D" w:rsidRPr="00742A04">
        <w:t>posición Presupuestaria</w:t>
      </w:r>
      <w:r w:rsidR="00C14BFF" w:rsidRPr="00742A04">
        <w:t xml:space="preserve"> </w:t>
      </w:r>
      <w:r w:rsidR="00545D1B" w:rsidRPr="00742A04">
        <w:t xml:space="preserve">(2006-2007) </w:t>
      </w:r>
      <w:r w:rsidR="0067405D" w:rsidRPr="00742A04">
        <w:t xml:space="preserve">se </w:t>
      </w:r>
      <w:r w:rsidR="00545D1B" w:rsidRPr="00742A04">
        <w:t>present</w:t>
      </w:r>
      <w:r w:rsidR="0067405D" w:rsidRPr="00742A04">
        <w:t>aron</w:t>
      </w:r>
      <w:r w:rsidR="00545D1B" w:rsidRPr="00742A04">
        <w:t xml:space="preserve"> </w:t>
      </w:r>
      <w:r w:rsidR="0067405D" w:rsidRPr="00742A04">
        <w:t>estadísticas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7405D" w:rsidRPr="00742A04">
        <w:t>análisis</w:t>
      </w:r>
      <w:r w:rsidR="00545D1B" w:rsidRPr="00742A04">
        <w:t xml:space="preserve"> </w:t>
      </w:r>
      <w:r w:rsidR="0067405D" w:rsidRPr="00742A04">
        <w:t xml:space="preserve">de nivel macro </w:t>
      </w:r>
      <w:r w:rsidR="005E2D7A" w:rsidRPr="00742A04">
        <w:t>que muestran la</w:t>
      </w:r>
      <w:r w:rsidR="00545D1B" w:rsidRPr="00742A04">
        <w:t xml:space="preserve"> distribu</w:t>
      </w:r>
      <w:r w:rsidR="00C14BFF" w:rsidRPr="00742A04">
        <w:t xml:space="preserve">ción </w:t>
      </w:r>
      <w:r w:rsidRPr="00742A04">
        <w:t>de</w:t>
      </w:r>
      <w:r w:rsidR="001B5F42">
        <w:t xml:space="preserve"> los recursos financieros</w:t>
      </w:r>
      <w:r w:rsidR="00545D1B" w:rsidRPr="00742A04">
        <w:t xml:space="preserve"> </w:t>
      </w:r>
      <w:r w:rsidR="007D66F2" w:rsidRPr="00742A04">
        <w:t>e</w:t>
      </w:r>
      <w:r w:rsidR="007D66F2" w:rsidRPr="00742A04">
        <w:t>n</w:t>
      </w:r>
      <w:r w:rsidR="007D66F2" w:rsidRPr="00742A04">
        <w:t>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="005E2D7A" w:rsidRPr="00742A04">
        <w:t>centrando la atención en</w:t>
      </w:r>
      <w:r w:rsidR="00545D1B" w:rsidRPr="00742A04">
        <w:t xml:space="preserve"> </w:t>
      </w:r>
      <w:r w:rsidR="005E2D7A" w:rsidRPr="00742A04">
        <w:t>los ingresos</w:t>
      </w:r>
      <w:r w:rsidR="00545D1B" w:rsidRPr="00742A04">
        <w:t xml:space="preserve">, </w:t>
      </w:r>
      <w:r w:rsidR="005E2D7A" w:rsidRPr="00742A04">
        <w:t>el empleo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>el uso del tiempo</w:t>
      </w:r>
      <w:r w:rsidR="00545D1B" w:rsidRPr="00742A04">
        <w:t>.</w:t>
      </w:r>
      <w:r w:rsidR="001167D2" w:rsidRPr="00742A04">
        <w:t xml:space="preserve"> </w:t>
      </w:r>
      <w:r w:rsidR="005E2D7A" w:rsidRPr="00742A04">
        <w:t>E</w:t>
      </w:r>
      <w:r w:rsidR="001167D2" w:rsidRPr="00742A04">
        <w:t>l</w:t>
      </w:r>
      <w:r w:rsidR="005E2D7A"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="005E2D7A" w:rsidRPr="00742A04">
        <w:t>co</w:t>
      </w:r>
      <w:r w:rsidR="005E2D7A" w:rsidRPr="00742A04">
        <w:t>n</w:t>
      </w:r>
      <w:r w:rsidR="005E2D7A" w:rsidRPr="00742A04">
        <w:t>tiene</w:t>
      </w:r>
      <w:r w:rsidR="00545D1B" w:rsidRPr="00742A04">
        <w:t xml:space="preserve"> </w:t>
      </w:r>
      <w:r w:rsidR="005E2D7A" w:rsidRPr="00742A04">
        <w:t>secciones especiales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E2D7A" w:rsidRPr="00742A04">
        <w:t>las que</w:t>
      </w:r>
      <w:r w:rsidR="00545D1B" w:rsidRPr="00742A04">
        <w:t xml:space="preserve"> </w:t>
      </w:r>
      <w:r w:rsidR="005E2D7A" w:rsidRPr="00742A04">
        <w:t>se examinan esos temas</w:t>
      </w:r>
      <w:r w:rsidR="00545D1B" w:rsidRPr="00742A04">
        <w:t xml:space="preserve"> </w:t>
      </w:r>
      <w:r w:rsidR="005E2D7A" w:rsidRPr="00742A04">
        <w:t>en relación con los inmigrantes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>los grupos de bajos ingresos</w:t>
      </w:r>
      <w:r w:rsidR="00545D1B" w:rsidRPr="00742A04">
        <w:t>.</w:t>
      </w:r>
      <w:r w:rsidR="001167D2" w:rsidRPr="00742A04">
        <w:t xml:space="preserve"> </w:t>
      </w:r>
      <w:r w:rsidR="005E2D7A" w:rsidRPr="00742A04">
        <w:t>E</w:t>
      </w:r>
      <w:r w:rsidR="001167D2" w:rsidRPr="00742A04">
        <w:t>l</w:t>
      </w:r>
      <w:r w:rsidR="005E2D7A" w:rsidRPr="00742A04">
        <w:t xml:space="preserve"> </w:t>
      </w:r>
      <w:r w:rsidR="008A38B9" w:rsidRPr="00742A04">
        <w:t xml:space="preserve">Ministerio </w:t>
      </w:r>
      <w:r w:rsidR="00F43124" w:rsidRPr="00742A04">
        <w:t xml:space="preserve">de la </w:t>
      </w:r>
      <w:r w:rsidR="008A38B9" w:rsidRPr="00742A04">
        <w:t>Infancia y Asuntos de Familia</w:t>
      </w:r>
      <w:r w:rsidR="00545D1B" w:rsidRPr="00742A04">
        <w:t xml:space="preserve"> </w:t>
      </w:r>
      <w:r w:rsidR="005E2D7A" w:rsidRPr="00742A04">
        <w:t>encargó al</w:t>
      </w:r>
      <w:r w:rsidR="00545D1B" w:rsidRPr="00742A04">
        <w:t xml:space="preserve"> </w:t>
      </w:r>
      <w:r w:rsidR="00AF398C" w:rsidRPr="00742A04">
        <w:t>Instituto Nacional de Estadísticas de N</w:t>
      </w:r>
      <w:r w:rsidR="00AF398C" w:rsidRPr="00742A04">
        <w:t>o</w:t>
      </w:r>
      <w:r w:rsidR="00AF398C" w:rsidRPr="00742A04">
        <w:t>ruega</w:t>
      </w:r>
      <w:r w:rsidR="00545D1B" w:rsidRPr="00742A04">
        <w:t xml:space="preserve"> </w:t>
      </w:r>
      <w:r w:rsidR="005E2D7A" w:rsidRPr="00742A04">
        <w:t>que elaborara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Pr="00742A04">
        <w:t>con</w:t>
      </w:r>
      <w:r w:rsidR="00545D1B" w:rsidRPr="00742A04">
        <w:t xml:space="preserve"> </w:t>
      </w:r>
      <w:r w:rsidR="008F0C8E" w:rsidRPr="00742A04">
        <w:t>los ministerios</w:t>
      </w:r>
      <w:r w:rsidR="00545D1B" w:rsidRPr="00742A04">
        <w:t xml:space="preserve"> </w:t>
      </w:r>
      <w:r w:rsidR="005E2D7A" w:rsidRPr="00742A04">
        <w:t>más afectados</w:t>
      </w:r>
      <w:r w:rsidR="00545D1B" w:rsidRPr="00742A04">
        <w:t>.</w:t>
      </w:r>
      <w:r w:rsidR="001167D2" w:rsidRPr="00742A04">
        <w:t xml:space="preserve"> </w:t>
      </w:r>
      <w:r w:rsidR="005E2D7A" w:rsidRPr="00742A04">
        <w:t>E</w:t>
      </w:r>
      <w:r w:rsidR="001167D2" w:rsidRPr="00742A04">
        <w:t>l</w:t>
      </w:r>
      <w:r w:rsidR="005E2D7A" w:rsidRPr="00742A04">
        <w:t xml:space="preserve"> </w:t>
      </w:r>
      <w:r w:rsidR="00FB5EDF" w:rsidRPr="00742A04">
        <w:t>informe</w:t>
      </w:r>
      <w:r w:rsidR="00545D1B" w:rsidRPr="00742A04">
        <w:t xml:space="preserve">, </w:t>
      </w:r>
      <w:r w:rsidR="005E2D7A" w:rsidRPr="00742A04">
        <w:t>que habrá de</w:t>
      </w:r>
      <w:r w:rsidR="00545D1B" w:rsidRPr="00742A04">
        <w:t xml:space="preserve"> </w:t>
      </w:r>
      <w:r w:rsidR="005E2D7A" w:rsidRPr="00742A04">
        <w:t xml:space="preserve">ser </w:t>
      </w:r>
      <w:r w:rsidR="00545D1B" w:rsidRPr="00742A04">
        <w:t>present</w:t>
      </w:r>
      <w:r w:rsidR="005E2D7A" w:rsidRPr="00742A04">
        <w:t>ado junto con la</w:t>
      </w:r>
      <w:r w:rsidR="00545D1B" w:rsidRPr="00742A04">
        <w:t xml:space="preserve"> Proposi</w:t>
      </w:r>
      <w:r w:rsidR="00C14BFF" w:rsidRPr="00742A04">
        <w:t xml:space="preserve">ción </w:t>
      </w:r>
      <w:r w:rsidR="00F97F41" w:rsidRPr="00742A04">
        <w:t>N°</w:t>
      </w:r>
      <w:r w:rsidR="00545D1B" w:rsidRPr="00742A04">
        <w:t xml:space="preserve"> 1 (2006-2007)</w:t>
      </w:r>
      <w:r w:rsidR="001167D2" w:rsidRPr="00742A04">
        <w:t xml:space="preserve"> al </w:t>
      </w:r>
      <w:r w:rsidR="00BD47D3" w:rsidRPr="00742A04">
        <w:t>Storting</w:t>
      </w:r>
      <w:r w:rsidR="00545D1B" w:rsidRPr="00742A04">
        <w:t xml:space="preserve"> </w:t>
      </w:r>
      <w:r w:rsidR="005E2D7A" w:rsidRPr="00742A04">
        <w:t>correspondie</w:t>
      </w:r>
      <w:r w:rsidR="005E2D7A" w:rsidRPr="00742A04">
        <w:t>n</w:t>
      </w:r>
      <w:r w:rsidR="005E2D7A" w:rsidRPr="00742A04">
        <w:t>te a</w:t>
      </w:r>
      <w:r w:rsidRPr="00742A04">
        <w:t>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, </w:t>
      </w:r>
      <w:r w:rsidR="005E2D7A" w:rsidRPr="00742A04">
        <w:t>reunirá</w:t>
      </w:r>
      <w:r w:rsidR="00545D1B" w:rsidRPr="00742A04">
        <w:t xml:space="preserve"> </w:t>
      </w:r>
      <w:r w:rsidR="005E2D7A" w:rsidRPr="00742A04">
        <w:t>datos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>contendrá aná</w:t>
      </w:r>
      <w:r w:rsidR="00545D1B" w:rsidRPr="00742A04">
        <w:t>l</w:t>
      </w:r>
      <w:r w:rsidR="005E2D7A" w:rsidRPr="00742A04">
        <w:t>isis sobre las horas de trabajo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E2D7A" w:rsidRPr="00742A04">
        <w:t>las madres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>los padres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>los</w:t>
      </w:r>
      <w:r w:rsidR="00545D1B" w:rsidRPr="00742A04">
        <w:t xml:space="preserve"> cost</w:t>
      </w:r>
      <w:r w:rsidR="005E2D7A" w:rsidRPr="00742A04">
        <w:t>o</w:t>
      </w:r>
      <w:r w:rsidR="00545D1B" w:rsidRPr="00742A04">
        <w:t xml:space="preserve">s </w:t>
      </w:r>
      <w:r w:rsidR="00F43124" w:rsidRPr="00742A04">
        <w:t xml:space="preserve">de la </w:t>
      </w:r>
      <w:r w:rsidR="005E2D7A" w:rsidRPr="00742A04">
        <w:t>maternidad y la p</w:t>
      </w:r>
      <w:r w:rsidR="005E2D7A" w:rsidRPr="00742A04">
        <w:t>a</w:t>
      </w:r>
      <w:r w:rsidR="005E2D7A" w:rsidRPr="00742A04">
        <w:t>ternidad</w:t>
      </w:r>
      <w:r w:rsidR="00545D1B" w:rsidRPr="00742A04">
        <w:t xml:space="preserve"> </w:t>
      </w:r>
      <w:r w:rsidR="005E2D7A" w:rsidRPr="00742A04">
        <w:t>para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 xml:space="preserve">los </w:t>
      </w:r>
      <w:r w:rsidR="00072AD7" w:rsidRPr="00742A04">
        <w:t>hombres</w:t>
      </w:r>
      <w:r w:rsidR="00545D1B" w:rsidRPr="00742A04">
        <w:t xml:space="preserve"> (2007-2008).</w:t>
      </w:r>
    </w:p>
    <w:p w:rsidR="00545D1B" w:rsidRPr="00742A04" w:rsidRDefault="005E2D7A" w:rsidP="001C6426">
      <w:pPr>
        <w:pStyle w:val="SingleTxt"/>
        <w:ind w:firstLine="475"/>
      </w:pPr>
      <w:r w:rsidRPr="00742A04">
        <w:t>El Gobierno actual ha</w:t>
      </w:r>
      <w:r w:rsidR="00545D1B" w:rsidRPr="00742A04">
        <w:t xml:space="preserve"> continu</w:t>
      </w:r>
      <w:r w:rsidRPr="00742A04">
        <w:t>ado</w:t>
      </w:r>
      <w:r w:rsidR="00545D1B" w:rsidRPr="00742A04">
        <w:t xml:space="preserve"> </w:t>
      </w:r>
      <w:r w:rsidR="004B0EC3" w:rsidRPr="00742A04">
        <w:t>la práctica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pedir a todos los</w:t>
      </w:r>
      <w:r w:rsidR="00545D1B" w:rsidRPr="00742A04">
        <w:t xml:space="preserve"> </w:t>
      </w:r>
      <w:r w:rsidR="00603216" w:rsidRPr="00742A04">
        <w:t>ministerios</w:t>
      </w:r>
      <w:r w:rsidR="00545D1B" w:rsidRPr="00742A04">
        <w:t xml:space="preserve"> </w:t>
      </w:r>
      <w:r w:rsidRPr="00742A04">
        <w:t>que realicen una</w:t>
      </w:r>
      <w:r w:rsidR="00545D1B" w:rsidRPr="00742A04">
        <w:t xml:space="preserve"> </w:t>
      </w:r>
      <w:r w:rsidR="0067405D" w:rsidRPr="00742A04">
        <w:t xml:space="preserve">evaluación </w:t>
      </w:r>
      <w:r w:rsidR="00F43124" w:rsidRPr="00742A04">
        <w:t xml:space="preserve">de la </w:t>
      </w:r>
      <w:r w:rsidR="0067405D" w:rsidRPr="00742A04">
        <w:t>igualdad de género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sus propias esferas pres</w:t>
      </w:r>
      <w:r w:rsidRPr="00742A04">
        <w:t>u</w:t>
      </w:r>
      <w:r w:rsidRPr="00742A04">
        <w:t>puestarias</w:t>
      </w:r>
      <w:r w:rsidR="00545D1B" w:rsidRPr="00742A04">
        <w:t xml:space="preserve">. </w:t>
      </w:r>
      <w:r w:rsidRPr="00742A04">
        <w:t xml:space="preserve">Un grupo de trabajo </w:t>
      </w:r>
      <w:r w:rsidR="00545D1B" w:rsidRPr="00742A04">
        <w:t>in</w:t>
      </w:r>
      <w:r w:rsidRPr="00742A04">
        <w:t>ter</w:t>
      </w:r>
      <w:r w:rsidR="00545D1B" w:rsidRPr="00742A04">
        <w:t xml:space="preserve">ministerial </w:t>
      </w:r>
      <w:r w:rsidR="0030626A" w:rsidRPr="00742A04">
        <w:t>también</w:t>
      </w:r>
      <w:r w:rsidR="00545D1B" w:rsidRPr="00742A04">
        <w:t xml:space="preserve"> </w:t>
      </w:r>
      <w:r w:rsidRPr="00742A04">
        <w:t xml:space="preserve">ha elaborado una guía </w:t>
      </w:r>
      <w:r w:rsidR="00F43124" w:rsidRPr="00742A04">
        <w:t xml:space="preserve">de la </w:t>
      </w:r>
      <w:r w:rsidR="0067405D" w:rsidRPr="00742A04">
        <w:t xml:space="preserve">evaluación </w:t>
      </w:r>
      <w:r w:rsidR="00F43124" w:rsidRPr="00742A04">
        <w:t xml:space="preserve">de la </w:t>
      </w:r>
      <w:r w:rsidR="0067405D" w:rsidRPr="00742A04">
        <w:t>igualdad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presentación de informes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las propuestas presupuestarias </w:t>
      </w:r>
      <w:r w:rsidR="00C076F2" w:rsidRPr="00742A04">
        <w:t xml:space="preserve">de los </w:t>
      </w:r>
      <w:r w:rsidRPr="00742A04">
        <w:t>ministerios</w:t>
      </w:r>
      <w:r w:rsidR="00545D1B" w:rsidRPr="00742A04">
        <w:t xml:space="preserve">. </w:t>
      </w:r>
      <w:r w:rsidRPr="00742A04">
        <w:t>La guía</w:t>
      </w:r>
      <w:r w:rsidR="00545D1B" w:rsidRPr="00742A04">
        <w:t xml:space="preserve"> </w:t>
      </w:r>
      <w:r w:rsidRPr="00742A04">
        <w:t>contiene</w:t>
      </w:r>
      <w:r w:rsidR="00545D1B" w:rsidRPr="00742A04">
        <w:t xml:space="preserve"> </w:t>
      </w:r>
      <w:r w:rsidRPr="00742A04">
        <w:t xml:space="preserve">un claro </w:t>
      </w:r>
      <w:r w:rsidR="00502E16" w:rsidRPr="00742A04">
        <w:t>asesoramiento</w:t>
      </w:r>
      <w:r w:rsidR="00545D1B" w:rsidRPr="00742A04">
        <w:t xml:space="preserve"> </w:t>
      </w:r>
      <w:r w:rsidRPr="00742A04">
        <w:t>sobre la asignación de</w:t>
      </w:r>
      <w:r w:rsidR="00545D1B" w:rsidRPr="00742A04">
        <w:t xml:space="preserve"> </w:t>
      </w:r>
      <w:r w:rsidR="008E5EBF" w:rsidRPr="00742A04">
        <w:t>responsabilidad</w:t>
      </w:r>
      <w:r w:rsidRPr="00742A04">
        <w:t>es</w:t>
      </w:r>
      <w:r w:rsidR="00545D1B" w:rsidRPr="00742A04">
        <w:t xml:space="preserve"> </w:t>
      </w:r>
      <w:r w:rsidRPr="00742A04">
        <w:t>en materia de</w:t>
      </w:r>
      <w:r w:rsidR="00545D1B" w:rsidRPr="00742A04">
        <w:t xml:space="preserve"> </w:t>
      </w:r>
      <w:r w:rsidRPr="00742A04">
        <w:t>evaluación</w:t>
      </w:r>
      <w:r w:rsidR="00545D1B" w:rsidRPr="00742A04">
        <w:t xml:space="preserve">, </w:t>
      </w:r>
      <w:r w:rsidRPr="00742A04">
        <w:t>planificación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organiz</w:t>
      </w:r>
      <w:r w:rsidRPr="00742A04">
        <w:t>a</w:t>
      </w:r>
      <w:r w:rsidRPr="00742A04">
        <w:t>ción</w:t>
      </w:r>
      <w:r w:rsidR="00545D1B" w:rsidRPr="00742A04">
        <w:t xml:space="preserve"> </w:t>
      </w:r>
      <w:r w:rsidRPr="00742A04">
        <w:t>del trabajo</w:t>
      </w:r>
      <w:r w:rsidR="00545D1B" w:rsidRPr="00742A04">
        <w:t xml:space="preserve">, </w:t>
      </w:r>
      <w:r w:rsidRPr="00742A04">
        <w:t>la realización de análisis</w:t>
      </w:r>
      <w:r w:rsidR="00545D1B" w:rsidRPr="00742A04">
        <w:t xml:space="preserve">, </w:t>
      </w:r>
      <w:r w:rsidRPr="00742A04">
        <w:t>el seguimiento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presentación de i</w:t>
      </w:r>
      <w:r w:rsidRPr="00742A04">
        <w:t>n</w:t>
      </w:r>
      <w:r w:rsidRPr="00742A04">
        <w:t>formes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las propuestas presupuestarias</w:t>
      </w:r>
      <w:r w:rsidR="00545D1B" w:rsidRPr="00742A04">
        <w:t xml:space="preserve">. </w:t>
      </w:r>
      <w:r w:rsidRPr="00742A04">
        <w:t>Una</w:t>
      </w:r>
      <w:r w:rsidR="00545D1B" w:rsidRPr="00742A04">
        <w:t xml:space="preserve"> evalua</w:t>
      </w:r>
      <w:r w:rsidR="00935A90" w:rsidRPr="00742A04">
        <w:t>ción</w:t>
      </w:r>
      <w:r w:rsidRPr="00742A04">
        <w:t xml:space="preserve"> externa</w:t>
      </w:r>
      <w:r w:rsidR="00935A90" w:rsidRPr="00742A04">
        <w:t>,</w:t>
      </w:r>
      <w:r w:rsidR="00545D1B" w:rsidRPr="00742A04">
        <w:t xml:space="preserve"> </w:t>
      </w:r>
      <w:r w:rsidRPr="00742A04">
        <w:t>que comenzará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2006, </w:t>
      </w:r>
      <w:r w:rsidRPr="00742A04">
        <w:t>habrá de monitorear el proceso</w:t>
      </w:r>
      <w:r w:rsidR="00545D1B" w:rsidRPr="00742A04">
        <w:t xml:space="preserve"> </w:t>
      </w:r>
      <w:r w:rsidRPr="00742A04">
        <w:t xml:space="preserve">para asegurar que </w:t>
      </w:r>
      <w:r w:rsidR="00F43124" w:rsidRPr="00742A04">
        <w:t xml:space="preserve">de la </w:t>
      </w:r>
      <w:r w:rsidR="00545D1B" w:rsidRPr="00742A04">
        <w:t>re</w:t>
      </w:r>
      <w:r w:rsidR="008F0C8E" w:rsidRPr="00742A04">
        <w:t>organiza</w:t>
      </w:r>
      <w:r w:rsidR="00C14BFF" w:rsidRPr="00742A04">
        <w:t xml:space="preserve">ción </w:t>
      </w:r>
      <w:r w:rsidRPr="00742A04">
        <w:t>surja un enfoque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552048" w:rsidRPr="00742A04">
        <w:t>sistemático</w:t>
      </w:r>
      <w:r w:rsidRPr="00742A04">
        <w:t xml:space="preserve"> y precisamente dirigido </w:t>
      </w:r>
      <w:r w:rsidR="00F43124" w:rsidRPr="00742A04">
        <w:t xml:space="preserve">de la </w:t>
      </w:r>
      <w:r w:rsidR="0067405D" w:rsidRPr="00742A04">
        <w:t xml:space="preserve">evaluación </w:t>
      </w:r>
      <w:r w:rsidR="00F43124" w:rsidRPr="00742A04">
        <w:t xml:space="preserve">de la </w:t>
      </w:r>
      <w:r w:rsidR="0067405D" w:rsidRPr="00742A04">
        <w:t>igua</w:t>
      </w:r>
      <w:r w:rsidR="0067405D" w:rsidRPr="00742A04">
        <w:t>l</w:t>
      </w:r>
      <w:r w:rsidR="0067405D" w:rsidRPr="00742A04">
        <w:t>dad de género</w:t>
      </w:r>
      <w:r w:rsidR="00545D1B" w:rsidRPr="00742A04">
        <w:t xml:space="preserve"> </w:t>
      </w:r>
      <w:r w:rsidRPr="00742A04">
        <w:t>en el presupuesto del Estado</w:t>
      </w:r>
      <w:r w:rsidR="00545D1B" w:rsidRPr="00742A04">
        <w:t>.</w:t>
      </w:r>
      <w:r w:rsidR="001167D2" w:rsidRPr="00742A04">
        <w:t xml:space="preserve"> </w:t>
      </w:r>
      <w:r w:rsidRPr="00742A04">
        <w:t>En adelante e</w:t>
      </w:r>
      <w:r w:rsidR="001167D2" w:rsidRPr="00742A04">
        <w:t>l</w:t>
      </w:r>
      <w:r w:rsidRPr="00742A04">
        <w:t xml:space="preserve"> </w:t>
      </w:r>
      <w:r w:rsidR="008F0C8E" w:rsidRPr="00742A04">
        <w:t>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continu</w:t>
      </w:r>
      <w:r w:rsidRPr="00742A04">
        <w:t>ará brindando</w:t>
      </w:r>
      <w:r w:rsidR="00545D1B" w:rsidRPr="00742A04">
        <w:t xml:space="preserve"> </w:t>
      </w:r>
      <w:r w:rsidR="00502E16" w:rsidRPr="00742A04">
        <w:t>asesoramiento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ese proceso</w:t>
      </w:r>
      <w:r w:rsidR="00545D1B" w:rsidRPr="00742A04">
        <w:t xml:space="preserve">, </w:t>
      </w:r>
      <w:r w:rsidRPr="00742A04">
        <w:t>entre otras cosas mediante capacitación para el uso</w:t>
      </w:r>
      <w:r w:rsidR="00545D1B" w:rsidRPr="00742A04">
        <w:t xml:space="preserve"> </w:t>
      </w:r>
      <w:r w:rsidR="00F43124" w:rsidRPr="00742A04">
        <w:t xml:space="preserve">de la </w:t>
      </w:r>
      <w:r w:rsidRPr="00742A04">
        <w:t>guía</w:t>
      </w:r>
      <w:r w:rsidR="00545D1B" w:rsidRPr="00742A04">
        <w:t>.</w:t>
      </w: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Pr="00742A04">
        <w:t>su</w:t>
      </w:r>
      <w:r w:rsidR="00545D1B" w:rsidRPr="00742A04">
        <w:t xml:space="preserve"> </w:t>
      </w:r>
      <w:r w:rsidR="005E2D7A" w:rsidRPr="00742A04">
        <w:t>plataforma</w:t>
      </w:r>
      <w:r w:rsidR="00545D1B" w:rsidRPr="00742A04">
        <w:t xml:space="preserve"> </w:t>
      </w:r>
      <w:r w:rsidR="005E2D7A" w:rsidRPr="00742A04">
        <w:t xml:space="preserve">política </w:t>
      </w:r>
      <w:r w:rsidR="00545D1B" w:rsidRPr="00742A04">
        <w:t>(</w:t>
      </w:r>
      <w:r w:rsidR="005E2D7A" w:rsidRPr="00742A04">
        <w:t xml:space="preserve">la </w:t>
      </w:r>
      <w:r w:rsidR="0073499D" w:rsidRPr="00742A04">
        <w:t>Declaración</w:t>
      </w:r>
      <w:r w:rsidR="005E6919" w:rsidRPr="00742A04">
        <w:t xml:space="preserve"> </w:t>
      </w:r>
      <w:r w:rsidR="005E2D7A" w:rsidRPr="00742A04">
        <w:t>de Soria Moria</w:t>
      </w:r>
      <w:r w:rsidR="00545D1B" w:rsidRPr="00742A04">
        <w:t xml:space="preserve">), </w:t>
      </w:r>
      <w:r w:rsidR="005E2D7A" w:rsidRPr="00742A04">
        <w:t>el nuevo Gobierno</w:t>
      </w:r>
      <w:r w:rsidR="00545D1B" w:rsidRPr="00742A04">
        <w:t xml:space="preserve"> </w:t>
      </w:r>
      <w:r w:rsidR="005E2D7A" w:rsidRPr="00742A04">
        <w:t>anunció que</w:t>
      </w:r>
      <w:r w:rsidR="00545D1B" w:rsidRPr="00742A04">
        <w:t xml:space="preserve"> </w:t>
      </w:r>
      <w:r w:rsidRPr="00742A04">
        <w:t xml:space="preserve">el </w:t>
      </w:r>
      <w:r w:rsidR="008A38B9" w:rsidRPr="00742A04">
        <w:t xml:space="preserve">Ministerio </w:t>
      </w:r>
      <w:r w:rsidR="00F43124" w:rsidRPr="00742A04">
        <w:t xml:space="preserve">de la </w:t>
      </w:r>
      <w:r w:rsidR="008A38B9" w:rsidRPr="00742A04">
        <w:t>Infancia y Asuntos de Familia</w:t>
      </w:r>
      <w:r w:rsidR="00545D1B" w:rsidRPr="00742A04">
        <w:t xml:space="preserve"> </w:t>
      </w:r>
      <w:r w:rsidR="005E2D7A" w:rsidRPr="00742A04">
        <w:t>cambiaría su nombre por el de</w:t>
      </w:r>
      <w:r w:rsidR="001167D2" w:rsidRPr="00742A04">
        <w:t xml:space="preserve"> </w:t>
      </w:r>
      <w:r w:rsidRPr="00742A04">
        <w:t>M</w:t>
      </w:r>
      <w:r w:rsidRPr="00742A04">
        <w:t>i</w:t>
      </w:r>
      <w:r w:rsidRPr="00742A04">
        <w:t>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5E2D7A" w:rsidRPr="00742A04">
        <w:t>a partir del</w:t>
      </w:r>
      <w:r w:rsidR="00545D1B" w:rsidRPr="00742A04">
        <w:t xml:space="preserve"> </w:t>
      </w:r>
      <w:r w:rsidR="00194AB3" w:rsidRPr="00742A04">
        <w:t>1° de enero</w:t>
      </w:r>
      <w:r w:rsidRPr="00742A04">
        <w:t xml:space="preserve"> de</w:t>
      </w:r>
      <w:r w:rsidR="00545D1B" w:rsidRPr="00742A04">
        <w:t xml:space="preserve"> 2006.</w:t>
      </w:r>
    </w:p>
    <w:p w:rsidR="00545D1B" w:rsidRPr="00742A04" w:rsidRDefault="00552048" w:rsidP="002C4922">
      <w:pPr>
        <w:pStyle w:val="SingleTxt"/>
        <w:rPr>
          <w:i/>
        </w:rPr>
      </w:pPr>
      <w:r w:rsidRPr="00742A04">
        <w:rPr>
          <w:i/>
        </w:rPr>
        <w:t xml:space="preserve">Incorporación </w:t>
      </w:r>
      <w:r w:rsidR="00F43124" w:rsidRPr="00742A04">
        <w:rPr>
          <w:i/>
        </w:rPr>
        <w:t xml:space="preserve">de la </w:t>
      </w:r>
      <w:r w:rsidRPr="00742A04">
        <w:rPr>
          <w:i/>
        </w:rPr>
        <w:t>perspectiva de género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="00B146CA" w:rsidRPr="00742A04">
        <w:rPr>
          <w:i/>
        </w:rPr>
        <w:t>una visión regional</w:t>
      </w:r>
    </w:p>
    <w:p w:rsidR="00545D1B" w:rsidRPr="00742A04" w:rsidRDefault="00B146CA" w:rsidP="001C6426">
      <w:pPr>
        <w:pStyle w:val="SingleTxt"/>
        <w:ind w:firstLine="475"/>
      </w:pPr>
      <w:r w:rsidRPr="00742A04">
        <w:t>La obligación</w:t>
      </w:r>
      <w:r w:rsidR="00C14BFF" w:rsidRPr="00742A04">
        <w:t xml:space="preserve"> </w:t>
      </w:r>
      <w:r w:rsidRPr="00742A04">
        <w:t>impuesta</w:t>
      </w:r>
      <w:r w:rsidR="00545D1B" w:rsidRPr="00742A04">
        <w:t xml:space="preserve"> </w:t>
      </w:r>
      <w:r w:rsidR="00614C7D" w:rsidRPr="00742A04">
        <w:t xml:space="preserve">por la </w:t>
      </w:r>
      <w:r w:rsidR="00A05847" w:rsidRPr="00742A04">
        <w:t>Ley sobre la Igualdad de Género</w:t>
      </w:r>
      <w:r w:rsidR="00545D1B" w:rsidRPr="00742A04">
        <w:t xml:space="preserve"> </w:t>
      </w:r>
      <w:r w:rsidRPr="00742A04">
        <w:t>de hacer e</w:t>
      </w:r>
      <w:r w:rsidRPr="00742A04">
        <w:t>s</w:t>
      </w:r>
      <w:r w:rsidRPr="00742A04">
        <w:t>fuerzos sistemáticos y claramente enfocados</w:t>
      </w:r>
      <w:r w:rsidR="00EA6AC2" w:rsidRPr="00742A04">
        <w:t xml:space="preserve"> por </w:t>
      </w:r>
      <w:r w:rsidRPr="00742A04">
        <w:t>promover la igualdad</w:t>
      </w:r>
      <w:r w:rsidR="00A05847" w:rsidRPr="00742A04">
        <w:t xml:space="preserve"> de género</w:t>
      </w:r>
      <w:r w:rsidR="00545D1B" w:rsidRPr="00742A04">
        <w:t xml:space="preserve"> </w:t>
      </w:r>
      <w:r w:rsidR="008E5EBF" w:rsidRPr="00742A04">
        <w:t>se 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 xml:space="preserve">todas las </w:t>
      </w:r>
      <w:r w:rsidR="00552048" w:rsidRPr="00742A04">
        <w:t>autoridades públicas</w:t>
      </w:r>
      <w:r w:rsidR="00545D1B" w:rsidRPr="00742A04">
        <w:t xml:space="preserve">, </w:t>
      </w:r>
      <w:r w:rsidRPr="00742A04">
        <w:t>independientemente de su nivel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Pr="00742A04">
        <w:t>los últ</w:t>
      </w:r>
      <w:r w:rsidRPr="00742A04">
        <w:t>i</w:t>
      </w:r>
      <w:r w:rsidRPr="00742A04">
        <w:t>mos años</w:t>
      </w:r>
      <w:r w:rsidR="00545D1B" w:rsidRPr="00742A04">
        <w:t xml:space="preserve">, </w:t>
      </w:r>
      <w:r w:rsidR="004A0730"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30689C" w:rsidRPr="00742A04">
        <w:t xml:space="preserve">ha prestado </w:t>
      </w:r>
      <w:r w:rsidR="00935A90" w:rsidRPr="00742A04">
        <w:t>apoyo</w:t>
      </w:r>
      <w:r w:rsidR="00545D1B" w:rsidRPr="00742A04">
        <w:t xml:space="preserve"> </w:t>
      </w:r>
      <w:r w:rsidR="0030689C" w:rsidRPr="00742A04">
        <w:t>al proyecto piloto</w:t>
      </w:r>
      <w:r w:rsidR="00545D1B" w:rsidRPr="00742A04">
        <w:t xml:space="preserve"> </w:t>
      </w:r>
      <w:r w:rsidR="0030689C" w:rsidRPr="00742A04">
        <w:t>de establecimiento de un centro regional de recursos sobre</w:t>
      </w:r>
      <w:r w:rsidR="00545D1B" w:rsidRPr="00742A04">
        <w:t xml:space="preserve"> </w:t>
      </w:r>
      <w:r w:rsidR="0030689C" w:rsidRPr="00742A04">
        <w:t xml:space="preserve">igualdad de género </w:t>
      </w:r>
      <w:r w:rsidR="00100BD0" w:rsidRPr="00742A04">
        <w:t>vinculado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30689C" w:rsidRPr="00742A04">
        <w:t>Universidad Feminista del Norte</w:t>
      </w:r>
      <w:r w:rsidR="00545D1B" w:rsidRPr="00742A04">
        <w:t xml:space="preserve">. </w:t>
      </w:r>
      <w:r w:rsidR="00100BD0" w:rsidRPr="00742A04">
        <w:t>Dicho</w:t>
      </w:r>
      <w:r w:rsidR="00545D1B" w:rsidRPr="00742A04">
        <w:t xml:space="preserve"> </w:t>
      </w:r>
      <w:r w:rsidR="00100BD0" w:rsidRPr="00742A04">
        <w:t>proyecto</w:t>
      </w:r>
      <w:r w:rsidR="00545D1B" w:rsidRPr="00742A04">
        <w:t xml:space="preserve"> </w:t>
      </w:r>
      <w:r w:rsidR="00100BD0" w:rsidRPr="00742A04">
        <w:t>continuará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2007.</w:t>
      </w:r>
    </w:p>
    <w:p w:rsidR="00545D1B" w:rsidRPr="00742A04" w:rsidRDefault="0073499D" w:rsidP="001C6426">
      <w:pPr>
        <w:pStyle w:val="SingleTxt"/>
        <w:ind w:firstLine="475"/>
      </w:pPr>
      <w:r w:rsidRPr="00742A04">
        <w:t>Los gobernadores de condados presentan anualmente a su órgano s</w:t>
      </w:r>
      <w:r w:rsidRPr="00742A04">
        <w:t>u</w:t>
      </w:r>
      <w:r w:rsidRPr="00742A04">
        <w:t>pervisor, el Ministerio de Administración y Reforma del Gobierno, informes sobre los</w:t>
      </w:r>
      <w:r>
        <w:t xml:space="preserve"> </w:t>
      </w:r>
      <w:r w:rsidRPr="00742A04">
        <w:t>comet</w:t>
      </w:r>
      <w:r w:rsidRPr="00742A04">
        <w:t>i</w:t>
      </w:r>
      <w:r w:rsidRPr="00742A04">
        <w:t xml:space="preserve">dos asignados a sus oficinas, en cartas anuales de asignación.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>
        <w:t>esos</w:t>
      </w:r>
      <w:r w:rsidR="00545D1B" w:rsidRPr="00742A04">
        <w:t xml:space="preserve"> </w:t>
      </w:r>
      <w:r w:rsidR="001B4F21" w:rsidRPr="00742A04">
        <w:t>comet</w:t>
      </w:r>
      <w:r w:rsidR="001B4F21" w:rsidRPr="00742A04">
        <w:t>i</w:t>
      </w:r>
      <w:r w:rsidR="001B4F21" w:rsidRPr="00742A04">
        <w:t>dos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1B4F21" w:rsidRPr="00742A04">
        <w:t xml:space="preserve">el cumplimiento </w:t>
      </w:r>
      <w:r w:rsidR="00F43124" w:rsidRPr="00742A04">
        <w:t xml:space="preserve">de la </w:t>
      </w:r>
      <w:r w:rsidR="001B4F21" w:rsidRPr="00742A04">
        <w:t>obligación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35A90" w:rsidRPr="00742A04">
        <w:t xml:space="preserve">promover </w:t>
      </w:r>
      <w:r w:rsidR="001B4F21" w:rsidRPr="00742A04">
        <w:t>activamente la igualdad</w:t>
      </w:r>
      <w:r w:rsidR="00A05847" w:rsidRPr="00742A04">
        <w:t xml:space="preserve"> de g</w:t>
      </w:r>
      <w:r w:rsidR="00A05847" w:rsidRPr="00742A04">
        <w:t>é</w:t>
      </w:r>
      <w:r w:rsidR="00A05847" w:rsidRPr="00742A04">
        <w:t>nero</w:t>
      </w:r>
      <w:r w:rsidR="00545D1B" w:rsidRPr="00742A04">
        <w:t xml:space="preserve"> </w:t>
      </w:r>
      <w:r w:rsidR="001B4F21" w:rsidRPr="00742A04">
        <w:t>estipulada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05847" w:rsidRPr="00742A04">
        <w:t>la Ley sobre la Igualdad de Género</w:t>
      </w:r>
      <w:r w:rsidR="00545D1B" w:rsidRPr="00742A04">
        <w:t xml:space="preserve">. </w:t>
      </w:r>
      <w:r w:rsidR="001B4F21" w:rsidRPr="00742A04">
        <w:t xml:space="preserve">Cada uno </w:t>
      </w:r>
      <w:r w:rsidR="00C076F2" w:rsidRPr="00742A04">
        <w:t xml:space="preserve">de los </w:t>
      </w:r>
      <w:r w:rsidR="001B4F21" w:rsidRPr="00742A04">
        <w:t>ministerios</w:t>
      </w:r>
      <w:r w:rsidR="00545D1B" w:rsidRPr="00742A04">
        <w:t xml:space="preserve"> </w:t>
      </w:r>
      <w:r w:rsidR="001B4F21" w:rsidRPr="00742A04">
        <w:t>examina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B4F21" w:rsidRPr="00742A04">
        <w:t>transmite su reacción</w:t>
      </w:r>
      <w:r w:rsidR="00545D1B" w:rsidRPr="00742A04">
        <w:t xml:space="preserve"> </w:t>
      </w:r>
      <w:r w:rsidR="001B4F21" w:rsidRPr="00742A04">
        <w:t>para la consideración</w:t>
      </w:r>
      <w:r w:rsidR="00545D1B" w:rsidRPr="00742A04">
        <w:t xml:space="preserve"> </w:t>
      </w:r>
      <w:r w:rsidR="001B4F21" w:rsidRPr="00742A04">
        <w:t>anual</w:t>
      </w:r>
      <w:r w:rsidR="00545D1B" w:rsidRPr="00742A04">
        <w:t xml:space="preserve"> </w:t>
      </w:r>
      <w:r w:rsidR="0030626A" w:rsidRPr="00742A04">
        <w:t xml:space="preserve">del </w:t>
      </w:r>
      <w:r w:rsidR="00C27C42" w:rsidRPr="00742A04">
        <w:t>informe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1B4F21" w:rsidRPr="00742A04">
        <w:t>la respectiva oficina del gobernador de condado</w:t>
      </w:r>
      <w:r w:rsidR="00545D1B" w:rsidRPr="00742A04">
        <w:t>.</w:t>
      </w:r>
      <w:r w:rsidR="001167D2" w:rsidRPr="00742A04">
        <w:t xml:space="preserve"> </w:t>
      </w:r>
      <w:r w:rsidR="001B4F21" w:rsidRPr="00742A04">
        <w:t xml:space="preserve">Los </w:t>
      </w:r>
      <w:r w:rsidR="00FB5EDF" w:rsidRPr="00742A04">
        <w:t>informe</w:t>
      </w:r>
      <w:r w:rsidR="00545D1B" w:rsidRPr="00742A04">
        <w:t xml:space="preserve">s </w:t>
      </w:r>
      <w:r w:rsidR="008F0C8E" w:rsidRPr="00742A04">
        <w:t>de</w:t>
      </w:r>
      <w:r w:rsidR="001B4F21" w:rsidRPr="00742A04">
        <w:t xml:space="preserve"> las</w:t>
      </w:r>
      <w:r w:rsidR="00545D1B" w:rsidRPr="00742A04">
        <w:t xml:space="preserve"> </w:t>
      </w:r>
      <w:r w:rsidR="001B4F21" w:rsidRPr="00742A04">
        <w:t xml:space="preserve">oficinas </w:t>
      </w:r>
      <w:r w:rsidR="00C076F2" w:rsidRPr="00742A04">
        <w:t xml:space="preserve">de los </w:t>
      </w:r>
      <w:r w:rsidR="00AE5318" w:rsidRPr="00742A04">
        <w:t>gobernadores de condados</w:t>
      </w:r>
      <w:r w:rsidR="001B4F21" w:rsidRPr="00742A04">
        <w:t xml:space="preserve"> sobre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C82671" w:rsidRPr="00742A04">
        <w:t>hacer frente a</w:t>
      </w:r>
      <w:r w:rsidR="00545D1B" w:rsidRPr="00742A04">
        <w:t xml:space="preserve"> </w:t>
      </w:r>
      <w:r w:rsidR="00C82671" w:rsidRPr="00742A04">
        <w:t xml:space="preserve">los desafíos </w:t>
      </w:r>
      <w:r w:rsidR="00545D1B" w:rsidRPr="00742A04">
        <w:t>i</w:t>
      </w:r>
      <w:r w:rsidR="00545D1B" w:rsidRPr="00742A04">
        <w:t>n</w:t>
      </w:r>
      <w:r w:rsidR="00545D1B" w:rsidRPr="00742A04">
        <w:t>tern</w:t>
      </w:r>
      <w:r w:rsidR="00C82671" w:rsidRPr="00742A04">
        <w:t xml:space="preserve">os en materia </w:t>
      </w:r>
      <w:r w:rsidR="00242371" w:rsidRPr="00742A04">
        <w:t>de igualdad</w:t>
      </w:r>
      <w:r w:rsidR="00A05847" w:rsidRPr="00742A04">
        <w:t xml:space="preserve"> de género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C82671" w:rsidRPr="00742A04">
        <w:t>por lo general buenos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82671" w:rsidRPr="00742A04">
        <w:t>brindan al m</w:t>
      </w:r>
      <w:r w:rsidR="00C82671" w:rsidRPr="00742A04">
        <w:t>i</w:t>
      </w:r>
      <w:r w:rsidR="00C82671" w:rsidRPr="00742A04">
        <w:t>nisterio</w:t>
      </w:r>
      <w:r w:rsidR="00545D1B" w:rsidRPr="00742A04">
        <w:t xml:space="preserve"> </w:t>
      </w:r>
      <w:r w:rsidR="00C82671" w:rsidRPr="00742A04">
        <w:t>una base</w:t>
      </w:r>
      <w:r w:rsidR="00545D1B" w:rsidRPr="00742A04">
        <w:t xml:space="preserve"> </w:t>
      </w:r>
      <w:r w:rsidR="00C82671" w:rsidRPr="00742A04">
        <w:t>para hacer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C82671" w:rsidRPr="00742A04">
        <w:t>sugerencias concretas</w:t>
      </w:r>
      <w:r w:rsidR="00545D1B" w:rsidRPr="00742A04">
        <w:t xml:space="preserve"> </w:t>
      </w:r>
      <w:r w:rsidR="00C82671" w:rsidRPr="00742A04">
        <w:t>en relación con</w:t>
      </w:r>
      <w:r w:rsidR="00545D1B" w:rsidRPr="00742A04">
        <w:t xml:space="preserve"> </w:t>
      </w:r>
      <w:r w:rsidR="00C82671" w:rsidRPr="00742A04">
        <w:t>m</w:t>
      </w:r>
      <w:r w:rsidR="00C82671" w:rsidRPr="00742A04">
        <w:t>e</w:t>
      </w:r>
      <w:r w:rsidR="00C82671" w:rsidRPr="00742A04">
        <w:t>joras</w:t>
      </w:r>
      <w:r w:rsidR="00545D1B" w:rsidRPr="00742A04">
        <w:t xml:space="preserve">. </w:t>
      </w:r>
      <w:r w:rsidR="00C82671" w:rsidRPr="00742A04">
        <w:t>En lo tocante</w:t>
      </w:r>
      <w:r w:rsidR="00545D1B" w:rsidRPr="00742A04">
        <w:t xml:space="preserve"> </w:t>
      </w:r>
      <w:r w:rsidR="0030626A" w:rsidRPr="00742A04">
        <w:t>a</w:t>
      </w:r>
      <w:r w:rsidR="00C82671" w:rsidRPr="00742A04">
        <w:t>l seguimiento por parte de</w:t>
      </w:r>
      <w:r w:rsidR="00545D1B" w:rsidRPr="00742A04">
        <w:t xml:space="preserve"> </w:t>
      </w:r>
      <w:r w:rsidR="00C82671" w:rsidRPr="00742A04">
        <w:t xml:space="preserve">las oficinas </w:t>
      </w:r>
      <w:r w:rsidR="00C076F2" w:rsidRPr="00742A04">
        <w:t xml:space="preserve">de los </w:t>
      </w:r>
      <w:r w:rsidR="00C82671" w:rsidRPr="00742A04">
        <w:t>gobernadores de condados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obliga</w:t>
      </w:r>
      <w:r w:rsidR="00C14BFF" w:rsidRPr="00742A04">
        <w:t xml:space="preserve">ción </w:t>
      </w:r>
      <w:r w:rsidR="00F43124" w:rsidRPr="00742A04">
        <w:t>de centrar activamente la atención</w:t>
      </w:r>
      <w:r w:rsidR="00545D1B" w:rsidRPr="00742A04">
        <w:t xml:space="preserve"> </w:t>
      </w:r>
      <w:r w:rsidR="00F43124" w:rsidRPr="00742A04">
        <w:t xml:space="preserve">en la </w:t>
      </w:r>
      <w:r w:rsidR="00A05847" w:rsidRPr="00742A04">
        <w:t>igualdad de g</w:t>
      </w:r>
      <w:r w:rsidR="00A05847" w:rsidRPr="00742A04">
        <w:t>é</w:t>
      </w:r>
      <w:r w:rsidR="00A05847" w:rsidRPr="00742A04">
        <w:t>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43124" w:rsidRPr="00742A04">
        <w:t>la labor externa</w:t>
      </w:r>
      <w:r w:rsidR="00545D1B" w:rsidRPr="00742A04">
        <w:t xml:space="preserve">, </w:t>
      </w:r>
      <w:r w:rsidR="00F43124" w:rsidRPr="00742A04">
        <w:t>hasta</w:t>
      </w:r>
      <w:r w:rsidR="00545D1B" w:rsidRPr="00742A04">
        <w:t xml:space="preserve"> 2006 </w:t>
      </w:r>
      <w:r w:rsidR="00A836A1" w:rsidRPr="00742A04">
        <w:t>sólo</w:t>
      </w:r>
      <w:r w:rsidR="00545D1B" w:rsidRPr="00742A04">
        <w:t xml:space="preserve"> </w:t>
      </w:r>
      <w:r w:rsidR="00F43124" w:rsidRPr="00742A04">
        <w:t>algunas de las</w:t>
      </w:r>
      <w:r w:rsidR="00545D1B" w:rsidRPr="00742A04">
        <w:t xml:space="preserve"> </w:t>
      </w:r>
      <w:r w:rsidR="001B4F21" w:rsidRPr="00742A04">
        <w:t>oficinas</w:t>
      </w:r>
      <w:r w:rsidR="00545D1B" w:rsidRPr="00742A04">
        <w:t xml:space="preserve"> </w:t>
      </w:r>
      <w:r w:rsidR="00F43124" w:rsidRPr="00742A04">
        <w:t>habían informado</w:t>
      </w:r>
      <w:r w:rsidR="00545D1B" w:rsidRPr="00742A04">
        <w:t xml:space="preserve"> </w:t>
      </w:r>
      <w:r w:rsidR="00F43124" w:rsidRPr="00742A04">
        <w:t>sobre dicha labor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F43124" w:rsidRPr="00742A04">
        <w:t>es escasa la</w:t>
      </w:r>
      <w:r w:rsidR="00545D1B" w:rsidRPr="00742A04">
        <w:t xml:space="preserve"> informa</w:t>
      </w:r>
      <w:r w:rsidR="00C14BFF" w:rsidRPr="00742A04">
        <w:t xml:space="preserve">ción </w:t>
      </w:r>
      <w:r w:rsidR="00F43124" w:rsidRPr="00742A04">
        <w:t>específica s</w:t>
      </w:r>
      <w:r w:rsidR="00F43124" w:rsidRPr="00742A04">
        <w:t>o</w:t>
      </w:r>
      <w:r w:rsidR="00F43124" w:rsidRPr="00742A04">
        <w:t>bre nuevos</w:t>
      </w:r>
      <w:r w:rsidR="00502E16" w:rsidRPr="00742A04">
        <w:t xml:space="preserve"> desafíos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43124" w:rsidRPr="00742A04">
        <w:t>prioridades</w:t>
      </w:r>
      <w:r w:rsidR="00545D1B" w:rsidRPr="00742A04">
        <w:t xml:space="preserve">. </w:t>
      </w:r>
      <w:r w:rsidR="00F43124" w:rsidRPr="00742A04">
        <w:t xml:space="preserve">Aún pueden lograrse </w:t>
      </w:r>
      <w:r w:rsidRPr="00742A04">
        <w:t>importantes</w:t>
      </w:r>
      <w:r w:rsidR="00F43124" w:rsidRPr="00742A04">
        <w:t xml:space="preserve"> mejoras</w:t>
      </w:r>
      <w:r w:rsidR="00545D1B" w:rsidRPr="00742A04">
        <w:t xml:space="preserve"> </w:t>
      </w:r>
      <w:r w:rsidR="00F43124" w:rsidRPr="00742A04">
        <w:t>a este respecto</w:t>
      </w:r>
      <w:r w:rsidR="00545D1B" w:rsidRPr="00742A04">
        <w:t xml:space="preserve">. </w:t>
      </w:r>
      <w:r w:rsidR="00F43124" w:rsidRPr="00742A04">
        <w:t>Con miras a</w:t>
      </w:r>
      <w:r w:rsidR="00545D1B" w:rsidRPr="00742A04">
        <w:t xml:space="preserve"> </w:t>
      </w:r>
      <w:r w:rsidR="00F43124" w:rsidRPr="00742A04">
        <w:t>fortalecer</w:t>
      </w:r>
      <w:r w:rsidR="00545D1B" w:rsidRPr="00742A04">
        <w:t xml:space="preserve"> </w:t>
      </w:r>
      <w:r w:rsidR="00F43124" w:rsidRPr="00742A04">
        <w:t>esos</w:t>
      </w:r>
      <w:r w:rsidR="00502E16" w:rsidRPr="00742A04">
        <w:t xml:space="preserve"> esfuerzos</w:t>
      </w:r>
      <w:r w:rsidR="00545D1B" w:rsidRPr="00742A04">
        <w:t xml:space="preserve">, </w:t>
      </w:r>
      <w:r w:rsidR="004A0730" w:rsidRPr="00742A04">
        <w:t>el Ministerio</w:t>
      </w:r>
      <w:r w:rsidR="00545D1B" w:rsidRPr="00742A04">
        <w:t xml:space="preserve"> </w:t>
      </w:r>
      <w:r w:rsidR="00F43124" w:rsidRPr="00742A04">
        <w:t>ha dado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30689C" w:rsidRPr="00742A04">
        <w:t>Universidad Fem</w:t>
      </w:r>
      <w:r w:rsidR="0030689C" w:rsidRPr="00742A04">
        <w:t>i</w:t>
      </w:r>
      <w:r w:rsidR="0030689C" w:rsidRPr="00742A04">
        <w:t>nista del Norte</w:t>
      </w:r>
      <w:r w:rsidR="00545D1B" w:rsidRPr="00742A04">
        <w:t xml:space="preserve"> </w:t>
      </w:r>
      <w:r w:rsidR="00F43124" w:rsidRPr="00742A04">
        <w:t>fondos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F43124" w:rsidRPr="00742A04">
        <w:t>un programa de capacitación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F43124" w:rsidRPr="00742A04">
        <w:t xml:space="preserve">las oficinas </w:t>
      </w:r>
      <w:r w:rsidR="00C076F2" w:rsidRPr="00742A04">
        <w:t xml:space="preserve">de los </w:t>
      </w:r>
      <w:r w:rsidR="00F43124" w:rsidRPr="00742A04">
        <w:t>gobernadores de condados</w:t>
      </w:r>
      <w:r w:rsidR="00545D1B" w:rsidRPr="00742A04">
        <w:t xml:space="preserve"> </w:t>
      </w:r>
      <w:r w:rsidR="00F43124" w:rsidRPr="00742A04">
        <w:t>sobre el cumplimiento 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obliga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F43124" w:rsidRPr="00742A04">
        <w:t xml:space="preserve">trabajar </w:t>
      </w:r>
      <w:r w:rsidR="00545D1B" w:rsidRPr="00742A04">
        <w:t>activ</w:t>
      </w:r>
      <w:r w:rsidR="00F43124" w:rsidRPr="00742A04">
        <w:t>ament</w:t>
      </w:r>
      <w:r w:rsidR="00545D1B" w:rsidRPr="00742A04">
        <w:t xml:space="preserve">e </w:t>
      </w:r>
      <w:r w:rsidR="00F43124" w:rsidRPr="00742A04">
        <w:t>por el ad</w:t>
      </w:r>
      <w:r w:rsidR="00F43124" w:rsidRPr="00742A04">
        <w:t>e</w:t>
      </w:r>
      <w:r w:rsidR="00F43124" w:rsidRPr="00742A04">
        <w:t xml:space="preserve">lanto de la </w:t>
      </w:r>
      <w:r w:rsidR="00A05847" w:rsidRPr="00742A04">
        <w:t>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F43124" w:rsidRPr="00742A04">
        <w:t>función de</w:t>
      </w:r>
      <w:r w:rsidR="00545D1B" w:rsidRPr="00742A04">
        <w:t xml:space="preserve"> </w:t>
      </w:r>
      <w:r w:rsidR="00F43124" w:rsidRPr="00742A04">
        <w:t>asesores de</w:t>
      </w:r>
      <w:r w:rsidR="00545D1B" w:rsidRPr="00742A04">
        <w:t xml:space="preserve"> </w:t>
      </w:r>
      <w:r w:rsidR="00F43124" w:rsidRPr="00742A04">
        <w:t>las municipalidades</w:t>
      </w:r>
      <w:r w:rsidR="00545D1B" w:rsidRPr="00742A04">
        <w:t xml:space="preserve">. </w:t>
      </w:r>
      <w:r w:rsidR="00F43124" w:rsidRPr="00742A04">
        <w:t>D</w:t>
      </w:r>
      <w:r w:rsidR="00F43124" w:rsidRPr="00742A04">
        <w:t>i</w:t>
      </w:r>
      <w:r w:rsidR="00F43124" w:rsidRPr="00742A04">
        <w:t>cha</w:t>
      </w:r>
      <w:r w:rsidR="00545D1B" w:rsidRPr="00742A04">
        <w:t xml:space="preserve"> </w:t>
      </w:r>
      <w:r w:rsidR="00F43124" w:rsidRPr="00742A04">
        <w:t>capacitación</w:t>
      </w:r>
      <w:r w:rsidR="00545D1B" w:rsidRPr="00742A04">
        <w:t xml:space="preserve"> </w:t>
      </w:r>
      <w:r w:rsidR="00F43124" w:rsidRPr="00742A04">
        <w:t xml:space="preserve">se </w:t>
      </w:r>
      <w:r w:rsidRPr="00742A04">
        <w:t>brinda</w:t>
      </w:r>
      <w:r w:rsidR="00F43124" w:rsidRPr="00742A04">
        <w:t xml:space="preserve"> a funcionarios </w:t>
      </w:r>
      <w:r w:rsidR="00C076F2" w:rsidRPr="00742A04">
        <w:t xml:space="preserve">de los </w:t>
      </w:r>
      <w:r w:rsidR="00F43124" w:rsidRPr="00742A04">
        <w:t>niveles de dirección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43124" w:rsidRPr="00742A04">
        <w:t>oficial ejec</w:t>
      </w:r>
      <w:r w:rsidR="00F43124" w:rsidRPr="00742A04">
        <w:t>u</w:t>
      </w:r>
      <w:r w:rsidR="00F43124" w:rsidRPr="00742A04">
        <w:t>tivo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43124" w:rsidRPr="00742A04">
        <w:t>se lleva a cabo en las distintas</w:t>
      </w:r>
      <w:r w:rsidR="00545D1B" w:rsidRPr="00742A04">
        <w:t xml:space="preserve"> </w:t>
      </w:r>
      <w:r w:rsidR="001B4F21" w:rsidRPr="00742A04">
        <w:t>oficinas</w:t>
      </w:r>
      <w:r w:rsidR="00545D1B" w:rsidRPr="00742A04">
        <w:t xml:space="preserve">. </w:t>
      </w:r>
      <w:r w:rsidR="005E2D7A" w:rsidRPr="00742A04">
        <w:t>El trabajo</w:t>
      </w:r>
      <w:r w:rsidR="00545D1B" w:rsidRPr="00742A04">
        <w:t xml:space="preserve"> </w:t>
      </w:r>
      <w:r w:rsidR="00F43124" w:rsidRPr="00742A04">
        <w:t>s</w:t>
      </w:r>
      <w:r w:rsidR="00545D1B" w:rsidRPr="00742A04">
        <w:t>e complet</w:t>
      </w:r>
      <w:r w:rsidR="00F43124" w:rsidRPr="00742A04">
        <w:t>ará a comienzos del</w:t>
      </w:r>
      <w:r w:rsidR="00545D1B" w:rsidRPr="00742A04">
        <w:t xml:space="preserve"> </w:t>
      </w:r>
      <w:r w:rsidR="00F43124" w:rsidRPr="00742A04">
        <w:t xml:space="preserve">otoño de 2006. </w:t>
      </w:r>
      <w:r w:rsidR="00357761" w:rsidRPr="00742A04">
        <w:t>El Ministerio espera lograr un incremento de l</w:t>
      </w:r>
      <w:r w:rsidR="00357761">
        <w:t xml:space="preserve">a </w:t>
      </w:r>
      <w:r w:rsidR="00357761" w:rsidRPr="00742A04">
        <w:t>actividad y una mejora en la presentación de informes en lo tocante a esta parte de la obligación de compromiso activo, y examinará detenidamente los informes para d</w:t>
      </w:r>
      <w:r w:rsidR="00357761" w:rsidRPr="00742A04">
        <w:t>e</w:t>
      </w:r>
      <w:r w:rsidR="00357761" w:rsidRPr="00742A04">
        <w:t>terminar si hay necesidad de nuevas medidas para fortalecer las capacidades esp</w:t>
      </w:r>
      <w:r w:rsidR="00357761" w:rsidRPr="00742A04">
        <w:t>e</w:t>
      </w:r>
      <w:r w:rsidR="00357761" w:rsidRPr="00742A04">
        <w:t>cializadas.</w:t>
      </w:r>
    </w:p>
    <w:p w:rsidR="00545D1B" w:rsidRPr="00742A04" w:rsidRDefault="00F43124" w:rsidP="00F43124">
      <w:pPr>
        <w:pStyle w:val="SingleTxt"/>
        <w:keepNext/>
        <w:rPr>
          <w:i/>
        </w:rPr>
      </w:pPr>
      <w:r w:rsidRPr="00742A04">
        <w:rPr>
          <w:i/>
        </w:rPr>
        <w:t>La i</w:t>
      </w:r>
      <w:r w:rsidR="00A05847" w:rsidRPr="00742A04">
        <w:rPr>
          <w:i/>
        </w:rPr>
        <w:t>gualdad de género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C05B34" w:rsidRPr="00742A04">
        <w:rPr>
          <w:i/>
        </w:rPr>
        <w:t xml:space="preserve"> </w:t>
      </w:r>
      <w:r w:rsidR="00E575DB" w:rsidRPr="00742A04">
        <w:rPr>
          <w:i/>
        </w:rPr>
        <w:t>la p</w:t>
      </w:r>
      <w:r w:rsidR="00C05B34" w:rsidRPr="00742A04">
        <w:rPr>
          <w:i/>
        </w:rPr>
        <w:t>lan</w:t>
      </w:r>
      <w:r w:rsidRPr="00742A04">
        <w:rPr>
          <w:i/>
        </w:rPr>
        <w:t>ificación municipal</w:t>
      </w: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77058E" w:rsidRPr="00742A04">
        <w:t xml:space="preserve">el período 2004-2005, la </w:t>
      </w:r>
      <w:r w:rsidR="000A5430" w:rsidRPr="00742A04">
        <w:t>Aso</w:t>
      </w:r>
      <w:r w:rsidR="00545D1B" w:rsidRPr="00742A04">
        <w:t>cia</w:t>
      </w:r>
      <w:r w:rsidR="00C14BFF" w:rsidRPr="00742A04">
        <w:t xml:space="preserve">ción </w:t>
      </w:r>
      <w:r w:rsidRPr="00742A04">
        <w:t>de</w:t>
      </w:r>
      <w:r w:rsidR="00545D1B" w:rsidRPr="00742A04">
        <w:t xml:space="preserve"> </w:t>
      </w:r>
      <w:r w:rsidR="0077058E" w:rsidRPr="00742A04">
        <w:t>Autoridades Locales y Regionales</w:t>
      </w:r>
      <w:r w:rsidR="00545D1B" w:rsidRPr="00742A04">
        <w:t xml:space="preserve"> </w:t>
      </w:r>
      <w:r w:rsidR="0077058E" w:rsidRPr="00742A04">
        <w:t>de Noruega</w:t>
      </w:r>
      <w:r w:rsidR="00545D1B" w:rsidRPr="00742A04">
        <w:t xml:space="preserve">, </w:t>
      </w:r>
      <w:r w:rsidR="00113BE8">
        <w:t>que es la organizació</w:t>
      </w:r>
      <w:r w:rsidR="0077058E" w:rsidRPr="00742A04">
        <w:t>n</w:t>
      </w:r>
      <w:r w:rsidR="00113BE8">
        <w:t xml:space="preserve"> de interes</w:t>
      </w:r>
      <w:r w:rsidR="0077058E" w:rsidRPr="00742A04">
        <w:t>es especial</w:t>
      </w:r>
      <w:r w:rsidR="00113BE8">
        <w:t>e</w:t>
      </w:r>
      <w:r w:rsidR="0077058E" w:rsidRPr="00742A04">
        <w:t xml:space="preserve">s </w:t>
      </w:r>
      <w:r w:rsidR="00113BE8">
        <w:t xml:space="preserve">y </w:t>
      </w:r>
      <w:r w:rsidR="00113BE8" w:rsidRPr="00742A04">
        <w:t xml:space="preserve">empleadores </w:t>
      </w:r>
      <w:r w:rsidR="00113BE8">
        <w:t>d</w:t>
      </w:r>
      <w:r w:rsidR="0077058E" w:rsidRPr="00742A04">
        <w:t>el se</w:t>
      </w:r>
      <w:r w:rsidR="0077058E" w:rsidRPr="00742A04">
        <w:t>c</w:t>
      </w:r>
      <w:r w:rsidR="0077058E" w:rsidRPr="00742A04">
        <w:t>tor municipal</w:t>
      </w:r>
      <w:r w:rsidR="00935A90" w:rsidRPr="00742A04">
        <w:t>,</w:t>
      </w:r>
      <w:r w:rsidR="00545D1B" w:rsidRPr="00742A04">
        <w:t xml:space="preserve"> </w:t>
      </w:r>
      <w:r w:rsidR="0077058E" w:rsidRPr="00742A04">
        <w:t>ejecut</w:t>
      </w:r>
      <w:r w:rsidR="00113BE8">
        <w:t>ó</w:t>
      </w:r>
      <w:r w:rsidR="00545D1B" w:rsidRPr="00742A04">
        <w:t xml:space="preserve"> </w:t>
      </w:r>
      <w:r w:rsidR="0077058E" w:rsidRPr="00742A04">
        <w:t>un proyecto</w:t>
      </w:r>
      <w:r w:rsidR="00545D1B" w:rsidRPr="00742A04">
        <w:t xml:space="preserve"> </w:t>
      </w:r>
      <w:r w:rsidR="0077058E" w:rsidRPr="00742A04">
        <w:t>centrado</w:t>
      </w:r>
      <w:r w:rsidR="00545D1B" w:rsidRPr="00742A04">
        <w:t xml:space="preserve"> </w:t>
      </w:r>
      <w:r w:rsidR="0077058E" w:rsidRPr="00742A04">
        <w:t>en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43124" w:rsidRPr="00742A04">
        <w:t xml:space="preserve">la </w:t>
      </w:r>
      <w:r w:rsidR="0077058E" w:rsidRPr="00742A04">
        <w:t xml:space="preserve">labor de </w:t>
      </w:r>
      <w:r w:rsidR="00F43124" w:rsidRPr="00742A04">
        <w:t>pl</w:t>
      </w:r>
      <w:r w:rsidR="00F43124" w:rsidRPr="00742A04">
        <w:t>a</w:t>
      </w:r>
      <w:r w:rsidR="00F43124" w:rsidRPr="00742A04">
        <w:t>nificación municipal</w:t>
      </w:r>
      <w:r w:rsidR="00545D1B" w:rsidRPr="00742A04">
        <w:t xml:space="preserve"> (</w:t>
      </w:r>
      <w:r w:rsidR="00545D1B" w:rsidRPr="00742A04">
        <w:rPr>
          <w:i/>
        </w:rPr>
        <w:t xml:space="preserve">Likestilling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kommunalt planarbeid)</w:t>
      </w:r>
      <w:r w:rsidR="00545D1B" w:rsidRPr="00742A04">
        <w:t xml:space="preserve">. </w:t>
      </w:r>
      <w:r w:rsidR="0077058E" w:rsidRPr="00742A04">
        <w:t>Los objetivos</w:t>
      </w:r>
      <w:r w:rsidR="00545D1B" w:rsidRPr="00742A04">
        <w:t xml:space="preserve"> </w:t>
      </w:r>
      <w:r w:rsidR="0077058E" w:rsidRPr="00742A04">
        <w:t>del pr</w:t>
      </w:r>
      <w:r w:rsidR="0077058E" w:rsidRPr="00742A04">
        <w:t>o</w:t>
      </w:r>
      <w:r w:rsidR="0077058E" w:rsidRPr="00742A04">
        <w:t>yecto</w:t>
      </w:r>
      <w:r w:rsidR="00545D1B" w:rsidRPr="00742A04">
        <w:t xml:space="preserve"> </w:t>
      </w:r>
      <w:r w:rsidR="00242371" w:rsidRPr="00742A04">
        <w:t>eran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242371" w:rsidRPr="00742A04">
        <w:t xml:space="preserve">la </w:t>
      </w:r>
      <w:r w:rsidR="00545D1B" w:rsidRPr="00742A04">
        <w:t>motiva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242371" w:rsidRPr="00742A04">
        <w:t>las capacidades especializadas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2E16" w:rsidRPr="00742A04">
        <w:t>los esfue</w:t>
      </w:r>
      <w:r w:rsidR="00502E16" w:rsidRPr="00742A04">
        <w:t>r</w:t>
      </w:r>
      <w:r w:rsidR="00502E16" w:rsidRPr="00742A04">
        <w:t>zos</w:t>
      </w:r>
      <w:r w:rsidR="00EA6AC2" w:rsidRPr="00742A04">
        <w:t xml:space="preserve"> </w:t>
      </w:r>
      <w:r w:rsidR="00113BE8" w:rsidRPr="00742A04">
        <w:t>mun</w:t>
      </w:r>
      <w:r w:rsidR="00113BE8" w:rsidRPr="00742A04">
        <w:t>i</w:t>
      </w:r>
      <w:r w:rsidR="00113BE8" w:rsidRPr="00742A04">
        <w:t xml:space="preserve">cipales </w:t>
      </w:r>
      <w:r w:rsidR="00EA6AC2" w:rsidRPr="00742A04">
        <w:t xml:space="preserve">por </w:t>
      </w:r>
      <w:r w:rsidR="00B146CA" w:rsidRPr="00742A04">
        <w:t>promover la igualdad</w:t>
      </w:r>
      <w:r w:rsidR="00A05847" w:rsidRPr="00742A04">
        <w:t xml:space="preserve">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42371" w:rsidRPr="00742A04">
        <w:t>echar las bases</w:t>
      </w:r>
      <w:r w:rsidR="00C14BFF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42371" w:rsidRPr="00742A04">
        <w:t>lograr de manera</w:t>
      </w:r>
      <w:r w:rsidR="00545D1B" w:rsidRPr="00742A04">
        <w:t xml:space="preserve"> </w:t>
      </w:r>
      <w:r w:rsidR="00242371" w:rsidRPr="00742A04">
        <w:t>sistemática y claramente enfocada</w:t>
      </w:r>
      <w:r w:rsidR="00545D1B" w:rsidRPr="00742A04">
        <w:t xml:space="preserve"> </w:t>
      </w:r>
      <w:r w:rsidR="00242371" w:rsidRPr="00742A04">
        <w:t>el adelanto</w:t>
      </w:r>
      <w:r w:rsidR="00545D1B" w:rsidRPr="00742A04">
        <w:t xml:space="preserve"> </w:t>
      </w:r>
      <w:r w:rsidR="00242371" w:rsidRPr="00742A04">
        <w:t>de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43124" w:rsidRPr="00742A04">
        <w:t>las municip</w:t>
      </w:r>
      <w:r w:rsidR="00F43124" w:rsidRPr="00742A04">
        <w:t>a</w:t>
      </w:r>
      <w:r w:rsidR="00F43124" w:rsidRPr="00742A04">
        <w:t>lidades</w:t>
      </w:r>
      <w:r w:rsidR="00545D1B" w:rsidRPr="00742A04">
        <w:t>.</w:t>
      </w:r>
    </w:p>
    <w:p w:rsidR="00545D1B" w:rsidRPr="00742A04" w:rsidRDefault="00242371" w:rsidP="001C6426">
      <w:pPr>
        <w:pStyle w:val="SingleTxt"/>
        <w:ind w:firstLine="475"/>
      </w:pPr>
      <w:r w:rsidRPr="00742A04">
        <w:t>Utilizando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Pr="00742A04">
        <w:t>redes diferentes</w:t>
      </w:r>
      <w:r w:rsidR="00545D1B" w:rsidRPr="00742A04">
        <w:t xml:space="preserve">, </w:t>
      </w:r>
      <w:r w:rsidRPr="00742A04">
        <w:t>diez</w:t>
      </w:r>
      <w:r w:rsidR="00F43124" w:rsidRPr="00742A04">
        <w:t xml:space="preserve"> municipalidades</w:t>
      </w:r>
      <w:r w:rsidR="00545D1B" w:rsidRPr="00742A04">
        <w:t xml:space="preserve"> </w:t>
      </w:r>
      <w:r w:rsidRPr="00742A04">
        <w:t>han iniciado</w:t>
      </w:r>
      <w:r w:rsidR="00545D1B" w:rsidRPr="00742A04">
        <w:t xml:space="preserve"> 20 </w:t>
      </w:r>
      <w:r w:rsidR="00DC0DB8" w:rsidRPr="00742A04">
        <w:t>medidas</w:t>
      </w:r>
      <w:r w:rsidR="00545D1B" w:rsidRPr="00742A04">
        <w:t xml:space="preserve"> </w:t>
      </w:r>
      <w:r w:rsidR="009F065A" w:rsidRPr="00742A04">
        <w:t xml:space="preserve">diferentes </w:t>
      </w:r>
      <w:r w:rsidRPr="00742A04">
        <w:t>encaminadas a</w:t>
      </w:r>
      <w:r w:rsidR="00545D1B" w:rsidRPr="00742A04">
        <w:t xml:space="preserve"> </w:t>
      </w:r>
      <w:r w:rsidRPr="00742A04">
        <w:t>promover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diversas</w:t>
      </w:r>
      <w:r w:rsidR="00545D1B" w:rsidRPr="00742A04">
        <w:t xml:space="preserve"> </w:t>
      </w:r>
      <w:r w:rsidR="008E5EBF" w:rsidRPr="00742A04">
        <w:t>esfera</w:t>
      </w:r>
      <w:r w:rsidR="00545D1B" w:rsidRPr="00742A04">
        <w:t xml:space="preserve">s </w:t>
      </w:r>
      <w:r w:rsidR="004A0730" w:rsidRPr="00742A04">
        <w:t>de</w:t>
      </w:r>
      <w:r w:rsidR="00545D1B" w:rsidRPr="00742A04">
        <w:t xml:space="preserve"> </w:t>
      </w:r>
      <w:r w:rsidR="008E5EBF" w:rsidRPr="00742A04">
        <w:t>re</w:t>
      </w:r>
      <w:r w:rsidR="008E5EBF" w:rsidRPr="00742A04">
        <w:t>s</w:t>
      </w:r>
      <w:r w:rsidR="008E5EBF" w:rsidRPr="00742A04">
        <w:t>ponsabilidad</w:t>
      </w:r>
      <w:r w:rsidR="00545D1B" w:rsidRPr="00742A04">
        <w:t xml:space="preserve">. </w:t>
      </w:r>
      <w:r w:rsidRPr="00742A04">
        <w:t>Se han llevado a cabo conversaciones sobre la forma de en</w:t>
      </w:r>
      <w:r w:rsidR="00545D1B" w:rsidRPr="00742A04">
        <w:t>foc</w:t>
      </w:r>
      <w:r w:rsidRPr="00742A04">
        <w:t>ar la atención</w:t>
      </w:r>
      <w:r w:rsidR="00545D1B" w:rsidRPr="00742A04">
        <w:t xml:space="preserve"> </w:t>
      </w:r>
      <w:r w:rsidR="0077058E" w:rsidRPr="00742A04">
        <w:t>en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los consejos municipales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las juntas ejecutivas municipales</w:t>
      </w:r>
      <w:r w:rsidR="00545D1B" w:rsidRPr="00742A04">
        <w:t xml:space="preserve">, </w:t>
      </w:r>
      <w:r w:rsidRPr="00742A04">
        <w:t>se han elaborado documentos de estrategia</w:t>
      </w:r>
      <w:r w:rsidR="00545D1B" w:rsidRPr="00742A04">
        <w:t xml:space="preserve"> </w:t>
      </w:r>
      <w:r w:rsidRPr="00742A04">
        <w:t>sobre la igualdad de género a fin de</w:t>
      </w:r>
      <w:r w:rsidR="00545D1B" w:rsidRPr="00742A04">
        <w:t xml:space="preserve"> </w:t>
      </w:r>
      <w:r w:rsidRPr="00742A04">
        <w:t>servir de base</w:t>
      </w:r>
      <w:r w:rsidR="00545D1B" w:rsidRPr="00742A04">
        <w:t xml:space="preserve"> </w:t>
      </w:r>
      <w:r w:rsidR="00F43124" w:rsidRPr="00742A04">
        <w:t>para</w:t>
      </w:r>
      <w:r w:rsidR="00C05B34" w:rsidRPr="00742A04">
        <w:t xml:space="preserve"> </w:t>
      </w:r>
      <w:r w:rsidR="009F065A">
        <w:t>la p</w:t>
      </w:r>
      <w:r w:rsidR="00C05B34" w:rsidRPr="00742A04">
        <w:t>lan</w:t>
      </w:r>
      <w:r w:rsidR="00F43124" w:rsidRPr="00742A04">
        <w:t>ificación municipal</w:t>
      </w:r>
      <w:r w:rsidR="00545D1B" w:rsidRPr="00742A04">
        <w:t xml:space="preserve">, </w:t>
      </w:r>
      <w:r w:rsidRPr="00742A04">
        <w:t>se ha llevado a cabo un</w:t>
      </w:r>
      <w:r w:rsidR="00545D1B" w:rsidRPr="00742A04">
        <w:t xml:space="preserve"> </w:t>
      </w:r>
      <w:r w:rsidRPr="00742A04">
        <w:t>pr</w:t>
      </w:r>
      <w:r w:rsidRPr="00742A04">
        <w:t>o</w:t>
      </w:r>
      <w:r w:rsidRPr="00742A04">
        <w:t>ceso de</w:t>
      </w:r>
      <w:r w:rsidR="00F43124" w:rsidRPr="00742A04">
        <w:t xml:space="preserve"> planificación municipal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participa</w:t>
      </w:r>
      <w:r w:rsidR="00C14BFF" w:rsidRPr="00742A04">
        <w:t xml:space="preserve">ción </w:t>
      </w:r>
      <w:r w:rsidR="004D313C" w:rsidRPr="00742A04">
        <w:t>de mujeres</w:t>
      </w:r>
      <w:r w:rsidRPr="00742A04">
        <w:t xml:space="preserve"> y hombres</w:t>
      </w:r>
      <w:r w:rsidR="00545D1B" w:rsidRPr="00742A04">
        <w:t xml:space="preserve">, </w:t>
      </w:r>
      <w:r w:rsidRPr="00742A04">
        <w:t>se han formulado planes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contratar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Pr="00742A04">
        <w:t>para</w:t>
      </w:r>
      <w:r w:rsidR="00545D1B" w:rsidRPr="00742A04">
        <w:t xml:space="preserve"> </w:t>
      </w:r>
      <w:r w:rsidRPr="00742A04">
        <w:t>las guarderías</w:t>
      </w:r>
      <w:r w:rsidR="00545D1B" w:rsidRPr="00742A04">
        <w:t xml:space="preserve">, </w:t>
      </w:r>
      <w:r w:rsidRPr="00742A04">
        <w:t>se han consider</w:t>
      </w:r>
      <w:r w:rsidRPr="00742A04">
        <w:t>a</w:t>
      </w:r>
      <w:r w:rsidRPr="00742A04">
        <w:t>do las cuestiones</w:t>
      </w:r>
      <w:r w:rsidR="00545D1B" w:rsidRPr="00742A04">
        <w:t xml:space="preserve"> </w:t>
      </w:r>
      <w:r w:rsidRPr="00742A04">
        <w:t>relacionadas con la igualdad</w:t>
      </w:r>
      <w:r w:rsidR="002E5047" w:rsidRPr="00742A04">
        <w:t xml:space="preserve"> de remuneración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 uso</w:t>
      </w:r>
      <w:r w:rsidR="00545D1B" w:rsidRPr="00742A04">
        <w:t xml:space="preserve"> </w:t>
      </w:r>
      <w:r w:rsidRPr="00742A04">
        <w:t>del empleo de tiempo parcial</w:t>
      </w:r>
      <w:r w:rsidR="00545D1B" w:rsidRPr="00742A04">
        <w:t xml:space="preserve">, </w:t>
      </w:r>
      <w:r w:rsidR="00587443" w:rsidRPr="00742A04">
        <w:t>se evaluó una biblioteca escolar desde una</w:t>
      </w:r>
      <w:r w:rsidR="00545D1B" w:rsidRPr="00742A04">
        <w:t xml:space="preserve"> </w:t>
      </w:r>
      <w:r w:rsidR="00587443" w:rsidRPr="00742A04">
        <w:t>per</w:t>
      </w:r>
      <w:r w:rsidR="00587443" w:rsidRPr="00742A04">
        <w:t>s</w:t>
      </w:r>
      <w:r w:rsidR="00587443" w:rsidRPr="00742A04">
        <w:t>pectiva de género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587443" w:rsidRPr="00742A04">
        <w:t xml:space="preserve">el personal de las </w:t>
      </w:r>
      <w:r w:rsidR="0073499D" w:rsidRPr="00742A04">
        <w:t>guarderías</w:t>
      </w:r>
      <w:r w:rsidR="00545D1B" w:rsidRPr="00742A04">
        <w:t xml:space="preserve"> ha </w:t>
      </w:r>
      <w:r w:rsidR="00A836A1" w:rsidRPr="00742A04">
        <w:t>exami</w:t>
      </w:r>
      <w:r w:rsidR="00587443" w:rsidRPr="00742A04">
        <w:t>nado</w:t>
      </w:r>
      <w:r w:rsidR="00545D1B" w:rsidRPr="00742A04">
        <w:t xml:space="preserve"> </w:t>
      </w:r>
      <w:r w:rsidR="00587443" w:rsidRPr="00742A04">
        <w:t>la forma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87443" w:rsidRPr="00742A04">
        <w:t>que se</w:t>
      </w:r>
      <w:r w:rsidR="00545D1B" w:rsidRPr="00742A04">
        <w:t xml:space="preserve"> </w:t>
      </w:r>
      <w:r w:rsidR="00587443" w:rsidRPr="00742A04">
        <w:t>comun</w:t>
      </w:r>
      <w:r w:rsidR="00545D1B" w:rsidRPr="00742A04">
        <w:t xml:space="preserve">ica </w:t>
      </w:r>
      <w:r w:rsidR="004A0730" w:rsidRPr="00742A04">
        <w:t>con</w:t>
      </w:r>
      <w:r w:rsidR="00545D1B" w:rsidRPr="00742A04">
        <w:t xml:space="preserve"> </w:t>
      </w:r>
      <w:r w:rsidR="00587443" w:rsidRPr="00742A04">
        <w:t>las niñas y los varones</w:t>
      </w:r>
      <w:r w:rsidR="00545D1B" w:rsidRPr="00742A04">
        <w:t xml:space="preserve">. </w:t>
      </w:r>
      <w:r w:rsidR="00587443" w:rsidRPr="00742A04">
        <w:t>Con esas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587443" w:rsidRPr="00742A04">
        <w:t>se ha obtenido</w:t>
      </w:r>
      <w:r w:rsidR="00545D1B" w:rsidRPr="00742A04">
        <w:t xml:space="preserve"> </w:t>
      </w:r>
      <w:r w:rsidR="00587443" w:rsidRPr="00742A04">
        <w:t>un valioso conocimiento bas</w:t>
      </w:r>
      <w:r w:rsidR="00587443" w:rsidRPr="00742A04">
        <w:t>a</w:t>
      </w:r>
      <w:r w:rsidR="00587443" w:rsidRPr="00742A04">
        <w:t>do en la</w:t>
      </w:r>
      <w:r w:rsidR="00545D1B" w:rsidRPr="00742A04">
        <w:t xml:space="preserve"> </w:t>
      </w:r>
      <w:r w:rsidR="008F0C8E" w:rsidRPr="00742A04">
        <w:t>experiencia</w:t>
      </w:r>
      <w:r w:rsidR="00587443" w:rsidRPr="00742A04">
        <w:t xml:space="preserve"> acerca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87443" w:rsidRPr="00742A04">
        <w:t>diversos</w:t>
      </w:r>
      <w:r w:rsidR="00545D1B" w:rsidRPr="00742A04">
        <w:t xml:space="preserve"> </w:t>
      </w:r>
      <w:r w:rsidR="00587443" w:rsidRPr="00742A04">
        <w:t>métodos</w:t>
      </w:r>
      <w:r w:rsidR="00545D1B" w:rsidRPr="00742A04">
        <w:t xml:space="preserve"> </w:t>
      </w:r>
      <w:r w:rsidR="00587443" w:rsidRPr="00742A04">
        <w:t>para</w:t>
      </w:r>
      <w:r w:rsidR="00545D1B" w:rsidRPr="00742A04">
        <w:t xml:space="preserve"> </w:t>
      </w:r>
      <w:r w:rsidRPr="00742A04">
        <w:t>promover la igualdad</w:t>
      </w:r>
      <w:r w:rsidR="00A05847" w:rsidRPr="00742A04">
        <w:t xml:space="preserve"> de gén</w:t>
      </w:r>
      <w:r w:rsidR="00A05847" w:rsidRPr="00742A04">
        <w:t>e</w:t>
      </w:r>
      <w:r w:rsidR="00A05847" w:rsidRPr="00742A04">
        <w:t>ro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076F2" w:rsidRPr="00742A04">
        <w:t xml:space="preserve">de los </w:t>
      </w:r>
      <w:r w:rsidR="00587443" w:rsidRPr="00742A04">
        <w:t>requisitos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87443" w:rsidRPr="00742A04">
        <w:t xml:space="preserve">el logro satisfactorio </w:t>
      </w:r>
      <w:r w:rsidR="00C076F2" w:rsidRPr="00742A04">
        <w:t xml:space="preserve">de los </w:t>
      </w:r>
      <w:r w:rsidR="00587443" w:rsidRPr="00742A04">
        <w:t xml:space="preserve">objetivos en materia </w:t>
      </w:r>
      <w:r w:rsidRPr="00742A04">
        <w:t>de igua</w:t>
      </w:r>
      <w:r w:rsidRPr="00742A04">
        <w:t>l</w:t>
      </w:r>
      <w:r w:rsidRPr="00742A04">
        <w:t>dad</w:t>
      </w:r>
      <w:r w:rsidR="00A05847" w:rsidRPr="00742A04">
        <w:t xml:space="preserve"> de género</w:t>
      </w:r>
      <w:r w:rsidR="00545D1B" w:rsidRPr="00742A04">
        <w:t xml:space="preserve">. </w:t>
      </w:r>
      <w:r w:rsidR="00587443" w:rsidRPr="00742A04">
        <w:t>Como parte del proyecto se han elaborado un sitio Web</w:t>
      </w:r>
      <w:r w:rsidR="00545D1B" w:rsidRPr="00742A04">
        <w:t xml:space="preserve"> (</w:t>
      </w:r>
      <w:hyperlink r:id="rId14" w:history="1">
        <w:r w:rsidR="00545D1B" w:rsidRPr="00742A04">
          <w:rPr>
            <w:rStyle w:val="Hyperlink"/>
          </w:rPr>
          <w:t>www.likestillingsaktiviteter.no</w:t>
        </w:r>
      </w:hyperlink>
      <w:r w:rsidR="00545D1B" w:rsidRPr="00742A04">
        <w:t xml:space="preserve">), </w:t>
      </w:r>
      <w:r w:rsidR="00FC59C5" w:rsidRPr="00742A04">
        <w:t>un informe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7443" w:rsidRPr="00742A04">
        <w:t>una guía</w:t>
      </w:r>
      <w:r w:rsidR="00545D1B" w:rsidRPr="00742A04">
        <w:t xml:space="preserve">. </w:t>
      </w:r>
      <w:r w:rsidR="0030689C" w:rsidRPr="00742A04">
        <w:t>La</w:t>
      </w:r>
      <w:r w:rsidR="00587443" w:rsidRPr="00742A04">
        <w:t xml:space="preserve"> Asociación de Autor</w:t>
      </w:r>
      <w:r w:rsidR="00587443" w:rsidRPr="00742A04">
        <w:t>i</w:t>
      </w:r>
      <w:r w:rsidR="00587443" w:rsidRPr="00742A04">
        <w:t>dades Locales y Regionales de Noruega</w:t>
      </w:r>
      <w:r w:rsidR="0030689C" w:rsidRPr="00742A04">
        <w:t xml:space="preserve"> </w:t>
      </w:r>
      <w:r w:rsidR="00587443" w:rsidRPr="00742A04">
        <w:t>ha encargado la realización del proyecto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30689C" w:rsidRPr="00742A04">
        <w:t>Universidad Feminista del Norte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7443" w:rsidRPr="00742A04">
        <w:t xml:space="preserve">a </w:t>
      </w:r>
      <w:r w:rsidR="00545D1B" w:rsidRPr="00742A04">
        <w:t xml:space="preserve">Fredrikkes Hage, </w:t>
      </w:r>
      <w:r w:rsidR="00587443" w:rsidRPr="00742A04">
        <w:t>un centro de recursos p</w:t>
      </w:r>
      <w:r w:rsidR="00587443" w:rsidRPr="00742A04">
        <w:t>a</w:t>
      </w:r>
      <w:r w:rsidR="00587443" w:rsidRPr="00742A04">
        <w:t>ra la i</w:t>
      </w:r>
      <w:r w:rsidR="00AE0831" w:rsidRPr="00742A04">
        <w:t>gual</w:t>
      </w:r>
      <w:r w:rsidR="00587443" w:rsidRPr="00742A04">
        <w:t>dad de g</w:t>
      </w:r>
      <w:r w:rsidR="00AE0831" w:rsidRPr="00742A04">
        <w:t>énero</w:t>
      </w:r>
      <w:r w:rsidR="00545D1B" w:rsidRPr="00742A04">
        <w:t>.</w:t>
      </w:r>
    </w:p>
    <w:p w:rsidR="00EE22AA" w:rsidRPr="00742A04" w:rsidRDefault="00EE22AA" w:rsidP="00EE22AA">
      <w:pPr>
        <w:pStyle w:val="H1"/>
        <w:spacing w:line="120" w:lineRule="exact"/>
        <w:ind w:left="2534" w:right="1260" w:hanging="1267"/>
        <w:rPr>
          <w:bCs/>
          <w:sz w:val="10"/>
        </w:rPr>
      </w:pPr>
      <w:bookmarkStart w:id="7" w:name="_Toc131924662"/>
      <w:bookmarkStart w:id="8" w:name="_Toc147129451"/>
    </w:p>
    <w:p w:rsidR="00545D1B" w:rsidRPr="00742A04" w:rsidRDefault="00814B5D" w:rsidP="005176A8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2</w:t>
      </w:r>
      <w:r w:rsidR="00242371" w:rsidRPr="00742A04">
        <w:rPr>
          <w:bCs/>
        </w:rPr>
        <w:t xml:space="preserve"> </w:t>
      </w:r>
      <w:r w:rsidR="00545D1B" w:rsidRPr="00742A04">
        <w:rPr>
          <w:bCs/>
          <w:i/>
        </w:rPr>
        <w:t>e</w:t>
      </w:r>
      <w:bookmarkEnd w:id="7"/>
      <w:bookmarkEnd w:id="8"/>
    </w:p>
    <w:p w:rsidR="00EE22AA" w:rsidRPr="00742A04" w:rsidRDefault="00EE22AA" w:rsidP="00EE22AA">
      <w:pPr>
        <w:pStyle w:val="SingleTxt"/>
        <w:spacing w:after="0" w:line="120" w:lineRule="exact"/>
        <w:rPr>
          <w:sz w:val="10"/>
        </w:rPr>
      </w:pPr>
    </w:p>
    <w:p w:rsidR="00545D1B" w:rsidRPr="00742A04" w:rsidRDefault="00A05847" w:rsidP="001C6426">
      <w:pPr>
        <w:pStyle w:val="SingleTxt"/>
        <w:ind w:firstLine="475"/>
      </w:pPr>
      <w:r w:rsidRPr="00742A04">
        <w:t>La Ley sobre la Igualdad de Género</w:t>
      </w:r>
      <w:r w:rsidR="00545D1B" w:rsidRPr="00742A04">
        <w:t xml:space="preserve"> </w:t>
      </w:r>
      <w:r w:rsidR="00230F13" w:rsidRPr="00742A04">
        <w:t>prohíbe la discriminación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todas las e</w:t>
      </w:r>
      <w:r w:rsidR="000A5430" w:rsidRPr="00742A04">
        <w:t>s</w:t>
      </w:r>
      <w:r w:rsidR="000A5430" w:rsidRPr="00742A04">
        <w:t>feras</w:t>
      </w:r>
      <w:r w:rsidR="00545D1B" w:rsidRPr="00742A04">
        <w:t xml:space="preserve"> </w:t>
      </w:r>
      <w:r w:rsidR="00F43124" w:rsidRPr="00742A04">
        <w:t xml:space="preserve">de la </w:t>
      </w:r>
      <w:r w:rsidR="000A5430" w:rsidRPr="00742A04">
        <w:t>sociedad</w:t>
      </w:r>
      <w:r w:rsidR="00545D1B" w:rsidRPr="00742A04">
        <w:t>, inclu</w:t>
      </w:r>
      <w:r w:rsidR="00154FBB" w:rsidRPr="00742A04">
        <w:t>idas la vida laboral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54FBB" w:rsidRPr="00742A04">
        <w:t xml:space="preserve">la de las </w:t>
      </w:r>
      <w:r w:rsidR="008F0C8E" w:rsidRPr="00742A04">
        <w:t>organiza</w:t>
      </w:r>
      <w:r w:rsidR="00154FBB" w:rsidRPr="00742A04">
        <w:t>ciones</w:t>
      </w:r>
      <w:r w:rsidR="00545D1B" w:rsidRPr="00742A04">
        <w:t xml:space="preserve">. </w:t>
      </w:r>
      <w:r w:rsidR="00154FBB" w:rsidRPr="00742A04">
        <w:t>Se hace una</w:t>
      </w:r>
      <w:r w:rsidR="00545D1B" w:rsidRPr="00742A04">
        <w:t xml:space="preserve"> excep</w:t>
      </w:r>
      <w:r w:rsidR="00C14BFF" w:rsidRPr="00742A04">
        <w:t xml:space="preserve">ción </w:t>
      </w:r>
      <w:r w:rsidR="00154FBB" w:rsidRPr="00742A04">
        <w:t xml:space="preserve">respecto </w:t>
      </w:r>
      <w:r w:rsidR="00C076F2" w:rsidRPr="00742A04">
        <w:t xml:space="preserve">de los </w:t>
      </w:r>
      <w:r w:rsidR="00154FBB" w:rsidRPr="00742A04">
        <w:t>asuntos internos</w:t>
      </w:r>
      <w:r w:rsidR="00545D1B" w:rsidRPr="00742A04">
        <w:t xml:space="preserve"> </w:t>
      </w:r>
      <w:r w:rsidR="00154FBB" w:rsidRPr="00742A04">
        <w:t>de las</w:t>
      </w:r>
      <w:r w:rsidR="00545D1B" w:rsidRPr="00742A04">
        <w:t xml:space="preserve"> </w:t>
      </w:r>
      <w:r w:rsidR="00230F13" w:rsidRPr="00742A04">
        <w:t>comunidades religiosas</w:t>
      </w:r>
      <w:r w:rsidR="00545D1B" w:rsidRPr="00742A04">
        <w:t xml:space="preserve">. </w:t>
      </w:r>
      <w:r w:rsidR="00154FBB" w:rsidRPr="00742A04">
        <w:t>Esa</w:t>
      </w:r>
      <w:r w:rsidR="00545D1B" w:rsidRPr="00742A04">
        <w:t xml:space="preserve"> e</w:t>
      </w:r>
      <w:r w:rsidR="00545D1B" w:rsidRPr="00742A04">
        <w:t>x</w:t>
      </w:r>
      <w:r w:rsidR="00545D1B" w:rsidRPr="00742A04">
        <w:t>cep</w:t>
      </w:r>
      <w:r w:rsidR="00C14BFF" w:rsidRPr="00742A04">
        <w:t xml:space="preserve">ción </w:t>
      </w:r>
      <w:r w:rsidR="00BB4DB1" w:rsidRPr="00742A04">
        <w:t>es</w:t>
      </w:r>
      <w:r w:rsidR="00154FBB" w:rsidRPr="00742A04">
        <w:t>tá</w:t>
      </w:r>
      <w:r w:rsidR="00545D1B" w:rsidRPr="00742A04">
        <w:t xml:space="preserve"> </w:t>
      </w:r>
      <w:r w:rsidR="00154FBB" w:rsidRPr="00742A04">
        <w:t xml:space="preserve">vinculada con el artículo </w:t>
      </w:r>
      <w:r w:rsidR="00545D1B" w:rsidRPr="00742A04">
        <w:t xml:space="preserve">2 </w:t>
      </w:r>
      <w:r w:rsidR="004A0730" w:rsidRPr="00742A04">
        <w:t>de</w:t>
      </w:r>
      <w:r w:rsidR="00545D1B" w:rsidRPr="00742A04">
        <w:t xml:space="preserve"> </w:t>
      </w:r>
      <w:r w:rsidR="00154FBB" w:rsidRPr="00742A04">
        <w:t>la Constitución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A26AB" w:rsidRPr="00742A04">
        <w:t>Noruega</w:t>
      </w:r>
      <w:r w:rsidR="00154FBB" w:rsidRPr="00742A04">
        <w:t>, relativo al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 </w:t>
      </w:r>
      <w:r w:rsidR="00154FBB" w:rsidRPr="00742A04">
        <w:t>al libre ejercicio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54FBB" w:rsidRPr="00742A04">
        <w:t>un</w:t>
      </w:r>
      <w:r w:rsidR="00545D1B" w:rsidRPr="00742A04">
        <w:t xml:space="preserve">a </w:t>
      </w:r>
      <w:r w:rsidR="00130F7F" w:rsidRPr="00742A04">
        <w:t>religión</w:t>
      </w:r>
      <w:r w:rsidR="00545D1B" w:rsidRPr="00742A04">
        <w:t xml:space="preserve">. </w:t>
      </w:r>
      <w:r w:rsidR="00154FBB" w:rsidRPr="00742A04">
        <w:t>La</w:t>
      </w:r>
      <w:r w:rsidR="00545D1B" w:rsidRPr="00742A04">
        <w:t xml:space="preserve"> excep</w:t>
      </w:r>
      <w:r w:rsidR="00C14BFF" w:rsidRPr="00742A04">
        <w:t xml:space="preserve">ción </w:t>
      </w:r>
      <w:r w:rsidR="00154FBB" w:rsidRPr="00742A04">
        <w:t>está limitada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154FBB" w:rsidRPr="00742A04">
        <w:t>los asuntos</w:t>
      </w:r>
      <w:r w:rsidR="00545D1B" w:rsidRPr="00742A04">
        <w:t xml:space="preserve"> </w:t>
      </w:r>
      <w:r w:rsidR="00154FBB" w:rsidRPr="00742A04">
        <w:t>que están estrechamente vinculados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154FBB" w:rsidRPr="00742A04">
        <w:t>el efectivo</w:t>
      </w:r>
      <w:r w:rsidR="00545D1B" w:rsidRPr="00742A04">
        <w:t xml:space="preserve"> </w:t>
      </w:r>
      <w:r w:rsidR="00154FBB" w:rsidRPr="00742A04">
        <w:t>ejercicio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54FBB" w:rsidRPr="00742A04">
        <w:t>un</w:t>
      </w:r>
      <w:r w:rsidR="00545D1B" w:rsidRPr="00742A04">
        <w:t xml:space="preserve">a </w:t>
      </w:r>
      <w:r w:rsidR="00130F7F" w:rsidRPr="00742A04">
        <w:t>religión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154FBB" w:rsidRPr="00742A04">
        <w:t>no puede</w:t>
      </w:r>
      <w:r w:rsidR="00545D1B" w:rsidRPr="00742A04">
        <w:t xml:space="preserve"> </w:t>
      </w:r>
      <w:r w:rsidR="00154FBB" w:rsidRPr="00742A04">
        <w:t>invocarse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614C7D" w:rsidRPr="00742A04">
        <w:t>actividades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54FBB" w:rsidRPr="00742A04">
        <w:t>naturaleza</w:t>
      </w:r>
      <w:r w:rsidR="00545D1B" w:rsidRPr="00742A04">
        <w:t xml:space="preserve"> so</w:t>
      </w:r>
      <w:r w:rsidR="00154FBB" w:rsidRPr="00742A04">
        <w:t>cial o</w:t>
      </w:r>
      <w:r w:rsidR="00545D1B" w:rsidRPr="00742A04">
        <w:t xml:space="preserve"> humanita</w:t>
      </w:r>
      <w:r w:rsidR="00154FBB" w:rsidRPr="00742A04">
        <w:t>ria</w:t>
      </w:r>
      <w:r w:rsidR="00545D1B" w:rsidRPr="00742A04">
        <w:t xml:space="preserve"> </w:t>
      </w:r>
      <w:r w:rsidR="008E5EBF" w:rsidRPr="00742A04">
        <w:t>o</w:t>
      </w:r>
      <w:r w:rsidR="00154FBB" w:rsidRPr="00742A04">
        <w:t xml:space="preserve"> de carácter análogo de las comunidades religiosas</w:t>
      </w:r>
      <w:r w:rsidR="00545D1B" w:rsidRPr="00742A04">
        <w:t>.</w:t>
      </w:r>
    </w:p>
    <w:p w:rsidR="00545D1B" w:rsidRPr="00742A04" w:rsidRDefault="004D313C" w:rsidP="001C6426">
      <w:pPr>
        <w:pStyle w:val="SingleTxt"/>
        <w:ind w:firstLine="475"/>
      </w:pPr>
      <w:r w:rsidRPr="00742A04">
        <w:t>La excepción</w:t>
      </w:r>
      <w:r w:rsidR="00C14BFF" w:rsidRPr="00742A04">
        <w:t xml:space="preserve"> </w:t>
      </w:r>
      <w:r w:rsidRPr="00742A04">
        <w:t>contenida en el artículo</w:t>
      </w:r>
      <w:r w:rsidR="00C14BFF" w:rsidRPr="00742A04">
        <w:t xml:space="preserve"> </w:t>
      </w:r>
      <w:r w:rsidR="00545D1B" w:rsidRPr="00742A04">
        <w:t xml:space="preserve">2 </w:t>
      </w:r>
      <w:r w:rsidR="00F43124" w:rsidRPr="00742A04">
        <w:t xml:space="preserve">de la </w:t>
      </w:r>
      <w:r w:rsidR="00A05847" w:rsidRPr="00742A04">
        <w:t>Ley sobre la Igualdad de Género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8E5EBF" w:rsidRPr="00742A04">
        <w:t>se aplica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Iglesia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(</w:t>
      </w:r>
      <w:r w:rsidRPr="00742A04">
        <w:t>la Iglesia del Estado</w:t>
      </w:r>
      <w:r w:rsidR="00545D1B" w:rsidRPr="00742A04">
        <w:t xml:space="preserve">). </w:t>
      </w:r>
      <w:r w:rsidRPr="00742A04">
        <w:t>La cuestión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Pr="00742A04">
        <w:t>la excepción</w:t>
      </w:r>
      <w:r w:rsidR="00C14BFF" w:rsidRPr="00742A04">
        <w:t xml:space="preserve"> </w:t>
      </w:r>
      <w:r w:rsidRPr="00742A04">
        <w:t>debería aplicarse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Iglesia del Estado</w:t>
      </w:r>
      <w:r w:rsidR="00545D1B" w:rsidRPr="00742A04">
        <w:t xml:space="preserve"> </w:t>
      </w:r>
      <w:r w:rsidRPr="00742A04">
        <w:t>ha sido objeto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constante</w:t>
      </w:r>
      <w:r w:rsidR="009F065A">
        <w:t>s</w:t>
      </w:r>
      <w:r w:rsidR="00545D1B" w:rsidRPr="00742A04">
        <w:t xml:space="preserve"> d</w:t>
      </w:r>
      <w:r w:rsidR="00545D1B" w:rsidRPr="00742A04">
        <w:t>e</w:t>
      </w:r>
      <w:r w:rsidR="00545D1B" w:rsidRPr="00742A04">
        <w:t>bate</w:t>
      </w:r>
      <w:r w:rsidR="009F065A">
        <w:t>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los últimos años</w:t>
      </w:r>
      <w:r w:rsidR="00545D1B" w:rsidRPr="00742A04">
        <w:t xml:space="preserve">. </w:t>
      </w:r>
      <w:r w:rsidRPr="00742A04">
        <w:t>El Gobierno actual</w:t>
      </w:r>
      <w:r w:rsidR="00545D1B" w:rsidRPr="00742A04">
        <w:t xml:space="preserve"> (Stoltenberg II) </w:t>
      </w:r>
      <w:r w:rsidR="00247A2D">
        <w:t>expres</w:t>
      </w:r>
      <w:r w:rsidRPr="00742A04">
        <w:t>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F97F41" w:rsidRPr="00742A04">
        <w:t>Decl</w:t>
      </w:r>
      <w:r w:rsidR="00F97F41" w:rsidRPr="00742A04">
        <w:t>a</w:t>
      </w:r>
      <w:r w:rsidR="00F97F41" w:rsidRPr="00742A04">
        <w:t>ración de Gobierno</w:t>
      </w:r>
      <w:r w:rsidR="00C14BFF" w:rsidRPr="00742A04">
        <w:t xml:space="preserve"> </w:t>
      </w:r>
      <w:r w:rsidR="00247A2D">
        <w:t>d</w:t>
      </w:r>
      <w:r w:rsidRPr="00742A04">
        <w:t>el otoño</w:t>
      </w:r>
      <w:r w:rsidR="00F43124" w:rsidRPr="00742A04">
        <w:t xml:space="preserve"> de</w:t>
      </w:r>
      <w:r w:rsidR="00545D1B" w:rsidRPr="00742A04">
        <w:t xml:space="preserve"> 2005 </w:t>
      </w:r>
      <w:r w:rsidR="00247A2D">
        <w:t xml:space="preserve">la determinación de </w:t>
      </w:r>
      <w:r w:rsidRPr="00742A04">
        <w:t>examinar</w:t>
      </w:r>
      <w:r w:rsidR="00545D1B" w:rsidRPr="00742A04">
        <w:t xml:space="preserve"> </w:t>
      </w:r>
      <w:r w:rsidRPr="00742A04">
        <w:t>la cuestión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 eliminación de</w:t>
      </w:r>
      <w:r w:rsidR="00545D1B" w:rsidRPr="00742A04">
        <w:t xml:space="preserve"> </w:t>
      </w:r>
      <w:r w:rsidRPr="00742A04">
        <w:t>la disposición de excepción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502E16" w:rsidRPr="00742A04">
        <w:t>tal</w:t>
      </w:r>
      <w:r w:rsidR="00545D1B" w:rsidRPr="00742A04">
        <w:t xml:space="preserve"> </w:t>
      </w:r>
      <w:r w:rsidR="00673B5D" w:rsidRPr="00742A04">
        <w:t>caso</w:t>
      </w:r>
      <w:r w:rsidR="00545D1B" w:rsidRPr="00742A04">
        <w:t xml:space="preserve">, </w:t>
      </w:r>
      <w:r w:rsidRPr="00742A04">
        <w:t>la cuestión</w:t>
      </w:r>
      <w:r w:rsidR="00C14BFF" w:rsidRPr="00742A04">
        <w:t xml:space="preserve"> </w:t>
      </w:r>
      <w:r w:rsidRPr="00742A04">
        <w:t>se considerará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a </w:t>
      </w:r>
      <w:r w:rsidRPr="00742A04">
        <w:t>disposición de excepción</w:t>
      </w:r>
      <w:r w:rsidR="00545D1B" w:rsidRPr="00742A04">
        <w:t xml:space="preserve"> </w:t>
      </w:r>
      <w:r w:rsidR="007239A9" w:rsidRPr="00742A04">
        <w:t xml:space="preserve">análoga </w:t>
      </w:r>
      <w:r w:rsidRPr="00742A04">
        <w:t xml:space="preserve">contenida </w:t>
      </w:r>
      <w:r w:rsidR="00C14BFF" w:rsidRPr="00742A04">
        <w:t>en</w:t>
      </w:r>
      <w:r w:rsidR="00545D1B" w:rsidRPr="00742A04">
        <w:t xml:space="preserve"> </w:t>
      </w:r>
      <w:r w:rsidR="00963214" w:rsidRPr="00742A04">
        <w:t xml:space="preserve">la Ley </w:t>
      </w:r>
      <w:r w:rsidR="00AF398C" w:rsidRPr="00742A04">
        <w:t>sobre el Ambiente de Trabajo</w:t>
      </w:r>
      <w:r w:rsidR="00545D1B" w:rsidRPr="00742A04">
        <w:t xml:space="preserve">, </w:t>
      </w:r>
      <w:r w:rsidRPr="00742A04">
        <w:t>que se refiere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2E5047" w:rsidRPr="00742A04">
        <w:t>contratación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2A08" w:rsidRPr="00742A04">
        <w:t>personas</w:t>
      </w:r>
      <w:r w:rsidR="00545D1B" w:rsidRPr="00742A04">
        <w:t xml:space="preserve"> </w:t>
      </w:r>
      <w:r w:rsidRPr="00742A04">
        <w:t>que viven en</w:t>
      </w:r>
      <w:r w:rsidR="00545D1B" w:rsidRPr="00742A04">
        <w:t xml:space="preserve"> </w:t>
      </w:r>
      <w:r w:rsidRPr="00742A04">
        <w:t>una unión homosexual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las </w:t>
      </w:r>
      <w:r w:rsidR="00230F13" w:rsidRPr="00742A04">
        <w:t>comunidades r</w:t>
      </w:r>
      <w:r w:rsidR="00230F13" w:rsidRPr="00742A04">
        <w:t>e</w:t>
      </w:r>
      <w:r w:rsidR="00230F13" w:rsidRPr="00742A04">
        <w:t>ligiosas</w:t>
      </w:r>
      <w:r w:rsidR="00545D1B" w:rsidRPr="00742A04">
        <w:t>.</w:t>
      </w:r>
    </w:p>
    <w:p w:rsidR="00F5777C" w:rsidRPr="00742A04" w:rsidRDefault="00F5777C" w:rsidP="00F5777C">
      <w:pPr>
        <w:pStyle w:val="H1"/>
        <w:spacing w:line="120" w:lineRule="exact"/>
        <w:ind w:left="2534" w:right="1260" w:hanging="1267"/>
        <w:rPr>
          <w:bCs/>
          <w:sz w:val="10"/>
        </w:rPr>
      </w:pPr>
      <w:bookmarkStart w:id="9" w:name="_Toc131924663"/>
      <w:bookmarkStart w:id="10" w:name="_Toc147129452"/>
    </w:p>
    <w:p w:rsidR="00545D1B" w:rsidRPr="00742A04" w:rsidRDefault="00814B5D" w:rsidP="005176A8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2</w:t>
      </w:r>
      <w:r w:rsidR="004D313C" w:rsidRPr="00742A04">
        <w:rPr>
          <w:bCs/>
        </w:rPr>
        <w:t xml:space="preserve"> </w:t>
      </w:r>
      <w:r w:rsidR="00545D1B" w:rsidRPr="00742A04">
        <w:rPr>
          <w:bCs/>
          <w:i/>
        </w:rPr>
        <w:t>f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2</w:t>
      </w:r>
      <w:r w:rsidR="004D313C" w:rsidRPr="00742A04">
        <w:rPr>
          <w:bCs/>
        </w:rPr>
        <w:t xml:space="preserve"> </w:t>
      </w:r>
      <w:r w:rsidR="00545D1B" w:rsidRPr="00742A04">
        <w:rPr>
          <w:bCs/>
          <w:i/>
        </w:rPr>
        <w:t>g</w:t>
      </w:r>
      <w:bookmarkStart w:id="11" w:name="_Toc131924664"/>
      <w:bookmarkEnd w:id="9"/>
      <w:bookmarkEnd w:id="10"/>
    </w:p>
    <w:p w:rsidR="00F5777C" w:rsidRPr="00742A04" w:rsidRDefault="00F5777C" w:rsidP="00F5777C">
      <w:pPr>
        <w:pStyle w:val="SingleTxt"/>
        <w:spacing w:after="0" w:line="120" w:lineRule="exact"/>
        <w:rPr>
          <w:sz w:val="10"/>
        </w:rPr>
      </w:pPr>
    </w:p>
    <w:p w:rsidR="00545D1B" w:rsidRPr="00742A04" w:rsidRDefault="004D313C" w:rsidP="001C6426">
      <w:pPr>
        <w:pStyle w:val="SingleTxt"/>
        <w:ind w:firstLine="475"/>
      </w:pPr>
      <w:r w:rsidRPr="00742A04">
        <w:t>Estos puntos</w:t>
      </w:r>
      <w:r w:rsidR="00545D1B" w:rsidRPr="00742A04">
        <w:t xml:space="preserve"> </w:t>
      </w:r>
      <w:r w:rsidRPr="00742A04">
        <w:t>han sido considerados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los</w:t>
      </w:r>
      <w:r w:rsidR="00545D1B" w:rsidRPr="00742A04">
        <w:t xml:space="preserve"> </w:t>
      </w:r>
      <w:r w:rsidR="002E41F3" w:rsidRPr="00742A04">
        <w:t>informes</w:t>
      </w:r>
      <w:r w:rsidR="00545D1B" w:rsidRPr="00742A04">
        <w:t xml:space="preserve"> </w:t>
      </w:r>
      <w:r w:rsidRPr="00742A04">
        <w:t xml:space="preserve">temáticos más detallados </w:t>
      </w:r>
      <w:r w:rsidR="00552048" w:rsidRPr="00742A04">
        <w:t>relaci</w:t>
      </w:r>
      <w:r w:rsidRPr="00742A04">
        <w:t>onados</w:t>
      </w:r>
      <w:r w:rsidR="00552048" w:rsidRPr="00742A04">
        <w:t xml:space="preserve"> con </w:t>
      </w:r>
      <w:r w:rsidRPr="00742A04">
        <w:t>los artículos</w:t>
      </w:r>
      <w:r w:rsidR="00545D1B" w:rsidRPr="00742A04">
        <w:t xml:space="preserve"> 3 </w:t>
      </w:r>
      <w:r w:rsidRPr="00742A04">
        <w:t>a</w:t>
      </w:r>
      <w:r w:rsidR="00545D1B" w:rsidRPr="00742A04">
        <w:t xml:space="preserve"> 16.</w:t>
      </w:r>
    </w:p>
    <w:p w:rsidR="00F5777C" w:rsidRPr="00742A04" w:rsidRDefault="00F5777C" w:rsidP="00F5777C">
      <w:pPr>
        <w:pStyle w:val="H1"/>
        <w:spacing w:line="120" w:lineRule="exact"/>
        <w:ind w:left="2534" w:right="1260" w:hanging="1267"/>
        <w:rPr>
          <w:bCs/>
          <w:sz w:val="10"/>
        </w:rPr>
      </w:pPr>
      <w:bookmarkStart w:id="12" w:name="_Toc147129453"/>
    </w:p>
    <w:p w:rsidR="00F5777C" w:rsidRPr="00742A04" w:rsidRDefault="00814B5D" w:rsidP="00F5777C">
      <w:pPr>
        <w:pStyle w:val="H1"/>
        <w:ind w:left="2534" w:right="1260" w:hanging="1267"/>
        <w:rPr>
          <w:bCs/>
        </w:rPr>
      </w:pPr>
      <w:r w:rsidRPr="00742A04">
        <w:rPr>
          <w:bCs/>
        </w:rPr>
        <w:t>Artículo</w:t>
      </w:r>
      <w:r w:rsidR="00F5777C" w:rsidRPr="00742A04">
        <w:rPr>
          <w:bCs/>
        </w:rPr>
        <w:t xml:space="preserve"> 3</w:t>
      </w:r>
    </w:p>
    <w:p w:rsidR="00F5777C" w:rsidRPr="00742A04" w:rsidRDefault="00F5777C" w:rsidP="00F5777C">
      <w:pPr>
        <w:pStyle w:val="H1"/>
        <w:spacing w:line="120" w:lineRule="exact"/>
        <w:ind w:left="2534" w:right="1260" w:hanging="1267"/>
        <w:rPr>
          <w:bCs/>
          <w:sz w:val="10"/>
        </w:rPr>
      </w:pPr>
    </w:p>
    <w:p w:rsidR="00545D1B" w:rsidRPr="00742A04" w:rsidRDefault="00A05847" w:rsidP="00F5777C">
      <w:pPr>
        <w:pStyle w:val="H1"/>
        <w:ind w:left="2534" w:right="1260" w:hanging="1267"/>
        <w:rPr>
          <w:bCs/>
        </w:rPr>
      </w:pPr>
      <w:r w:rsidRPr="00742A04">
        <w:rPr>
          <w:bCs/>
        </w:rPr>
        <w:t>Igualdad de género y derechos humanos</w:t>
      </w:r>
      <w:bookmarkEnd w:id="11"/>
      <w:bookmarkEnd w:id="12"/>
    </w:p>
    <w:p w:rsidR="00F5777C" w:rsidRPr="00742A04" w:rsidRDefault="00F5777C" w:rsidP="00F5777C">
      <w:pPr>
        <w:pStyle w:val="SingleTxt"/>
        <w:spacing w:after="0" w:line="120" w:lineRule="exact"/>
        <w:rPr>
          <w:sz w:val="10"/>
        </w:rPr>
      </w:pP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2002-2005, </w:t>
      </w:r>
      <w:r w:rsidR="008F0C8E" w:rsidRPr="00742A04">
        <w:t>el Gobierno</w:t>
      </w:r>
      <w:r w:rsidR="00545D1B" w:rsidRPr="00742A04">
        <w:t xml:space="preserve"> </w:t>
      </w:r>
      <w:r w:rsidR="004D313C" w:rsidRPr="00742A04">
        <w:t>adoptó</w:t>
      </w:r>
      <w:r w:rsidR="00545D1B" w:rsidRPr="00742A04">
        <w:t xml:space="preserve"> </w:t>
      </w:r>
      <w:r w:rsidR="004D313C" w:rsidRPr="00742A04">
        <w:t>varios</w:t>
      </w:r>
      <w:r w:rsidR="00545D1B" w:rsidRPr="00742A04">
        <w:t xml:space="preserve"> </w:t>
      </w:r>
      <w:r w:rsidR="004D313C" w:rsidRPr="00742A04">
        <w:t xml:space="preserve">planes </w:t>
      </w:r>
      <w:r w:rsidR="0079108A" w:rsidRPr="00742A04">
        <w:t>nacio</w:t>
      </w:r>
      <w:r w:rsidR="004D313C" w:rsidRPr="00742A04">
        <w:t>nales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a</w:t>
      </w:r>
      <w:r w:rsidR="00545D1B" w:rsidRPr="00742A04">
        <w:t>c</w:t>
      </w:r>
      <w:r w:rsidR="00C14BFF" w:rsidRPr="00742A04">
        <w:t xml:space="preserve">ción </w:t>
      </w:r>
      <w:r w:rsidR="004D313C" w:rsidRPr="00742A04">
        <w:t>que</w:t>
      </w:r>
      <w:r w:rsidR="00230F13" w:rsidRPr="00742A04">
        <w:t xml:space="preserve"> </w:t>
      </w:r>
      <w:r w:rsidR="004D313C" w:rsidRPr="00742A04">
        <w:t>afectan en particular a</w:t>
      </w:r>
      <w:r w:rsidR="00545D1B" w:rsidRPr="00742A04">
        <w:t xml:space="preserve"> </w:t>
      </w:r>
      <w:r w:rsidR="00502E16" w:rsidRPr="00742A04">
        <w:t>los esfuerzos</w:t>
      </w:r>
      <w:r w:rsidR="00EA6AC2" w:rsidRPr="00742A04">
        <w:t xml:space="preserve"> por promover </w:t>
      </w:r>
      <w:r w:rsidR="004D313C" w:rsidRPr="00742A04">
        <w:t xml:space="preserve">los </w:t>
      </w:r>
      <w:r w:rsidR="00A05847" w:rsidRPr="00742A04">
        <w:t>derechos humanos</w:t>
      </w:r>
      <w:r w:rsidR="00545D1B" w:rsidRPr="00742A04">
        <w:t>, especial</w:t>
      </w:r>
      <w:r w:rsidR="004D313C" w:rsidRPr="00742A04">
        <w:t>mente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. </w:t>
      </w:r>
      <w:r w:rsidR="004D313C" w:rsidRPr="00742A04">
        <w:t>Entre dichos</w:t>
      </w:r>
      <w:r w:rsidR="00545D1B" w:rsidRPr="00742A04">
        <w:t xml:space="preserve"> </w:t>
      </w:r>
      <w:r w:rsidR="004D313C" w:rsidRPr="00742A04">
        <w:t>planes de acción</w:t>
      </w:r>
      <w:r w:rsidR="00545D1B" w:rsidRPr="00742A04">
        <w:t xml:space="preserve"> </w:t>
      </w:r>
      <w:r w:rsidR="004D313C" w:rsidRPr="00742A04">
        <w:t>figuran un</w:t>
      </w:r>
      <w:r w:rsidR="00545D1B" w:rsidRPr="00742A04">
        <w:t xml:space="preserve"> plan introduc</w:t>
      </w:r>
      <w:r w:rsidR="00B05988" w:rsidRPr="00742A04">
        <w:t>ido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2003 </w:t>
      </w:r>
      <w:r w:rsidR="00B05988" w:rsidRPr="00742A04">
        <w:t>en relación con</w:t>
      </w:r>
      <w:r w:rsidR="00545D1B" w:rsidRPr="00742A04">
        <w:t xml:space="preserve"> </w:t>
      </w:r>
      <w:r w:rsidR="004D313C" w:rsidRPr="00742A04">
        <w:t xml:space="preserve">los esfuerzos </w:t>
      </w:r>
      <w:r w:rsidR="001167D2" w:rsidRPr="00742A04">
        <w:t>internacional</w:t>
      </w:r>
      <w:r w:rsidR="00B05988" w:rsidRPr="00742A04">
        <w:t>es</w:t>
      </w:r>
      <w:r w:rsidR="00545D1B" w:rsidRPr="00742A04">
        <w:t xml:space="preserve"> </w:t>
      </w:r>
      <w:r w:rsidR="004D313C" w:rsidRPr="00742A04">
        <w:t xml:space="preserve">del Gobierno </w:t>
      </w:r>
      <w:r w:rsidR="007C341F" w:rsidRPr="00742A04">
        <w:t>de lucha con</w:t>
      </w:r>
      <w:r w:rsidR="00B05988" w:rsidRPr="00742A04">
        <w:softHyphen/>
      </w:r>
      <w:r w:rsidR="007C341F" w:rsidRPr="00742A04">
        <w:t>tra</w:t>
      </w:r>
      <w:r w:rsidR="00ED4DF1" w:rsidRPr="00742A04">
        <w:t xml:space="preserve"> la </w:t>
      </w:r>
      <w:r w:rsidR="000220D6" w:rsidRPr="00742A04">
        <w:t>mutilación genital femenina</w:t>
      </w:r>
      <w:r w:rsidR="00C14BFF" w:rsidRPr="00742A04">
        <w:t xml:space="preserve"> </w:t>
      </w:r>
      <w:r w:rsidR="00877AA0" w:rsidRPr="00742A04">
        <w:t>y</w:t>
      </w:r>
      <w:r w:rsidR="00B05988" w:rsidRPr="00742A04">
        <w:t xml:space="preserve"> un Plan </w:t>
      </w:r>
      <w:r w:rsidRPr="00742A04">
        <w:t>de</w:t>
      </w:r>
      <w:r w:rsidR="004D313C" w:rsidRPr="00742A04">
        <w:t xml:space="preserve"> A</w:t>
      </w:r>
      <w:r w:rsidR="00545D1B" w:rsidRPr="00742A04">
        <w:t>c</w:t>
      </w:r>
      <w:r w:rsidR="00C14BFF" w:rsidRPr="00742A04">
        <w:t xml:space="preserve">ción </w:t>
      </w:r>
      <w:r w:rsidR="00F650FB" w:rsidRPr="00742A04">
        <w:t xml:space="preserve">de Lucha contra la Trata </w:t>
      </w:r>
      <w:r w:rsidR="004D313C" w:rsidRPr="00742A04">
        <w:t>de Mujeres</w:t>
      </w:r>
      <w:r w:rsidR="00F650FB" w:rsidRPr="00742A04">
        <w:t xml:space="preserve"> y Niños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05988" w:rsidRPr="00742A04">
        <w:t xml:space="preserve">el período </w:t>
      </w:r>
      <w:r w:rsidR="00545D1B" w:rsidRPr="00742A04">
        <w:t xml:space="preserve">2003-2005, </w:t>
      </w:r>
      <w:r w:rsidR="00B05988" w:rsidRPr="00742A04">
        <w:t>que</w:t>
      </w:r>
      <w:r w:rsidR="00545D1B" w:rsidRPr="00742A04">
        <w:t xml:space="preserve"> </w:t>
      </w:r>
      <w:r w:rsidR="00B05988" w:rsidRPr="00742A04">
        <w:t xml:space="preserve">se ha </w:t>
      </w:r>
      <w:r w:rsidR="00545D1B" w:rsidRPr="00742A04">
        <w:t>continu</w:t>
      </w:r>
      <w:r w:rsidR="00B05988" w:rsidRPr="00742A04">
        <w:t>ado</w:t>
      </w:r>
      <w:r w:rsidR="00545D1B" w:rsidRPr="00742A04">
        <w:t xml:space="preserve"> </w:t>
      </w:r>
      <w:r w:rsidR="00C14BFF" w:rsidRPr="00742A04">
        <w:t>en</w:t>
      </w:r>
      <w:r w:rsidR="00B05988" w:rsidRPr="00742A04">
        <w:t xml:space="preserve"> un nuevo</w:t>
      </w:r>
      <w:r w:rsidR="00545D1B" w:rsidRPr="00742A04">
        <w:t xml:space="preserve"> plan </w:t>
      </w:r>
      <w:r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2005-2008. </w:t>
      </w:r>
      <w:r w:rsidR="00B05988" w:rsidRPr="00742A04">
        <w:t>Esos dos</w:t>
      </w:r>
      <w:r w:rsidR="00545D1B" w:rsidRPr="00742A04">
        <w:t xml:space="preserve"> </w:t>
      </w:r>
      <w:r w:rsidR="00242371" w:rsidRPr="00742A04">
        <w:t>planes</w:t>
      </w:r>
      <w:r w:rsidR="00B05988" w:rsidRPr="00742A04">
        <w:t>, así como</w:t>
      </w:r>
      <w:r w:rsidR="00545D1B" w:rsidRPr="00742A04">
        <w:t xml:space="preserve"> </w:t>
      </w:r>
      <w:r w:rsidR="00502E16" w:rsidRPr="00742A04">
        <w:t>los e</w:t>
      </w:r>
      <w:r w:rsidR="00502E16" w:rsidRPr="00742A04">
        <w:t>s</w:t>
      </w:r>
      <w:r w:rsidR="00502E16" w:rsidRPr="00742A04">
        <w:t>fuerzos</w:t>
      </w:r>
      <w:r w:rsidR="00545D1B" w:rsidRPr="00742A04">
        <w:t xml:space="preserve"> </w:t>
      </w:r>
      <w:r w:rsidR="007C341F" w:rsidRPr="00742A04">
        <w:t>de lucha contra la</w:t>
      </w:r>
      <w:r w:rsidR="00545D1B" w:rsidRPr="00742A04">
        <w:t xml:space="preserve"> </w:t>
      </w:r>
      <w:r w:rsidR="00CB2022" w:rsidRPr="00742A04">
        <w:t>violencia doméstica</w:t>
      </w:r>
      <w:r w:rsidR="00B05988" w:rsidRPr="00742A04">
        <w:t>,</w:t>
      </w:r>
      <w:r w:rsidR="00545D1B" w:rsidRPr="00742A04">
        <w:t xml:space="preserve"> </w:t>
      </w:r>
      <w:r w:rsidR="006137EC" w:rsidRPr="00742A04">
        <w:t>s</w:t>
      </w:r>
      <w:r w:rsidR="00B05988" w:rsidRPr="00742A04">
        <w:t>e describen</w:t>
      </w:r>
      <w:r w:rsidR="00545D1B" w:rsidRPr="00742A04">
        <w:t xml:space="preserve"> </w:t>
      </w:r>
      <w:r w:rsidR="00552048" w:rsidRPr="00742A04">
        <w:t>en relación con el art</w:t>
      </w:r>
      <w:r w:rsidR="00552048" w:rsidRPr="00742A04">
        <w:t>í</w:t>
      </w:r>
      <w:r w:rsidR="00552048" w:rsidRPr="00742A04">
        <w:t>culo</w:t>
      </w:r>
      <w:r w:rsidR="00545D1B" w:rsidRPr="00742A04">
        <w:t xml:space="preserve"> 6. </w:t>
      </w:r>
      <w:r w:rsidR="00502E16" w:rsidRPr="00742A04">
        <w:t>L</w:t>
      </w:r>
      <w:r w:rsidR="00B05988" w:rsidRPr="00742A04">
        <w:t>a información relativa a l</w:t>
      </w:r>
      <w:r w:rsidR="00502E16" w:rsidRPr="00742A04">
        <w:t xml:space="preserve">os </w:t>
      </w:r>
      <w:r w:rsidR="00935A90" w:rsidRPr="00742A04">
        <w:t xml:space="preserve">esfuerzos por </w:t>
      </w:r>
      <w:r w:rsidR="00502E16" w:rsidRPr="00742A04">
        <w:t>prevenir</w:t>
      </w:r>
      <w:r w:rsidR="00545D1B" w:rsidRPr="00742A04">
        <w:t xml:space="preserve"> </w:t>
      </w:r>
      <w:r w:rsidR="00CA313E" w:rsidRPr="00742A04">
        <w:t>el matrimonio forzado</w:t>
      </w:r>
      <w:r w:rsidR="00545D1B" w:rsidRPr="00742A04">
        <w:t xml:space="preserve"> </w:t>
      </w:r>
      <w:r w:rsidR="00B05988" w:rsidRPr="00742A04">
        <w:t>se consigna</w:t>
      </w:r>
      <w:r w:rsidR="00545D1B" w:rsidRPr="00742A04">
        <w:t xml:space="preserve"> </w:t>
      </w:r>
      <w:r w:rsidR="00552048" w:rsidRPr="00742A04">
        <w:t>en relación con el a</w:t>
      </w:r>
      <w:r w:rsidR="00552048" w:rsidRPr="00742A04">
        <w:t>r</w:t>
      </w:r>
      <w:r w:rsidR="00552048" w:rsidRPr="00742A04">
        <w:t>tículo</w:t>
      </w:r>
      <w:r w:rsidR="00545D1B" w:rsidRPr="00742A04">
        <w:t xml:space="preserve"> 16.</w:t>
      </w:r>
    </w:p>
    <w:p w:rsidR="00545D1B" w:rsidRPr="00742A04" w:rsidRDefault="004D313C" w:rsidP="004D313C">
      <w:pPr>
        <w:pStyle w:val="SingleTxt"/>
        <w:jc w:val="left"/>
        <w:rPr>
          <w:i/>
        </w:rPr>
      </w:pPr>
      <w:r w:rsidRPr="00742A04">
        <w:rPr>
          <w:i/>
        </w:rPr>
        <w:t>Situación</w:t>
      </w:r>
      <w:r w:rsidR="00545D1B" w:rsidRPr="00742A04">
        <w:rPr>
          <w:i/>
        </w:rPr>
        <w:t xml:space="preserve"> </w:t>
      </w:r>
      <w:r w:rsidR="00C076F2" w:rsidRPr="00742A04">
        <w:rPr>
          <w:i/>
        </w:rPr>
        <w:t xml:space="preserve">de los </w:t>
      </w:r>
      <w:r w:rsidR="00502E16" w:rsidRPr="00742A04">
        <w:rPr>
          <w:i/>
        </w:rPr>
        <w:t>esfuerzos</w:t>
      </w:r>
      <w:r w:rsidR="00EA6AC2" w:rsidRPr="00742A04">
        <w:rPr>
          <w:i/>
        </w:rPr>
        <w:t xml:space="preserve"> por promover </w:t>
      </w:r>
      <w:r w:rsidR="00B05988" w:rsidRPr="00742A04">
        <w:rPr>
          <w:i/>
        </w:rPr>
        <w:t>determinadas</w:t>
      </w:r>
      <w:r w:rsidRPr="00742A04">
        <w:rPr>
          <w:i/>
        </w:rPr>
        <w:br/>
      </w:r>
      <w:r w:rsidR="00B05988" w:rsidRPr="00742A04">
        <w:rPr>
          <w:i/>
        </w:rPr>
        <w:t>esferas</w:t>
      </w:r>
      <w:r w:rsidRPr="00742A04">
        <w:rPr>
          <w:i/>
        </w:rPr>
        <w:t xml:space="preserve"> de </w:t>
      </w:r>
      <w:r w:rsidR="00A05847" w:rsidRPr="00742A04">
        <w:rPr>
          <w:i/>
        </w:rPr>
        <w:t>derechos humanos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</w:t>
      </w:r>
      <w:r w:rsidR="00F97F41" w:rsidRPr="00742A04">
        <w:rPr>
          <w:i/>
        </w:rPr>
        <w:t>su</w:t>
      </w:r>
      <w:r w:rsidR="00545D1B" w:rsidRPr="00742A04">
        <w:rPr>
          <w:i/>
        </w:rPr>
        <w:t xml:space="preserve"> </w:t>
      </w:r>
      <w:r w:rsidR="00B05988" w:rsidRPr="00742A04">
        <w:rPr>
          <w:i/>
        </w:rPr>
        <w:t>fundamento jurídico</w:t>
      </w: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2F3238" w:rsidRPr="00742A04">
        <w:t>la primavera de</w:t>
      </w:r>
      <w:r w:rsidR="00545D1B" w:rsidRPr="00742A04">
        <w:t xml:space="preserve"> 2003 </w:t>
      </w:r>
      <w:r w:rsidR="008F0C8E" w:rsidRPr="00742A04">
        <w:t>el Gobierno</w:t>
      </w:r>
      <w:r w:rsidR="00545D1B" w:rsidRPr="00742A04">
        <w:t xml:space="preserve"> </w:t>
      </w:r>
      <w:r w:rsidR="002F3238" w:rsidRPr="00742A04">
        <w:t>presentó la Proposición</w:t>
      </w:r>
      <w:r w:rsidR="00C14BFF" w:rsidRPr="00742A04">
        <w:t xml:space="preserve"> </w:t>
      </w:r>
      <w:r w:rsidR="00F97F41" w:rsidRPr="00742A04">
        <w:t>N°</w:t>
      </w:r>
      <w:r w:rsidR="00545D1B" w:rsidRPr="00742A04">
        <w:t xml:space="preserve"> 45 (2002-2003) </w:t>
      </w:r>
      <w:r w:rsidR="003C25BF" w:rsidRPr="00742A04">
        <w:t>al Odelsting</w:t>
      </w:r>
      <w:r w:rsidR="00545D1B" w:rsidRPr="00742A04">
        <w:t xml:space="preserve"> </w:t>
      </w:r>
      <w:r w:rsidR="002F3238" w:rsidRPr="00742A04">
        <w:t>sobre la</w:t>
      </w:r>
      <w:r w:rsidR="00545D1B" w:rsidRPr="00742A04">
        <w:t xml:space="preserve"> incorpora</w:t>
      </w:r>
      <w:r w:rsidR="00C14BFF" w:rsidRPr="00742A04">
        <w:t xml:space="preserve">ción </w:t>
      </w:r>
      <w:r w:rsidR="00F43124" w:rsidRPr="00742A04">
        <w:t xml:space="preserve">de la </w:t>
      </w:r>
      <w:r w:rsidR="007D66F2" w:rsidRPr="00742A04">
        <w:t>Convención de las Naciones Unidas</w:t>
      </w:r>
      <w:r w:rsidR="00EA776F" w:rsidRPr="00742A04">
        <w:t xml:space="preserve"> sobre los Derechos del Niño</w:t>
      </w:r>
      <w:r w:rsidR="00545D1B" w:rsidRPr="00742A04">
        <w:t xml:space="preserve"> </w:t>
      </w:r>
      <w:r w:rsidR="00BD47D3" w:rsidRPr="00742A04">
        <w:t>al derecho de Noruega</w:t>
      </w:r>
      <w:r w:rsidR="00545D1B" w:rsidRPr="00742A04">
        <w:t xml:space="preserve">. </w:t>
      </w:r>
      <w:r w:rsidRPr="00742A04">
        <w:t>En</w:t>
      </w:r>
      <w:r w:rsidR="00545D1B" w:rsidRPr="00742A04">
        <w:t xml:space="preserve"> </w:t>
      </w:r>
      <w:r w:rsidR="00EA776F" w:rsidRPr="00742A04">
        <w:t>junio de</w:t>
      </w:r>
      <w:r w:rsidR="00545D1B" w:rsidRPr="00742A04">
        <w:t xml:space="preserve"> 2003, </w:t>
      </w:r>
      <w:r w:rsidR="00BD47D3" w:rsidRPr="00742A04">
        <w:t>el Storting</w:t>
      </w:r>
      <w:r w:rsidR="00545D1B" w:rsidRPr="00742A04">
        <w:t xml:space="preserve"> </w:t>
      </w:r>
      <w:r w:rsidR="002F3238" w:rsidRPr="00742A04">
        <w:t>votó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F3238" w:rsidRPr="00742A04">
        <w:t xml:space="preserve">favor de la </w:t>
      </w:r>
      <w:r w:rsidR="00545D1B" w:rsidRPr="00742A04">
        <w:t>incorpora</w:t>
      </w:r>
      <w:r w:rsidR="002F3238" w:rsidRPr="00742A04">
        <w:t>ción de</w:t>
      </w:r>
      <w:r w:rsidR="00545D1B" w:rsidRPr="00742A04">
        <w:t xml:space="preserve"> </w:t>
      </w:r>
      <w:r w:rsidR="002F3238" w:rsidRPr="00742A04">
        <w:t>dich</w:t>
      </w:r>
      <w:r w:rsidR="00CD2FF0" w:rsidRPr="00742A04">
        <w:t>a Convención</w:t>
      </w:r>
      <w:r w:rsidR="00C14BFF" w:rsidRPr="00742A04">
        <w:t xml:space="preserve"> </w:t>
      </w:r>
      <w:r w:rsidR="00BD47D3" w:rsidRPr="00742A04">
        <w:t>al derecho de Noruega</w:t>
      </w:r>
      <w:r w:rsidR="002F3238" w:rsidRPr="00742A04">
        <w:t xml:space="preserve"> añ</w:t>
      </w:r>
      <w:r w:rsidR="002F3238" w:rsidRPr="00742A04">
        <w:t>a</w:t>
      </w:r>
      <w:r w:rsidR="002F3238" w:rsidRPr="00742A04">
        <w:t>diéndola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2F3238" w:rsidRPr="00742A04">
        <w:t xml:space="preserve">lista de </w:t>
      </w:r>
      <w:r w:rsidR="00BD47D3" w:rsidRPr="00742A04">
        <w:t>convenciones de derechos humanos</w:t>
      </w:r>
      <w:r w:rsidR="00545D1B" w:rsidRPr="00742A04">
        <w:t xml:space="preserve"> </w:t>
      </w:r>
      <w:r w:rsidR="002F3238" w:rsidRPr="00742A04">
        <w:t>que,</w:t>
      </w:r>
      <w:r w:rsidR="00545D1B" w:rsidRPr="00742A04">
        <w:t xml:space="preserve"> </w:t>
      </w:r>
      <w:r w:rsidR="00BD47D3" w:rsidRPr="00742A04">
        <w:t xml:space="preserve">en virtud </w:t>
      </w:r>
      <w:r w:rsidR="00F43124" w:rsidRPr="00742A04">
        <w:t xml:space="preserve">de la </w:t>
      </w:r>
      <w:r w:rsidR="00EA776F" w:rsidRPr="00742A04">
        <w:t>Ley sobre Derechos Humanos</w:t>
      </w:r>
      <w:r w:rsidR="00545D1B" w:rsidRPr="00742A04">
        <w:t xml:space="preserve"> (</w:t>
      </w:r>
      <w:r w:rsidR="00130F7F" w:rsidRPr="00742A04">
        <w:t>Ley</w:t>
      </w:r>
      <w:r w:rsidR="00545D1B" w:rsidRPr="00742A04">
        <w:t xml:space="preserve"> </w:t>
      </w:r>
      <w:r w:rsidR="002F3238" w:rsidRPr="00742A04">
        <w:t xml:space="preserve">N° 30, </w:t>
      </w:r>
      <w:r w:rsidRPr="00742A04">
        <w:t>de</w:t>
      </w:r>
      <w:r w:rsidR="00545D1B" w:rsidRPr="00742A04">
        <w:t xml:space="preserve"> 21 </w:t>
      </w:r>
      <w:r w:rsidR="00CD2FF0" w:rsidRPr="00742A04">
        <w:t>de mayo de</w:t>
      </w:r>
      <w:r w:rsidR="00545D1B" w:rsidRPr="00742A04">
        <w:t xml:space="preserve"> 1999), </w:t>
      </w:r>
      <w:r w:rsidR="002F3238" w:rsidRPr="00742A04">
        <w:t>se aplican como</w:t>
      </w:r>
      <w:r w:rsidR="00BD47D3" w:rsidRPr="00742A04">
        <w:t xml:space="preserve"> d</w:t>
      </w:r>
      <w:r w:rsidR="00BD47D3" w:rsidRPr="00742A04">
        <w:t>e</w:t>
      </w:r>
      <w:r w:rsidR="00BD47D3" w:rsidRPr="00742A04">
        <w:t>recho de Noruega</w:t>
      </w:r>
      <w:r w:rsidR="00545D1B" w:rsidRPr="00742A04">
        <w:t xml:space="preserve">. </w:t>
      </w:r>
      <w:r w:rsidR="002F3238" w:rsidRPr="00742A04">
        <w:t>La enmienda legislativa</w:t>
      </w:r>
      <w:r w:rsidR="00545D1B" w:rsidRPr="00742A04">
        <w:t xml:space="preserve"> </w:t>
      </w:r>
      <w:r w:rsidR="00C14BFF" w:rsidRPr="00742A04">
        <w:t>entró en vigor</w:t>
      </w:r>
      <w:r w:rsidR="00545D1B" w:rsidRPr="00742A04">
        <w:t xml:space="preserve"> </w:t>
      </w:r>
      <w:r w:rsidR="002F3238" w:rsidRPr="00742A04">
        <w:t xml:space="preserve">el 1° de </w:t>
      </w:r>
      <w:r w:rsidRPr="00742A04">
        <w:t>octubre de</w:t>
      </w:r>
      <w:r w:rsidR="00545D1B" w:rsidRPr="00742A04">
        <w:t xml:space="preserve"> 2003. </w:t>
      </w:r>
      <w:r w:rsidR="00130F7F" w:rsidRPr="00742A04">
        <w:t>Al mismo tiempo</w:t>
      </w:r>
      <w:r w:rsidR="00545D1B" w:rsidRPr="00742A04">
        <w:t xml:space="preserve">, </w:t>
      </w:r>
      <w:r w:rsidR="002F3238" w:rsidRPr="00742A04">
        <w:t>se aprobaron enmiendas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D0883" w:rsidRPr="00742A04">
        <w:t>leyes</w:t>
      </w:r>
      <w:r w:rsidR="00545D1B" w:rsidRPr="00742A04">
        <w:t xml:space="preserve"> </w:t>
      </w:r>
      <w:r w:rsidR="00AD0883" w:rsidRPr="00742A04">
        <w:t>tales como</w:t>
      </w:r>
      <w:r w:rsidR="00545D1B" w:rsidRPr="00742A04">
        <w:t xml:space="preserve"> </w:t>
      </w:r>
      <w:r w:rsidR="00AD0883" w:rsidRPr="00742A04">
        <w:t>la Ley sobre la Infa</w:t>
      </w:r>
      <w:r w:rsidR="00AD0883" w:rsidRPr="00742A04">
        <w:t>n</w:t>
      </w:r>
      <w:r w:rsidR="00AD0883" w:rsidRPr="00742A04">
        <w:t>cia</w:t>
      </w:r>
      <w:r w:rsidR="00A93B9E" w:rsidRPr="00742A04">
        <w:t xml:space="preserve">, la </w:t>
      </w:r>
      <w:r w:rsidR="00AD0883" w:rsidRPr="00742A04">
        <w:t xml:space="preserve">Ley sobre el Bienestar </w:t>
      </w:r>
      <w:r w:rsidR="00F43124" w:rsidRPr="00742A04">
        <w:t xml:space="preserve">de la </w:t>
      </w:r>
      <w:r w:rsidR="00AD0883" w:rsidRPr="00742A04">
        <w:t>Infancia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D0883" w:rsidRPr="00742A04">
        <w:t>la Ley sobre la Adopción</w:t>
      </w:r>
      <w:r w:rsidR="002F3238" w:rsidRPr="00742A04">
        <w:t>, a fin de</w:t>
      </w:r>
      <w:r w:rsidR="00545D1B" w:rsidRPr="00742A04">
        <w:t xml:space="preserve"> </w:t>
      </w:r>
      <w:r w:rsidR="002F3238" w:rsidRPr="00742A04">
        <w:t>p</w:t>
      </w:r>
      <w:r w:rsidR="002F3238" w:rsidRPr="00742A04">
        <w:t>o</w:t>
      </w:r>
      <w:r w:rsidR="002F3238" w:rsidRPr="00742A04">
        <w:t>ner de relieve el</w:t>
      </w:r>
      <w:r w:rsidR="00FF575F" w:rsidRPr="00742A04">
        <w:t xml:space="preserve"> artículo</w:t>
      </w:r>
      <w:r w:rsidR="00545D1B" w:rsidRPr="00742A04">
        <w:t xml:space="preserve"> 12 </w:t>
      </w:r>
      <w:r w:rsidR="00F43124" w:rsidRPr="00742A04">
        <w:t xml:space="preserve">de la </w:t>
      </w:r>
      <w:r w:rsidR="00CD2FF0" w:rsidRPr="00742A04">
        <w:t>Convención</w:t>
      </w:r>
      <w:r w:rsidR="00EA776F" w:rsidRPr="00742A04">
        <w:t xml:space="preserve"> sobre los Derechos del Niño</w:t>
      </w:r>
      <w:r w:rsidR="002F3238" w:rsidRPr="00742A04">
        <w:t>,</w:t>
      </w:r>
      <w:r w:rsidR="00545D1B" w:rsidRPr="00742A04">
        <w:t xml:space="preserve"> </w:t>
      </w:r>
      <w:r w:rsidR="002F3238" w:rsidRPr="00742A04">
        <w:t>relativo al derecho del niño</w:t>
      </w:r>
      <w:r w:rsidR="00545D1B" w:rsidRPr="00742A04">
        <w:t xml:space="preserve"> </w:t>
      </w:r>
      <w:r w:rsidR="002F3238" w:rsidRPr="00742A04">
        <w:t>a ser escuchado</w:t>
      </w:r>
      <w:r w:rsidR="00545D1B" w:rsidRPr="00742A04">
        <w:t xml:space="preserve">. </w:t>
      </w:r>
      <w:r w:rsidR="002F3238" w:rsidRPr="00742A04">
        <w:t>Los niños</w:t>
      </w:r>
      <w:r w:rsidR="00545D1B" w:rsidRPr="00742A04">
        <w:t xml:space="preserve"> </w:t>
      </w:r>
      <w:r w:rsidR="002F3238" w:rsidRPr="00742A04">
        <w:t>que hayan cumplido 7 años d</w:t>
      </w:r>
      <w:r w:rsidR="00545D1B" w:rsidRPr="00742A04">
        <w:t xml:space="preserve">e </w:t>
      </w:r>
      <w:r w:rsidR="00A93B9E" w:rsidRPr="00742A04">
        <w:t>edad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3238" w:rsidRPr="00742A04">
        <w:t>los niños menores</w:t>
      </w:r>
      <w:r w:rsidR="00545D1B" w:rsidRPr="00742A04">
        <w:t xml:space="preserve"> </w:t>
      </w:r>
      <w:r w:rsidR="002F3238" w:rsidRPr="00742A04">
        <w:t>que estén en condiciones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2F3238" w:rsidRPr="00742A04">
        <w:t>formarse un juicio propio</w:t>
      </w:r>
      <w:r w:rsidR="00545D1B" w:rsidRPr="00742A04">
        <w:t xml:space="preserve"> </w:t>
      </w:r>
      <w:r w:rsidR="002F3238" w:rsidRPr="00742A04">
        <w:t>deben ser informados</w:t>
      </w:r>
      <w:r w:rsidR="00545D1B" w:rsidRPr="00742A04">
        <w:t xml:space="preserve"> </w:t>
      </w:r>
      <w:r w:rsidR="007239A9">
        <w:t>sobre</w:t>
      </w:r>
      <w:r w:rsidR="007239A9" w:rsidRPr="00742A04">
        <w:t xml:space="preserve"> los casos que los afecten </w:t>
      </w:r>
      <w:r w:rsidR="00877AA0" w:rsidRPr="00742A04">
        <w:t>y</w:t>
      </w:r>
      <w:r w:rsidR="00545D1B" w:rsidRPr="00742A04">
        <w:t xml:space="preserve"> </w:t>
      </w:r>
      <w:r w:rsidR="002F3238" w:rsidRPr="00742A04">
        <w:t>se les debe dar la</w:t>
      </w:r>
      <w:r w:rsidR="00545D1B" w:rsidRPr="00742A04">
        <w:t xml:space="preserve"> </w:t>
      </w:r>
      <w:r w:rsidR="002F3238" w:rsidRPr="00742A04">
        <w:t>oport</w:t>
      </w:r>
      <w:r w:rsidR="00545D1B" w:rsidRPr="00742A04">
        <w:t>un</w:t>
      </w:r>
      <w:r w:rsidR="00502E16" w:rsidRPr="00742A04">
        <w:t>idad</w:t>
      </w:r>
      <w:r w:rsidR="00545D1B" w:rsidRPr="00742A04">
        <w:t xml:space="preserve"> </w:t>
      </w:r>
      <w:r w:rsidR="002F3238" w:rsidRPr="00742A04">
        <w:t>de e</w:t>
      </w:r>
      <w:r w:rsidR="002F3238" w:rsidRPr="00742A04">
        <w:t>x</w:t>
      </w:r>
      <w:r w:rsidR="002F3238" w:rsidRPr="00742A04">
        <w:t>presar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opin</w:t>
      </w:r>
      <w:r w:rsidR="005E6919" w:rsidRPr="00742A04">
        <w:t xml:space="preserve">ión </w:t>
      </w:r>
      <w:r w:rsidR="00A826CB" w:rsidRPr="00742A04">
        <w:t>antes de</w:t>
      </w:r>
      <w:r w:rsidR="00545D1B" w:rsidRPr="00742A04">
        <w:t xml:space="preserve"> </w:t>
      </w:r>
      <w:r w:rsidR="00A826CB" w:rsidRPr="00742A04">
        <w:t xml:space="preserve">que se tome una </w:t>
      </w:r>
      <w:r w:rsidR="00FC59C5" w:rsidRPr="00742A04">
        <w:t>decisi</w:t>
      </w:r>
      <w:r w:rsidR="00A826CB" w:rsidRPr="00742A04">
        <w:t>ó</w:t>
      </w:r>
      <w:r w:rsidR="00FC59C5" w:rsidRPr="00742A04">
        <w:t>n</w:t>
      </w:r>
      <w:r w:rsidR="00E6372C" w:rsidRPr="00E6372C">
        <w:t xml:space="preserve"> </w:t>
      </w:r>
      <w:r w:rsidR="00E6372C">
        <w:t>sobre dichos casos</w:t>
      </w:r>
      <w:r w:rsidR="00545D1B" w:rsidRPr="00742A04">
        <w:t>.</w:t>
      </w:r>
    </w:p>
    <w:p w:rsidR="00545D1B" w:rsidRPr="00742A04" w:rsidRDefault="00D515FC" w:rsidP="001C6426">
      <w:pPr>
        <w:pStyle w:val="SingleTxt"/>
        <w:ind w:firstLine="475"/>
      </w:pPr>
      <w:r w:rsidRPr="00742A04">
        <w:t>Las</w:t>
      </w:r>
      <w:r w:rsidR="00D42876" w:rsidRPr="00742A04">
        <w:t xml:space="preserve"> autoridades de Noruega</w:t>
      </w:r>
      <w:r w:rsidR="00545D1B" w:rsidRPr="00742A04">
        <w:t xml:space="preserve"> </w:t>
      </w:r>
      <w:r w:rsidR="001633F4" w:rsidRPr="00742A04">
        <w:t>participaron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24287" w:rsidRPr="00742A04">
        <w:t xml:space="preserve">los </w:t>
      </w:r>
      <w:r w:rsidR="00545D1B" w:rsidRPr="00742A04">
        <w:t>prepara</w:t>
      </w:r>
      <w:r w:rsidR="00A24287" w:rsidRPr="00742A04">
        <w:t>tivos y en la realiz</w:t>
      </w:r>
      <w:r w:rsidR="00545D1B" w:rsidRPr="00742A04">
        <w:t>a</w:t>
      </w:r>
      <w:r w:rsidR="00C14BFF" w:rsidRPr="00742A04">
        <w:t xml:space="preserve">ción </w:t>
      </w:r>
      <w:r w:rsidR="004A0730" w:rsidRPr="00742A04">
        <w:t>de</w:t>
      </w:r>
      <w:r w:rsidR="00AD0883" w:rsidRPr="00742A04">
        <w:t xml:space="preserve">l vigésimo séptimo período extraordinario de sesiones </w:t>
      </w:r>
      <w:r w:rsidR="00F43124" w:rsidRPr="00742A04">
        <w:t xml:space="preserve">de la </w:t>
      </w:r>
      <w:r w:rsidR="00AD0883" w:rsidRPr="00742A04">
        <w:t>Asamblea G</w:t>
      </w:r>
      <w:r w:rsidR="00AD0883" w:rsidRPr="00742A04">
        <w:t>e</w:t>
      </w:r>
      <w:r w:rsidR="00AD0883" w:rsidRPr="00742A04">
        <w:t>neral de las Naciones Unidas sobre la infancia,</w:t>
      </w:r>
      <w:r w:rsidR="00545D1B" w:rsidRPr="00742A04">
        <w:t xml:space="preserve"> </w:t>
      </w:r>
      <w:r w:rsidR="00AD0883" w:rsidRPr="00742A04">
        <w:t>celebrado</w:t>
      </w:r>
      <w:r w:rsidR="00545D1B" w:rsidRPr="00742A04">
        <w:t xml:space="preserve"> </w:t>
      </w:r>
      <w:r w:rsidR="00A24287" w:rsidRPr="00742A04">
        <w:t xml:space="preserve">entre el 8 y el </w:t>
      </w:r>
      <w:r w:rsidR="00545D1B" w:rsidRPr="00742A04">
        <w:t xml:space="preserve">10 </w:t>
      </w:r>
      <w:r w:rsidR="00CD2FF0" w:rsidRPr="00742A04">
        <w:t>de mayo de</w:t>
      </w:r>
      <w:r w:rsidR="00545D1B" w:rsidRPr="00742A04">
        <w:t xml:space="preserve"> 2002. </w:t>
      </w:r>
      <w:r w:rsidR="002F3238" w:rsidRPr="00742A04">
        <w:t>Los niños</w:t>
      </w:r>
      <w:r w:rsidR="00545D1B" w:rsidRPr="00742A04">
        <w:t xml:space="preserve">, </w:t>
      </w:r>
      <w:r w:rsidR="00A24287" w:rsidRPr="00742A04">
        <w:t>los jóvenes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32DF9" w:rsidRPr="00742A04">
        <w:t>las organizaciones voluntarias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A24287" w:rsidRPr="00742A04">
        <w:t>fueron activos part</w:t>
      </w:r>
      <w:r w:rsidR="00A24287" w:rsidRPr="00742A04">
        <w:t>i</w:t>
      </w:r>
      <w:r w:rsidR="00A24287" w:rsidRPr="00742A04">
        <w:t>cipantes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E2D7A" w:rsidRPr="00742A04">
        <w:t>ese proceso</w:t>
      </w:r>
      <w:r w:rsidR="00545D1B" w:rsidRPr="00742A04">
        <w:t xml:space="preserve">, </w:t>
      </w:r>
      <w:r w:rsidR="00A24287" w:rsidRPr="00742A04">
        <w:t>que</w:t>
      </w:r>
      <w:r w:rsidR="00545D1B" w:rsidRPr="00742A04">
        <w:t xml:space="preserve"> culmin</w:t>
      </w:r>
      <w:r w:rsidR="00A24287" w:rsidRPr="00742A04">
        <w:t>ó con el libro</w:t>
      </w:r>
      <w:r w:rsidR="00545D1B" w:rsidRPr="00742A04">
        <w:t xml:space="preserve"> </w:t>
      </w:r>
      <w:r w:rsidR="00545D1B" w:rsidRPr="00742A04">
        <w:rPr>
          <w:i/>
        </w:rPr>
        <w:t xml:space="preserve">“Hallo, er det noen der?” </w:t>
      </w:r>
      <w:r w:rsidR="00545D1B" w:rsidRPr="00742A04">
        <w:t>(</w:t>
      </w:r>
      <w:r w:rsidR="00E6372C">
        <w:t>“Hola, ¿</w:t>
      </w:r>
      <w:r w:rsidR="002F3238" w:rsidRPr="00742A04">
        <w:t>hay alguien allí</w:t>
      </w:r>
      <w:r w:rsidR="00545D1B" w:rsidRPr="00742A04">
        <w:t>?</w:t>
      </w:r>
      <w:r w:rsidR="00E6372C">
        <w:t>”</w:t>
      </w:r>
      <w:r w:rsidR="00545D1B" w:rsidRPr="00742A04">
        <w:t xml:space="preserve">). </w:t>
      </w:r>
      <w:r w:rsidR="008A0C75" w:rsidRPr="00742A04">
        <w:t xml:space="preserve">Uno </w:t>
      </w:r>
      <w:r w:rsidR="00C076F2" w:rsidRPr="00742A04">
        <w:t xml:space="preserve">de los </w:t>
      </w:r>
      <w:r w:rsidR="008A0C75" w:rsidRPr="00742A04">
        <w:t>temas</w:t>
      </w:r>
      <w:r w:rsidR="00545D1B" w:rsidRPr="00742A04">
        <w:t xml:space="preserve"> </w:t>
      </w:r>
      <w:r w:rsidR="008A0C75" w:rsidRPr="00742A04">
        <w:t xml:space="preserve">tratados </w:t>
      </w:r>
      <w:r w:rsidR="00C14BFF" w:rsidRPr="00742A04">
        <w:t>en</w:t>
      </w:r>
      <w:r w:rsidR="00545D1B" w:rsidRPr="00742A04">
        <w:t xml:space="preserve"> </w:t>
      </w:r>
      <w:r w:rsidR="008A0C75" w:rsidRPr="00742A04">
        <w:t>el libro</w:t>
      </w:r>
      <w:r w:rsidR="00545D1B" w:rsidRPr="00742A04">
        <w:t xml:space="preserve"> </w:t>
      </w:r>
      <w:r w:rsidR="008A0C75" w:rsidRPr="00742A04">
        <w:t xml:space="preserve">fue el </w:t>
      </w:r>
      <w:r w:rsidR="00C076F2" w:rsidRPr="00742A04">
        <w:t xml:space="preserve">de los </w:t>
      </w:r>
      <w:r w:rsidR="00A24287" w:rsidRPr="00742A04">
        <w:t>jóvenes</w:t>
      </w:r>
      <w:r w:rsidR="00545D1B" w:rsidRPr="00742A04">
        <w:t xml:space="preserve"> </w:t>
      </w:r>
      <w:r w:rsidR="008A0C75" w:rsidRPr="00742A04">
        <w:t>s</w:t>
      </w:r>
      <w:r w:rsidR="008A0C75" w:rsidRPr="00742A04">
        <w:t>o</w:t>
      </w:r>
      <w:r w:rsidR="008A0C75" w:rsidRPr="00742A04">
        <w:t>metidos a abuso sexual</w:t>
      </w:r>
      <w:r w:rsidR="00545D1B" w:rsidRPr="00742A04">
        <w:t xml:space="preserve">. </w:t>
      </w:r>
      <w:r w:rsidR="008A0C75" w:rsidRPr="00742A04">
        <w:t>Como seguimiento del período extraordinario de sesiones</w:t>
      </w:r>
      <w:r w:rsidR="00545D1B" w:rsidRPr="00742A04">
        <w:t xml:space="preserve">, </w:t>
      </w:r>
      <w:r w:rsidR="008A0C75" w:rsidRPr="00742A04">
        <w:t xml:space="preserve">se elaboró un </w:t>
      </w:r>
      <w:r w:rsidR="005E6919" w:rsidRPr="00742A04">
        <w:t>Plan Nacional</w:t>
      </w:r>
      <w:r w:rsidR="00545D1B" w:rsidRPr="00742A04">
        <w:t xml:space="preserve"> </w:t>
      </w:r>
      <w:r w:rsidR="004A0730" w:rsidRPr="00742A04">
        <w:t>de</w:t>
      </w:r>
      <w:r w:rsidR="008A0C75" w:rsidRPr="00742A04">
        <w:t xml:space="preserve"> A</w:t>
      </w:r>
      <w:r w:rsidR="00545D1B" w:rsidRPr="00742A04">
        <w:t>c</w:t>
      </w:r>
      <w:r w:rsidR="00C14BFF" w:rsidRPr="00742A04">
        <w:t xml:space="preserve">ción </w:t>
      </w:r>
      <w:r w:rsidR="008A0C75" w:rsidRPr="00742A04">
        <w:t>titulado</w:t>
      </w:r>
      <w:r w:rsidR="00545D1B" w:rsidRPr="00742A04">
        <w:t xml:space="preserve"> </w:t>
      </w:r>
      <w:r w:rsidR="008A0C75" w:rsidRPr="00742A04">
        <w:t>Seguimiento</w:t>
      </w:r>
      <w:r w:rsidR="00545D1B" w:rsidRPr="00742A04">
        <w:t xml:space="preserve"> </w:t>
      </w:r>
      <w:r w:rsidR="008A0C75" w:rsidRPr="00742A04">
        <w:t>por parte de Noruega del período extraordinario de sesiones de la Asamblea General de las Naciones Un</w:t>
      </w:r>
      <w:r w:rsidR="008A0C75" w:rsidRPr="00742A04">
        <w:t>i</w:t>
      </w:r>
      <w:r w:rsidR="008A0C75" w:rsidRPr="00742A04">
        <w:t>das sobre la infancia, que fue enviado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las Naciones Unidas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enero de</w:t>
      </w:r>
      <w:r w:rsidR="00545D1B" w:rsidRPr="00742A04">
        <w:t xml:space="preserve"> 2004. </w:t>
      </w:r>
      <w:r w:rsidR="008A0C75" w:rsidRPr="00742A04">
        <w:t xml:space="preserve">El Plan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5E2D7A" w:rsidRPr="00742A04">
        <w:t>contiene</w:t>
      </w:r>
      <w:r w:rsidR="00545D1B" w:rsidRPr="00742A04">
        <w:t xml:space="preserve"> </w:t>
      </w:r>
      <w:r w:rsidR="008A0C75" w:rsidRPr="00742A04">
        <w:t>diez</w:t>
      </w:r>
      <w:r w:rsidR="00545D1B" w:rsidRPr="00742A04">
        <w:t xml:space="preserve"> </w:t>
      </w:r>
      <w:r w:rsidR="008A0C75" w:rsidRPr="00742A04">
        <w:t>objetivos principales</w:t>
      </w:r>
      <w:r w:rsidR="00545D1B" w:rsidRPr="00742A04">
        <w:t xml:space="preserve">, </w:t>
      </w:r>
      <w:r w:rsidR="008A0C75" w:rsidRPr="00742A04">
        <w:t>entre los que figuran</w:t>
      </w:r>
      <w:r w:rsidR="00545D1B" w:rsidRPr="00742A04">
        <w:t xml:space="preserve"> </w:t>
      </w:r>
      <w:r w:rsidR="00E542AA" w:rsidRPr="00742A04">
        <w:t>el incr</w:t>
      </w:r>
      <w:r w:rsidR="00E542AA" w:rsidRPr="00742A04">
        <w:t>e</w:t>
      </w:r>
      <w:r w:rsidR="00E542AA" w:rsidRPr="00742A04">
        <w:t>mento de</w:t>
      </w:r>
      <w:r w:rsidR="00545D1B" w:rsidRPr="00742A04">
        <w:t xml:space="preserve"> </w:t>
      </w:r>
      <w:r w:rsidR="00E542AA" w:rsidRPr="00742A04">
        <w:t>la participación</w:t>
      </w:r>
      <w:r w:rsidR="002E5047" w:rsidRPr="00742A04">
        <w:t xml:space="preserve"> </w:t>
      </w:r>
      <w:r w:rsidR="00E542AA" w:rsidRPr="00742A04">
        <w:t>y la</w:t>
      </w:r>
      <w:r w:rsidR="002E5047" w:rsidRPr="00742A04">
        <w:t xml:space="preserve"> i</w:t>
      </w:r>
      <w:r w:rsidR="00545D1B" w:rsidRPr="00742A04">
        <w:t>nflu</w:t>
      </w:r>
      <w:r w:rsidR="00FF575F" w:rsidRPr="00742A04">
        <w:t xml:space="preserve">encia </w:t>
      </w:r>
      <w:r w:rsidR="00C076F2" w:rsidRPr="00742A04">
        <w:t xml:space="preserve">de los </w:t>
      </w:r>
      <w:r w:rsidR="002F3238" w:rsidRPr="00742A04">
        <w:t>niños</w:t>
      </w:r>
      <w:r w:rsidR="00545D1B" w:rsidRPr="00742A04">
        <w:t xml:space="preserve">, </w:t>
      </w:r>
      <w:r w:rsidR="00E542AA" w:rsidRPr="00742A04">
        <w:t xml:space="preserve">la </w:t>
      </w:r>
      <w:r w:rsidR="00242371" w:rsidRPr="00742A04">
        <w:t>promo</w:t>
      </w:r>
      <w:r w:rsidR="00E542AA" w:rsidRPr="00742A04">
        <w:t>ción de la</w:t>
      </w:r>
      <w:r w:rsidR="00545D1B" w:rsidRPr="00742A04">
        <w:t xml:space="preserve"> inclus</w:t>
      </w:r>
      <w:r w:rsidR="005E6919" w:rsidRPr="00742A04">
        <w:t xml:space="preserve">ión </w:t>
      </w:r>
      <w:r w:rsidR="00C076F2" w:rsidRPr="00742A04">
        <w:t xml:space="preserve">de los </w:t>
      </w:r>
      <w:r w:rsidR="002F3238" w:rsidRPr="00742A04">
        <w:t>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42AA" w:rsidRPr="00742A04">
        <w:t>discapacidades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E542AA" w:rsidRPr="00742A04">
        <w:t xml:space="preserve">el </w:t>
      </w:r>
      <w:r w:rsidR="00F43124" w:rsidRPr="00742A04">
        <w:t>fortalec</w:t>
      </w:r>
      <w:r w:rsidR="00E542AA" w:rsidRPr="00742A04">
        <w:t xml:space="preserve">imiento </w:t>
      </w:r>
      <w:r w:rsidR="00C076F2" w:rsidRPr="00742A04">
        <w:t xml:space="preserve">de los </w:t>
      </w:r>
      <w:r w:rsidR="00E542AA" w:rsidRPr="00742A04">
        <w:t xml:space="preserve">esfuerzos de </w:t>
      </w:r>
      <w:r w:rsidR="00CD2FF0" w:rsidRPr="00742A04">
        <w:t>c</w:t>
      </w:r>
      <w:r w:rsidR="00CD2FF0" w:rsidRPr="00742A04">
        <w:t>o</w:t>
      </w:r>
      <w:r w:rsidR="00CD2FF0" w:rsidRPr="00742A04">
        <w:t>operación para el desarrollo</w:t>
      </w:r>
      <w:r w:rsidR="00C14BFF" w:rsidRPr="00742A04">
        <w:t xml:space="preserve"> </w:t>
      </w:r>
      <w:r w:rsidR="00E542AA" w:rsidRPr="00742A04">
        <w:t>encaminados a</w:t>
      </w:r>
      <w:r w:rsidR="00EA6AC2" w:rsidRPr="00742A04">
        <w:t xml:space="preserve"> promover </w:t>
      </w:r>
      <w:r w:rsidR="00E542AA" w:rsidRPr="00742A04">
        <w:t xml:space="preserve">el </w:t>
      </w:r>
      <w:r w:rsidR="00B83FEB" w:rsidRPr="00742A04">
        <w:t>derecho</w:t>
      </w:r>
      <w:r w:rsidR="00545D1B" w:rsidRPr="00742A04">
        <w:t xml:space="preserve"> </w:t>
      </w:r>
      <w:r w:rsidR="00C076F2" w:rsidRPr="00742A04">
        <w:t xml:space="preserve">de los </w:t>
      </w:r>
      <w:r w:rsidR="00E542AA" w:rsidRPr="00742A04">
        <w:t>niños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B83FEB" w:rsidRPr="00742A04">
        <w:t>salud</w:t>
      </w:r>
      <w:r w:rsidR="00545D1B" w:rsidRPr="00742A04">
        <w:t>,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877AA0" w:rsidRPr="00742A04">
        <w:t>y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protec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E542AA" w:rsidRPr="00742A04">
        <w:t>la</w:t>
      </w:r>
      <w:r w:rsidR="007C341F" w:rsidRPr="00742A04">
        <w:t xml:space="preserve"> l</w:t>
      </w:r>
      <w:r w:rsidR="007C341F" w:rsidRPr="00742A04">
        <w:t>u</w:t>
      </w:r>
      <w:r w:rsidR="007C341F" w:rsidRPr="00742A04">
        <w:t>cha contra la</w:t>
      </w:r>
      <w:r w:rsidR="00545D1B" w:rsidRPr="00742A04">
        <w:t xml:space="preserve"> </w:t>
      </w:r>
      <w:r w:rsidR="00E542AA" w:rsidRPr="00742A04">
        <w:t>epidemia del VIH/SIDA</w:t>
      </w:r>
      <w:r w:rsidR="00545D1B" w:rsidRPr="00742A04">
        <w:t>.</w:t>
      </w: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552048" w:rsidRPr="00742A04">
        <w:t>el sexto informe periódico de Noruega</w:t>
      </w:r>
      <w:r w:rsidR="00545D1B" w:rsidRPr="00742A04">
        <w:t xml:space="preserve">, </w:t>
      </w:r>
      <w:r w:rsidR="00855B3B" w:rsidRPr="00742A04">
        <w:t>se observó que l</w:t>
      </w:r>
      <w:r w:rsidR="00D42876" w:rsidRPr="00742A04">
        <w:t>as autoridades de Noruega</w:t>
      </w:r>
      <w:r w:rsidR="00545D1B" w:rsidRPr="00742A04">
        <w:t xml:space="preserve"> </w:t>
      </w:r>
      <w:r w:rsidR="00855B3B" w:rsidRPr="00742A04">
        <w:t>centran especialmente la atención</w:t>
      </w:r>
      <w:r w:rsidR="00C14BFF" w:rsidRPr="00742A04">
        <w:t xml:space="preserve"> </w:t>
      </w:r>
      <w:r w:rsidR="00855B3B" w:rsidRPr="00742A04">
        <w:t>e</w:t>
      </w:r>
      <w:r w:rsidR="00545D1B" w:rsidRPr="00742A04">
        <w:t xml:space="preserve">n </w:t>
      </w:r>
      <w:r w:rsidR="00855B3B" w:rsidRPr="00742A04">
        <w:t>las mujeres inmigrantes</w:t>
      </w:r>
      <w:r w:rsidR="00545D1B" w:rsidRPr="00742A04">
        <w:t xml:space="preserve">. </w:t>
      </w:r>
      <w:r w:rsidR="00855B3B" w:rsidRPr="00742A04">
        <w:t>A fin</w:t>
      </w:r>
      <w:r w:rsidR="00545D1B" w:rsidRPr="00742A04">
        <w:t xml:space="preserve"> </w:t>
      </w:r>
      <w:r w:rsidR="007C341F" w:rsidRPr="00742A04">
        <w:t>de l</w:t>
      </w:r>
      <w:r w:rsidR="007C341F" w:rsidRPr="00742A04">
        <w:t>u</w:t>
      </w:r>
      <w:r w:rsidR="007C341F" w:rsidRPr="00742A04">
        <w:t>cha</w:t>
      </w:r>
      <w:r w:rsidR="00855B3B" w:rsidRPr="00742A04">
        <w:t>r</w:t>
      </w:r>
      <w:r w:rsidR="007C341F" w:rsidRPr="00742A04">
        <w:t xml:space="preserve"> contra la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855B3B" w:rsidRPr="00742A04">
        <w:t>por motivos de</w:t>
      </w:r>
      <w:r w:rsidR="00545D1B" w:rsidRPr="00742A04">
        <w:t xml:space="preserve"> </w:t>
      </w:r>
      <w:r w:rsidR="00855B3B" w:rsidRPr="00742A04">
        <w:t>origen étnico</w:t>
      </w:r>
      <w:r w:rsidR="00545D1B" w:rsidRPr="00742A04">
        <w:t xml:space="preserve"> </w:t>
      </w:r>
      <w:r w:rsidR="00E6372C">
        <w:t>o por la</w:t>
      </w:r>
      <w:r w:rsidR="00545D1B" w:rsidRPr="00742A04">
        <w:t xml:space="preserve"> </w:t>
      </w:r>
      <w:r w:rsidR="00130F7F" w:rsidRPr="00742A04">
        <w:t>religión</w:t>
      </w:r>
      <w:r w:rsidR="00545D1B" w:rsidRPr="00742A04">
        <w:t xml:space="preserve">, </w:t>
      </w:r>
      <w:r w:rsidR="00BD47D3" w:rsidRPr="00742A04">
        <w:t>el Sto</w:t>
      </w:r>
      <w:r w:rsidR="00BD47D3" w:rsidRPr="00742A04">
        <w:t>r</w:t>
      </w:r>
      <w:r w:rsidR="00BD47D3" w:rsidRPr="00742A04">
        <w:t>ting</w:t>
      </w:r>
      <w:r w:rsidR="00545D1B" w:rsidRPr="00742A04">
        <w:t xml:space="preserve"> </w:t>
      </w:r>
      <w:r w:rsidR="00855B3B" w:rsidRPr="00742A04">
        <w:t>sa</w:t>
      </w:r>
      <w:r w:rsidR="00855B3B" w:rsidRPr="00742A04">
        <w:t>n</w:t>
      </w:r>
      <w:r w:rsidR="00855B3B" w:rsidRPr="00742A04">
        <w:t>cionó</w:t>
      </w:r>
      <w:r w:rsidR="00545D1B" w:rsidRPr="00742A04">
        <w:t xml:space="preserve"> </w:t>
      </w:r>
      <w:r w:rsidR="00230F13" w:rsidRPr="00742A04">
        <w:t>la Ley</w:t>
      </w:r>
      <w:r w:rsidR="00545D1B" w:rsidRPr="00742A04">
        <w:t xml:space="preserve"> </w:t>
      </w:r>
      <w:r w:rsidR="00855B3B" w:rsidRPr="00742A04">
        <w:t xml:space="preserve">N° 33, </w:t>
      </w:r>
      <w:r w:rsidRPr="00742A04">
        <w:t>de</w:t>
      </w:r>
      <w:r w:rsidR="00545D1B" w:rsidRPr="00742A04">
        <w:t xml:space="preserve"> 3 </w:t>
      </w:r>
      <w:r w:rsidR="00EA776F" w:rsidRPr="00742A04">
        <w:t>de junio de</w:t>
      </w:r>
      <w:r w:rsidR="00545D1B" w:rsidRPr="00742A04">
        <w:t xml:space="preserve"> 2005</w:t>
      </w:r>
      <w:r w:rsidR="00855B3B" w:rsidRPr="00742A04">
        <w:t>,</w:t>
      </w:r>
      <w:r w:rsidR="00545D1B" w:rsidRPr="00742A04">
        <w:t xml:space="preserve"> </w:t>
      </w:r>
      <w:r w:rsidR="00855B3B" w:rsidRPr="00742A04">
        <w:t>relativa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855B3B" w:rsidRPr="00742A04">
        <w:t>prohibición</w:t>
      </w:r>
      <w:r w:rsidR="00C14BFF" w:rsidRPr="00742A04">
        <w:t xml:space="preserve"> </w:t>
      </w:r>
      <w:r w:rsidRPr="00742A04">
        <w:t>de</w:t>
      </w:r>
      <w:r w:rsidR="00545D1B" w:rsidRPr="00742A04">
        <w:t xml:space="preserve"> </w:t>
      </w:r>
      <w:r w:rsidR="00855B3B" w:rsidRPr="00742A04">
        <w:t xml:space="preserve">la </w:t>
      </w:r>
      <w:r w:rsidR="00A05847" w:rsidRPr="00742A04">
        <w:t>discriminación</w:t>
      </w:r>
      <w:r w:rsidR="00545D1B" w:rsidRPr="00742A04">
        <w:t xml:space="preserve"> </w:t>
      </w:r>
      <w:r w:rsidR="00855B3B" w:rsidRPr="00742A04">
        <w:t>por motivos de</w:t>
      </w:r>
      <w:r w:rsidR="00545D1B" w:rsidRPr="00742A04">
        <w:t xml:space="preserve"> </w:t>
      </w:r>
      <w:r w:rsidR="00855B3B" w:rsidRPr="00742A04">
        <w:t>origen étnico</w:t>
      </w:r>
      <w:r w:rsidR="00545D1B" w:rsidRPr="00742A04">
        <w:t xml:space="preserve">, </w:t>
      </w:r>
      <w:r w:rsidR="00130F7F" w:rsidRPr="00742A04">
        <w:t>religión</w:t>
      </w:r>
      <w:r w:rsidR="00545D1B" w:rsidRPr="00742A04">
        <w:t>, etc. (</w:t>
      </w:r>
      <w:r w:rsidR="00130F7F" w:rsidRPr="00742A04">
        <w:t>la Ley de Lucha contra la Discriminación</w:t>
      </w:r>
      <w:r w:rsidR="00545D1B" w:rsidRPr="00742A04">
        <w:t xml:space="preserve">). </w:t>
      </w:r>
      <w:r w:rsidR="00D3378F" w:rsidRPr="00742A04">
        <w:t>Esta</w:t>
      </w:r>
      <w:r w:rsidR="00545D1B" w:rsidRPr="00742A04">
        <w:t xml:space="preserve"> </w:t>
      </w:r>
      <w:r w:rsidR="00130F7F" w:rsidRPr="00742A04">
        <w:t>Ley</w:t>
      </w:r>
      <w:r w:rsidR="00545D1B" w:rsidRPr="00742A04">
        <w:t xml:space="preserve"> </w:t>
      </w:r>
      <w:r w:rsidR="00D3378F" w:rsidRPr="00742A04">
        <w:t>se ajusta a las exigencias establecidas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82A08" w:rsidRPr="00742A04">
        <w:t>la Directiva</w:t>
      </w:r>
      <w:r w:rsidR="00545D1B" w:rsidRPr="00742A04">
        <w:t xml:space="preserve"> 2000/43/EC</w:t>
      </w:r>
      <w:r w:rsidR="00B82A08" w:rsidRPr="00742A04">
        <w:t xml:space="preserve"> del Consejo </w:t>
      </w:r>
      <w:r w:rsidR="00F43124" w:rsidRPr="00742A04">
        <w:t xml:space="preserve">de la </w:t>
      </w:r>
      <w:r w:rsidR="00B82A08" w:rsidRPr="00742A04">
        <w:t>Unión Europea, relativa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B82A08" w:rsidRPr="00742A04">
        <w:t>aplicación</w:t>
      </w:r>
      <w:r w:rsidR="00545D1B" w:rsidRPr="00742A04">
        <w:t xml:space="preserve"> </w:t>
      </w:r>
      <w:r w:rsidR="00D3378F" w:rsidRPr="00742A04">
        <w:t>d</w:t>
      </w:r>
      <w:r w:rsidR="00B82A08" w:rsidRPr="00742A04">
        <w:t xml:space="preserve">el </w:t>
      </w:r>
      <w:r w:rsidR="00E575DB" w:rsidRPr="00742A04">
        <w:t>principio de igualdad</w:t>
      </w:r>
      <w:r w:rsidR="00B82A08" w:rsidRPr="00742A04">
        <w:t xml:space="preserve"> de trato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B82A08" w:rsidRPr="00742A04">
        <w:t>independientemente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82A08" w:rsidRPr="00742A04">
        <w:t>su origen racial o é</w:t>
      </w:r>
      <w:r w:rsidR="00B82A08" w:rsidRPr="00742A04">
        <w:t>t</w:t>
      </w:r>
      <w:r w:rsidR="00B82A08" w:rsidRPr="00742A04">
        <w:t>nico</w:t>
      </w:r>
      <w:r w:rsidR="00D3378F" w:rsidRPr="00742A04">
        <w:t>,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3378F" w:rsidRPr="00742A04">
        <w:t xml:space="preserve">en </w:t>
      </w:r>
      <w:r w:rsidR="00B82A08" w:rsidRPr="00742A04">
        <w:t xml:space="preserve">la Directiva 2000/78/EF, relativa al </w:t>
      </w:r>
      <w:r w:rsidR="00545D1B" w:rsidRPr="00742A04">
        <w:t>establ</w:t>
      </w:r>
      <w:r w:rsidR="00B82A08" w:rsidRPr="00742A04">
        <w:t>ecimiento de</w:t>
      </w:r>
      <w:r w:rsidR="00545D1B" w:rsidRPr="00742A04">
        <w:t xml:space="preserve"> </w:t>
      </w:r>
      <w:r w:rsidR="00B82A08" w:rsidRPr="00742A04">
        <w:t>un marco general</w:t>
      </w:r>
      <w:r w:rsidR="00545D1B" w:rsidRPr="00742A04">
        <w:t xml:space="preserve"> </w:t>
      </w:r>
      <w:r w:rsidR="00B82A08" w:rsidRPr="00742A04">
        <w:t>para la</w:t>
      </w:r>
      <w:r w:rsidR="00545D1B" w:rsidRPr="00742A04">
        <w:t xml:space="preserve"> </w:t>
      </w:r>
      <w:r w:rsidR="00B82A08" w:rsidRPr="00742A04">
        <w:t>igualdad de trato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82A08" w:rsidRPr="00742A04">
        <w:t>el</w:t>
      </w:r>
      <w:r w:rsidR="005E2D7A" w:rsidRPr="00742A04">
        <w:t xml:space="preserve"> empleo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2A08" w:rsidRPr="00742A04">
        <w:t>la ocup</w:t>
      </w:r>
      <w:r w:rsidR="00545D1B" w:rsidRPr="00742A04">
        <w:t>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230F13" w:rsidRPr="00742A04">
        <w:t>La Ley</w:t>
      </w:r>
      <w:r w:rsidR="00545D1B" w:rsidRPr="00742A04">
        <w:t xml:space="preserve"> </w:t>
      </w:r>
      <w:r w:rsidR="00230F13" w:rsidRPr="00742A04">
        <w:t>prohíbe la discrimin</w:t>
      </w:r>
      <w:r w:rsidR="00230F13" w:rsidRPr="00742A04">
        <w:t>a</w:t>
      </w:r>
      <w:r w:rsidR="00230F13" w:rsidRPr="00742A04">
        <w:t>ción</w:t>
      </w:r>
      <w:r w:rsidR="00545D1B" w:rsidRPr="00742A04">
        <w:t xml:space="preserve"> </w:t>
      </w:r>
      <w:r w:rsidR="00855B3B" w:rsidRPr="00742A04">
        <w:t>por motivos de</w:t>
      </w:r>
      <w:r w:rsidR="00545D1B" w:rsidRPr="00742A04">
        <w:t xml:space="preserve"> </w:t>
      </w:r>
      <w:r w:rsidR="00855B3B" w:rsidRPr="00742A04">
        <w:t>origen étnico</w:t>
      </w:r>
      <w:r w:rsidR="00545D1B" w:rsidRPr="00742A04">
        <w:t xml:space="preserve">, </w:t>
      </w:r>
      <w:r w:rsidR="00D3378F" w:rsidRPr="00742A04">
        <w:t>origen nacional</w:t>
      </w:r>
      <w:r w:rsidR="00545D1B" w:rsidRPr="00742A04">
        <w:t xml:space="preserve">, </w:t>
      </w:r>
      <w:r w:rsidR="00D3378F" w:rsidRPr="00742A04">
        <w:t>ascendencia</w:t>
      </w:r>
      <w:r w:rsidR="00545D1B" w:rsidRPr="00742A04">
        <w:t xml:space="preserve">, </w:t>
      </w:r>
      <w:r w:rsidR="00A93B9E" w:rsidRPr="00742A04">
        <w:t xml:space="preserve">color </w:t>
      </w:r>
      <w:r w:rsidR="00F43124" w:rsidRPr="00742A04">
        <w:t xml:space="preserve">de la </w:t>
      </w:r>
      <w:r w:rsidR="00A93B9E" w:rsidRPr="00742A04">
        <w:t>piel</w:t>
      </w:r>
      <w:r w:rsidR="00545D1B" w:rsidRPr="00742A04">
        <w:t xml:space="preserve">, </w:t>
      </w:r>
      <w:r w:rsidR="00D3378F" w:rsidRPr="00742A04">
        <w:t>idioma</w:t>
      </w:r>
      <w:r w:rsidR="00545D1B" w:rsidRPr="00742A04">
        <w:t xml:space="preserve">, </w:t>
      </w:r>
      <w:r w:rsidR="00130F7F" w:rsidRPr="00742A04">
        <w:t>religión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A93B9E" w:rsidRPr="00742A04">
        <w:t>creencias</w:t>
      </w:r>
      <w:r w:rsidR="00545D1B" w:rsidRPr="00742A04">
        <w:t xml:space="preserve">. </w:t>
      </w:r>
      <w:r w:rsidR="00D3378F" w:rsidRPr="00742A04">
        <w:t>Se prohíbe la discriminación directa o indirecta</w:t>
      </w:r>
      <w:r w:rsidR="00545D1B" w:rsidRPr="00742A04">
        <w:t xml:space="preserve"> </w:t>
      </w:r>
      <w:r w:rsidR="00D3378F" w:rsidRPr="00742A04">
        <w:t>por los motivos mencionados</w:t>
      </w:r>
      <w:r w:rsidR="00545D1B" w:rsidRPr="00742A04">
        <w:t xml:space="preserve">. </w:t>
      </w:r>
      <w:r w:rsidR="0073499D" w:rsidRPr="00742A04">
        <w:t>La prohibición también comprende</w:t>
      </w:r>
      <w:r w:rsidR="0073499D">
        <w:t xml:space="preserve"> e</w:t>
      </w:r>
      <w:r w:rsidR="0073499D" w:rsidRPr="00742A04">
        <w:t>l acoso y las instrucci</w:t>
      </w:r>
      <w:r w:rsidR="0073499D" w:rsidRPr="00742A04">
        <w:t>o</w:t>
      </w:r>
      <w:r w:rsidR="0073499D" w:rsidRPr="00742A04">
        <w:t xml:space="preserve">nes de discriminar o acosar y el uso de reacciones negativas (represalias) contra </w:t>
      </w:r>
      <w:r w:rsidR="00E6372C">
        <w:t xml:space="preserve">las </w:t>
      </w:r>
      <w:r w:rsidR="0073499D" w:rsidRPr="00742A04">
        <w:t>persona</w:t>
      </w:r>
      <w:r w:rsidR="00E6372C">
        <w:t>s</w:t>
      </w:r>
      <w:r w:rsidR="0073499D" w:rsidRPr="00742A04">
        <w:t xml:space="preserve"> que present</w:t>
      </w:r>
      <w:r w:rsidR="00E6372C">
        <w:t>en</w:t>
      </w:r>
      <w:r w:rsidR="0073499D" w:rsidRPr="00742A04">
        <w:t xml:space="preserve"> queja</w:t>
      </w:r>
      <w:r w:rsidR="00E6372C">
        <w:t>s</w:t>
      </w:r>
      <w:r w:rsidR="0073499D" w:rsidRPr="00742A04">
        <w:t xml:space="preserve"> por discriminación. </w:t>
      </w:r>
      <w:r w:rsidR="00230F13" w:rsidRPr="00742A04">
        <w:t>La Ley</w:t>
      </w:r>
      <w:r w:rsidR="00545D1B" w:rsidRPr="00742A04">
        <w:t xml:space="preserve"> </w:t>
      </w:r>
      <w:r w:rsidR="008E5EBF" w:rsidRPr="00742A04">
        <w:t>se 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0A5430" w:rsidRPr="00742A04">
        <w:t>todas las esf</w:t>
      </w:r>
      <w:r w:rsidR="000A5430" w:rsidRPr="00742A04">
        <w:t>e</w:t>
      </w:r>
      <w:r w:rsidR="000A5430" w:rsidRPr="00742A04">
        <w:t>ras</w:t>
      </w:r>
      <w:r w:rsidR="00545D1B" w:rsidRPr="00742A04">
        <w:t xml:space="preserve"> </w:t>
      </w:r>
      <w:r w:rsidR="00F43124" w:rsidRPr="00742A04">
        <w:t xml:space="preserve">de la </w:t>
      </w:r>
      <w:r w:rsidR="000A5430" w:rsidRPr="00742A04">
        <w:t>sociedad</w:t>
      </w:r>
      <w:r w:rsidR="00545D1B" w:rsidRPr="00742A04">
        <w:t xml:space="preserve">, </w:t>
      </w:r>
      <w:r w:rsidR="00D3378F" w:rsidRPr="00742A04">
        <w:t>entre ellas,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3378F" w:rsidRPr="00742A04">
        <w:t>el mercado de viviendas</w:t>
      </w:r>
      <w:r w:rsidR="00545D1B" w:rsidRPr="00742A04">
        <w:t>.</w:t>
      </w:r>
    </w:p>
    <w:p w:rsidR="00545D1B" w:rsidRPr="00742A04" w:rsidRDefault="00D3378F" w:rsidP="001C6426">
      <w:pPr>
        <w:pStyle w:val="SingleTxt"/>
        <w:ind w:firstLine="475"/>
      </w:pPr>
      <w:r w:rsidRPr="00742A04">
        <w:t>En consonancia con</w:t>
      </w:r>
      <w:r w:rsidR="00545D1B" w:rsidRPr="00742A04">
        <w:t xml:space="preserve"> </w:t>
      </w:r>
      <w:r w:rsidRPr="00742A04">
        <w:t>las mencionadas</w:t>
      </w:r>
      <w:r w:rsidR="00545D1B" w:rsidRPr="00742A04">
        <w:t xml:space="preserve"> </w:t>
      </w:r>
      <w:r w:rsidRPr="00742A04">
        <w:t>Directivas del Consejo de la Unión E</w:t>
      </w:r>
      <w:r w:rsidRPr="00742A04">
        <w:t>u</w:t>
      </w:r>
      <w:r w:rsidRPr="00742A04">
        <w:t>ropea</w:t>
      </w:r>
      <w:r w:rsidR="00A93B9E" w:rsidRPr="00742A04">
        <w:t xml:space="preserve">, la </w:t>
      </w:r>
      <w:r w:rsidR="00230F13" w:rsidRPr="00742A04">
        <w:t>Ley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5E2D7A" w:rsidRPr="00742A04">
        <w:t>contiene</w:t>
      </w:r>
      <w:r w:rsidR="00545D1B" w:rsidRPr="00742A04">
        <w:t xml:space="preserve"> </w:t>
      </w:r>
      <w:r w:rsidR="008E5EBF" w:rsidRPr="00742A04">
        <w:t>disposiciones relativas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distribución de la carga de la prueba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6372C">
        <w:t xml:space="preserve">las </w:t>
      </w:r>
      <w:r w:rsidRPr="00742A04">
        <w:t>sanci</w:t>
      </w:r>
      <w:r w:rsidR="008907B8" w:rsidRPr="00742A04">
        <w:t>ones</w:t>
      </w:r>
      <w:r w:rsidR="00545D1B" w:rsidRPr="00742A04">
        <w:t xml:space="preserve"> </w:t>
      </w:r>
      <w:r w:rsidRPr="00742A04">
        <w:t>para hacer cumplir</w:t>
      </w:r>
      <w:r w:rsidR="00545D1B" w:rsidRPr="00742A04">
        <w:t xml:space="preserve"> </w:t>
      </w:r>
      <w:r w:rsidR="008E5EBF" w:rsidRPr="00742A04">
        <w:t>la prohibición</w:t>
      </w:r>
      <w:r w:rsidR="00545D1B" w:rsidRPr="00742A04">
        <w:t xml:space="preserve">. </w:t>
      </w:r>
      <w:r w:rsidR="0073499D" w:rsidRPr="00742A04">
        <w:t>La distrib</w:t>
      </w:r>
      <w:r w:rsidR="0073499D" w:rsidRPr="00742A04">
        <w:t>u</w:t>
      </w:r>
      <w:r w:rsidR="0073499D" w:rsidRPr="00742A04">
        <w:t>ción de la carga de la prueba significa que cuando haya información que lleve a creer que ha habido discriminación, la persona contra quien se haya presentado una queja deberá probar según la regla de</w:t>
      </w:r>
      <w:r w:rsidR="00E6372C">
        <w:t xml:space="preserve"> </w:t>
      </w:r>
      <w:r w:rsidR="0073499D" w:rsidRPr="00742A04">
        <w:t>l</w:t>
      </w:r>
      <w:r w:rsidR="00E6372C">
        <w:t>a comparación</w:t>
      </w:r>
      <w:r w:rsidR="0073499D" w:rsidRPr="00742A04">
        <w:t xml:space="preserve"> de probabilidades que no se ha cometido ningún acto de discriminación en violación de la Ley. </w:t>
      </w:r>
      <w:r w:rsidR="00C52FF7" w:rsidRPr="00742A04">
        <w:t>La violación</w:t>
      </w:r>
      <w:r w:rsidR="00545D1B" w:rsidRPr="00742A04">
        <w:t xml:space="preserve"> </w:t>
      </w:r>
      <w:r w:rsidR="00F43124" w:rsidRPr="00742A04">
        <w:t xml:space="preserve">de la </w:t>
      </w:r>
      <w:r w:rsidR="008E5EBF" w:rsidRPr="00742A04">
        <w:t>prohibición</w:t>
      </w:r>
      <w:r w:rsidR="00C14BFF" w:rsidRPr="00742A04">
        <w:t xml:space="preserve"> </w:t>
      </w:r>
      <w:r w:rsidR="00C52FF7" w:rsidRPr="00742A04">
        <w:t>podrá dar lugar a una demanda de reparación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compensa</w:t>
      </w:r>
      <w:r w:rsidR="00C14BFF" w:rsidRPr="00742A04">
        <w:t xml:space="preserve">ción </w:t>
      </w:r>
      <w:r w:rsidR="00C52FF7" w:rsidRPr="00742A04">
        <w:t>de las</w:t>
      </w:r>
      <w:r w:rsidR="00BA5ABE" w:rsidRPr="00742A04">
        <w:t xml:space="preserve"> pérdidas pec</w:t>
      </w:r>
      <w:r w:rsidR="00BA5ABE" w:rsidRPr="00742A04">
        <w:t>u</w:t>
      </w:r>
      <w:r w:rsidR="00BA5ABE" w:rsidRPr="00742A04">
        <w:t>niarias</w:t>
      </w:r>
      <w:r w:rsidR="00545D1B" w:rsidRPr="00742A04">
        <w:t>.</w:t>
      </w:r>
    </w:p>
    <w:p w:rsidR="00545D1B" w:rsidRPr="00742A04" w:rsidRDefault="00855B3B" w:rsidP="001C6426">
      <w:pPr>
        <w:pStyle w:val="SingleTxt"/>
        <w:ind w:firstLine="475"/>
      </w:pPr>
      <w:r w:rsidRPr="00742A04">
        <w:t>La Convención de las Naciones Unidas</w:t>
      </w:r>
      <w:r w:rsidR="00C14BFF" w:rsidRPr="00742A04">
        <w:t xml:space="preserve"> </w:t>
      </w:r>
      <w:r w:rsidRPr="00742A04">
        <w:t>sobre la Eliminación de todas las Fo</w:t>
      </w:r>
      <w:r w:rsidRPr="00742A04">
        <w:t>r</w:t>
      </w:r>
      <w:r w:rsidRPr="00742A04">
        <w:t>mas de Discriminación Racial</w:t>
      </w:r>
      <w:r w:rsidR="00C14BFF" w:rsidRPr="00742A04">
        <w:t xml:space="preserve"> </w:t>
      </w:r>
      <w:r w:rsidR="00545D1B" w:rsidRPr="00742A04">
        <w:t>ha</w:t>
      </w:r>
      <w:r w:rsidR="00F56CC8" w:rsidRPr="00742A04">
        <w:t xml:space="preserve"> </w:t>
      </w:r>
      <w:r w:rsidR="00545D1B" w:rsidRPr="00742A04">
        <w:t>s</w:t>
      </w:r>
      <w:r w:rsidR="00F56CC8" w:rsidRPr="00742A04">
        <w:t>ido implementada</w:t>
      </w:r>
      <w:r w:rsidR="00545D1B" w:rsidRPr="00742A04">
        <w:t xml:space="preserve"> </w:t>
      </w:r>
      <w:r w:rsidR="00E6372C">
        <w:t xml:space="preserve">mediante su </w:t>
      </w:r>
      <w:r w:rsidR="00545D1B" w:rsidRPr="00742A04">
        <w:t>incorpor</w:t>
      </w:r>
      <w:r w:rsidR="00E6372C">
        <w:t>ación</w:t>
      </w:r>
      <w:r w:rsidR="00545D1B" w:rsidRPr="00742A04">
        <w:t xml:space="preserve"> </w:t>
      </w:r>
      <w:r w:rsidR="00BD47D3" w:rsidRPr="00742A04">
        <w:t>al derecho de Noruega</w:t>
      </w:r>
      <w:r w:rsidR="00545D1B" w:rsidRPr="00742A04">
        <w:t xml:space="preserve"> </w:t>
      </w:r>
      <w:r w:rsidR="00E6372C">
        <w:t>por conducto de</w:t>
      </w:r>
      <w:r w:rsidR="00545D1B" w:rsidRPr="00742A04">
        <w:t xml:space="preserve"> </w:t>
      </w:r>
      <w:r w:rsidR="00130F7F" w:rsidRPr="00742A04">
        <w:t>la Ley de Lucha contra la Discriminación</w:t>
      </w:r>
      <w:r w:rsidR="00545D1B" w:rsidRPr="00742A04">
        <w:t xml:space="preserve">, </w:t>
      </w:r>
      <w:r w:rsidR="00F56CC8" w:rsidRPr="00742A04">
        <w:t>con lo cual se</w:t>
      </w:r>
      <w:r w:rsidR="00545D1B" w:rsidRPr="00742A04">
        <w:t xml:space="preserve"> </w:t>
      </w:r>
      <w:r w:rsidR="00F43124" w:rsidRPr="00742A04">
        <w:t>fortalec</w:t>
      </w:r>
      <w:r w:rsidR="00F56CC8" w:rsidRPr="00742A04">
        <w:t>ió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posi</w:t>
      </w:r>
      <w:r w:rsidR="00C14BFF" w:rsidRPr="00742A04">
        <w:t>ción en</w:t>
      </w:r>
      <w:r w:rsidR="00545D1B" w:rsidRPr="00742A04">
        <w:t xml:space="preserve"> </w:t>
      </w:r>
      <w:r w:rsidR="00BD47D3" w:rsidRPr="00742A04">
        <w:t>el derecho de Noruega</w:t>
      </w:r>
      <w:r w:rsidR="00545D1B" w:rsidRPr="00742A04">
        <w:t xml:space="preserve">. </w:t>
      </w:r>
      <w:r w:rsidR="00F56CC8" w:rsidRPr="00742A04">
        <w:t>Se espera que dicha</w:t>
      </w:r>
      <w:r w:rsidR="00545D1B" w:rsidRPr="00742A04">
        <w:t xml:space="preserve"> </w:t>
      </w:r>
      <w:r w:rsidR="004F2F8A" w:rsidRPr="00742A04">
        <w:t>i</w:t>
      </w:r>
      <w:r w:rsidR="004F2F8A" w:rsidRPr="00742A04">
        <w:t>m</w:t>
      </w:r>
      <w:r w:rsidR="004F2F8A" w:rsidRPr="00742A04">
        <w:t>plementación</w:t>
      </w:r>
      <w:r w:rsidR="00C14BFF" w:rsidRPr="00742A04">
        <w:t xml:space="preserve"> </w:t>
      </w:r>
      <w:r w:rsidR="00F56CC8" w:rsidRPr="00742A04">
        <w:t>tenga un fuerte</w:t>
      </w:r>
      <w:r w:rsidR="00545D1B" w:rsidRPr="00742A04">
        <w:t xml:space="preserve"> </w:t>
      </w:r>
      <w:r w:rsidR="00032136" w:rsidRPr="00742A04">
        <w:t xml:space="preserve">efecto </w:t>
      </w:r>
      <w:r w:rsidR="0073499D" w:rsidRPr="00742A04">
        <w:t>dem</w:t>
      </w:r>
      <w:r w:rsidR="0073499D">
        <w:t>o</w:t>
      </w:r>
      <w:r w:rsidR="0073499D" w:rsidRPr="00742A04">
        <w:t>s</w:t>
      </w:r>
      <w:r w:rsidR="0073499D">
        <w:t>t</w:t>
      </w:r>
      <w:r w:rsidR="0073499D" w:rsidRPr="00742A04">
        <w:t>rativo</w:t>
      </w:r>
      <w:r w:rsidR="00545D1B" w:rsidRPr="00742A04">
        <w:t xml:space="preserve">, </w:t>
      </w:r>
      <w:r w:rsidR="00BD47D3" w:rsidRPr="00742A04">
        <w:t>en los planos nacional e intern</w:t>
      </w:r>
      <w:r w:rsidR="00BD47D3" w:rsidRPr="00742A04">
        <w:t>a</w:t>
      </w:r>
      <w:r w:rsidR="00BD47D3" w:rsidRPr="00742A04">
        <w:t>cional</w:t>
      </w:r>
      <w:r w:rsidR="00545D1B" w:rsidRPr="00742A04">
        <w:t>.</w:t>
      </w:r>
    </w:p>
    <w:p w:rsidR="00545D1B" w:rsidRPr="00742A04" w:rsidRDefault="00032136" w:rsidP="001C6426">
      <w:pPr>
        <w:pStyle w:val="SingleTxt"/>
        <w:ind w:firstLine="475"/>
      </w:pPr>
      <w:r w:rsidRPr="00742A04">
        <w:t>Junto con</w:t>
      </w:r>
      <w:r w:rsidR="00545D1B" w:rsidRPr="00742A04">
        <w:t xml:space="preserve"> </w:t>
      </w:r>
      <w:r w:rsidR="00130F7F" w:rsidRPr="00742A04">
        <w:t>la Ley de Lucha contra la Discriminación</w:t>
      </w:r>
      <w:r w:rsidR="00545D1B" w:rsidRPr="00742A04">
        <w:t xml:space="preserve">, </w:t>
      </w:r>
      <w:r w:rsidR="00BD47D3" w:rsidRPr="00742A04">
        <w:t>el Storting</w:t>
      </w:r>
      <w:r w:rsidR="00545D1B" w:rsidRPr="00742A04">
        <w:t xml:space="preserve"> </w:t>
      </w:r>
      <w:r w:rsidRPr="00742A04">
        <w:t>aprobó e</w:t>
      </w:r>
      <w:r w:rsidRPr="00742A04">
        <w:t>n</w:t>
      </w:r>
      <w:r w:rsidRPr="00742A04">
        <w:t>miendas al artículo</w:t>
      </w:r>
      <w:r w:rsidR="00C14BFF" w:rsidRPr="00742A04">
        <w:t xml:space="preserve"> </w:t>
      </w:r>
      <w:smartTag w:uri="urn:schemas-microsoft-com:office:smarttags" w:element="metricconverter">
        <w:smartTagPr>
          <w:attr w:name="ProductID" w:val="135 a"/>
        </w:smartTagPr>
        <w:r w:rsidR="00545D1B" w:rsidRPr="00742A04">
          <w:t xml:space="preserve">135 </w:t>
        </w:r>
        <w:r w:rsidR="00545D1B" w:rsidRPr="00742A04">
          <w:rPr>
            <w:i/>
          </w:rPr>
          <w:t>a</w:t>
        </w:r>
      </w:smartTag>
      <w:r w:rsidR="00545D1B" w:rsidRPr="00742A04">
        <w:t xml:space="preserve"> </w:t>
      </w:r>
      <w:r w:rsidR="008A38B9" w:rsidRPr="00742A04">
        <w:t>del Código Penal</w:t>
      </w:r>
      <w:r w:rsidR="00545D1B" w:rsidRPr="00742A04">
        <w:t xml:space="preserve">, </w:t>
      </w:r>
      <w:r w:rsidRPr="00742A04">
        <w:t>poniendo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Pr="00742A04">
        <w:t>claramente de relieve que</w:t>
      </w:r>
      <w:r w:rsidR="00545D1B" w:rsidRPr="00742A04">
        <w:t xml:space="preserve"> </w:t>
      </w:r>
      <w:r w:rsidRPr="00742A04">
        <w:t>son inaceptables las expresiones racistas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efectos </w:t>
      </w:r>
      <w:r w:rsidR="00545D1B" w:rsidRPr="00742A04">
        <w:t>insult</w:t>
      </w:r>
      <w:r w:rsidRPr="00742A04">
        <w:t>ante</w:t>
      </w:r>
      <w:r w:rsidR="00545D1B" w:rsidRPr="00742A04">
        <w:t xml:space="preserve">s </w:t>
      </w:r>
      <w:r w:rsidRPr="00742A04">
        <w:t>comprendidas en</w:t>
      </w:r>
      <w:r w:rsidR="00545D1B" w:rsidRPr="00742A04">
        <w:t xml:space="preserve"> </w:t>
      </w:r>
      <w:r w:rsidRPr="00742A04">
        <w:t>el alcance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 disposición mencionada</w:t>
      </w:r>
      <w:r w:rsidR="00545D1B" w:rsidRPr="00742A04">
        <w:t>.</w:t>
      </w:r>
    </w:p>
    <w:p w:rsidR="00545D1B" w:rsidRPr="00742A04" w:rsidRDefault="00032136" w:rsidP="001C6426">
      <w:pPr>
        <w:pStyle w:val="SingleTxt"/>
        <w:ind w:firstLine="475"/>
      </w:pPr>
      <w:r w:rsidRPr="00742A04">
        <w:t xml:space="preserve">Este año finaliza </w:t>
      </w:r>
      <w:r w:rsidR="004D313C" w:rsidRPr="00742A04">
        <w:t xml:space="preserve">el </w:t>
      </w:r>
      <w:r w:rsidR="00545D1B" w:rsidRPr="00742A04">
        <w:t xml:space="preserve">Plan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B82A08" w:rsidRPr="00742A04">
        <w:t>de Lucha contra el Racismo y la Discrim</w:t>
      </w:r>
      <w:r w:rsidR="00B82A08" w:rsidRPr="00742A04">
        <w:t>i</w:t>
      </w:r>
      <w:r w:rsidR="00B82A08" w:rsidRPr="00742A04">
        <w:t>nación</w:t>
      </w:r>
      <w:r w:rsidR="00C14BFF" w:rsidRPr="00742A04">
        <w:t xml:space="preserve"> </w:t>
      </w:r>
      <w:r w:rsidR="00545D1B" w:rsidRPr="00742A04">
        <w:t xml:space="preserve">(2002-2006) </w:t>
      </w:r>
      <w:r w:rsidRPr="00742A04">
        <w:t>establecido por el Gobierno</w:t>
      </w:r>
      <w:r w:rsidR="00545D1B" w:rsidRPr="00742A04">
        <w:t xml:space="preserve">. </w:t>
      </w:r>
      <w:r w:rsidR="00232DF9" w:rsidRPr="00742A04">
        <w:t>Entre otras cosas</w:t>
      </w:r>
      <w:r w:rsidR="00545D1B" w:rsidRPr="00742A04">
        <w:t xml:space="preserve">, </w:t>
      </w:r>
      <w:r w:rsidR="008A0C75" w:rsidRPr="00742A04">
        <w:t xml:space="preserve">el Plan </w:t>
      </w:r>
      <w:r w:rsidR="004A0730" w:rsidRPr="00742A04">
        <w:t>de</w:t>
      </w:r>
      <w:r w:rsidR="00545D1B" w:rsidRPr="00742A04">
        <w:t xml:space="preserve"> A</w:t>
      </w:r>
      <w:r w:rsidR="00545D1B" w:rsidRPr="00742A04">
        <w:t>c</w:t>
      </w:r>
      <w:r w:rsidR="00C14BFF" w:rsidRPr="00742A04">
        <w:t xml:space="preserve">ción </w:t>
      </w:r>
      <w:r w:rsidR="003E5775" w:rsidRPr="00742A04">
        <w:t>constituye un</w:t>
      </w:r>
      <w:r w:rsidR="00545D1B" w:rsidRPr="00742A04">
        <w:t xml:space="preserve"> </w:t>
      </w:r>
      <w:r w:rsidR="008A0C75" w:rsidRPr="00742A04">
        <w:t>seguimiento</w:t>
      </w:r>
      <w:r w:rsidR="00545D1B" w:rsidRPr="00742A04">
        <w:t xml:space="preserve"> </w:t>
      </w:r>
      <w:r w:rsidR="003E5775" w:rsidRPr="00742A04">
        <w:t>de la</w:t>
      </w:r>
      <w:r w:rsidR="00545D1B" w:rsidRPr="00742A04">
        <w:t xml:space="preserve"> </w:t>
      </w:r>
      <w:r w:rsidR="00B82A08" w:rsidRPr="00742A04">
        <w:t>Conferencia Mundial contra el Racismo</w:t>
      </w:r>
      <w:r w:rsidR="00A93B9E" w:rsidRPr="00742A04">
        <w:t xml:space="preserve">, la </w:t>
      </w:r>
      <w:r w:rsidR="00B82A08" w:rsidRPr="00742A04">
        <w:t xml:space="preserve">Discriminación </w:t>
      </w:r>
      <w:r w:rsidR="003E5775" w:rsidRPr="00742A04">
        <w:t>Racial, la Xenofobia</w:t>
      </w:r>
      <w:r w:rsidR="00B82A08" w:rsidRPr="00742A04">
        <w:t xml:space="preserve"> y las Formas Conexas de Intolerancia,</w:t>
      </w:r>
      <w:r w:rsidR="00545D1B" w:rsidRPr="00742A04">
        <w:t xml:space="preserve"> </w:t>
      </w:r>
      <w:r w:rsidR="004A0730" w:rsidRPr="00742A04">
        <w:t xml:space="preserve">que </w:t>
      </w:r>
      <w:r w:rsidR="003E5775" w:rsidRPr="00742A04">
        <w:t>se celebró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C218E" w:rsidRPr="00742A04">
        <w:t>Sudáfrica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C39D4" w:rsidRPr="00742A04">
        <w:t>septiembre</w:t>
      </w:r>
      <w:r w:rsidR="003E5775" w:rsidRPr="00742A04">
        <w:t xml:space="preserve"> de</w:t>
      </w:r>
      <w:r w:rsidR="00545D1B" w:rsidRPr="00742A04">
        <w:t xml:space="preserve"> 2001. </w:t>
      </w:r>
      <w:r w:rsidR="008A0C75" w:rsidRPr="00742A04">
        <w:t xml:space="preserve">El Plan </w:t>
      </w:r>
      <w:r w:rsidR="003E5775" w:rsidRPr="00742A04">
        <w:t>comprende la discriminación contra</w:t>
      </w:r>
      <w:r w:rsidR="00545D1B" w:rsidRPr="00742A04">
        <w:t xml:space="preserve"> </w:t>
      </w:r>
      <w:r w:rsidR="003E5775" w:rsidRPr="00742A04">
        <w:t>los pueblos indígenas</w:t>
      </w:r>
      <w:r w:rsidR="00545D1B" w:rsidRPr="00742A04">
        <w:t xml:space="preserve">, </w:t>
      </w:r>
      <w:r w:rsidR="003E5775" w:rsidRPr="00742A04">
        <w:t>las minorías nacionales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59383C">
        <w:t>de origen</w:t>
      </w:r>
      <w:r w:rsidR="003E5775" w:rsidRPr="00742A04">
        <w:t xml:space="preserve"> inm</w:t>
      </w:r>
      <w:r w:rsidR="003E5775" w:rsidRPr="00742A04">
        <w:t>i</w:t>
      </w:r>
      <w:r w:rsidR="003E5775" w:rsidRPr="00742A04">
        <w:t>gra</w:t>
      </w:r>
      <w:r w:rsidR="0059383C">
        <w:t>torio</w:t>
      </w:r>
      <w:r w:rsidR="003E5775" w:rsidRPr="00742A04">
        <w:t>.</w:t>
      </w:r>
      <w:r w:rsidR="00545D1B" w:rsidRPr="00742A04">
        <w:t xml:space="preserve"> </w:t>
      </w:r>
      <w:r w:rsidR="003E5775" w:rsidRPr="00742A04">
        <w:t>Las medidas previstas en</w:t>
      </w:r>
      <w:r w:rsidR="00545D1B" w:rsidRPr="00742A04">
        <w:t xml:space="preserve"> </w:t>
      </w:r>
      <w:r w:rsidR="008A0C75" w:rsidRPr="00742A04">
        <w:t xml:space="preserve">el Plan </w:t>
      </w:r>
      <w:r w:rsidR="003E5775" w:rsidRPr="00742A04">
        <w:t>se dirigen</w:t>
      </w:r>
      <w:r w:rsidR="001E30D6" w:rsidRPr="00742A04">
        <w:t xml:space="preserve"> </w:t>
      </w:r>
      <w:r w:rsidR="00AB463F" w:rsidRPr="00742A04">
        <w:t xml:space="preserve">en particular </w:t>
      </w:r>
      <w:r w:rsidR="00A80F26">
        <w:t>a la</w:t>
      </w:r>
      <w:r w:rsidR="001E30D6" w:rsidRPr="00742A04">
        <w:t xml:space="preserve"> </w:t>
      </w:r>
      <w:r w:rsidR="00AD0883" w:rsidRPr="00742A04">
        <w:t>vida laboral</w:t>
      </w:r>
      <w:r w:rsidR="00545D1B" w:rsidRPr="00742A04">
        <w:t xml:space="preserve">, </w:t>
      </w:r>
      <w:r w:rsidR="003E5775" w:rsidRPr="00742A04">
        <w:t>los servicios públicos</w:t>
      </w:r>
      <w:r w:rsidR="00545D1B" w:rsidRPr="00742A04">
        <w:t xml:space="preserve">, </w:t>
      </w:r>
      <w:r w:rsidR="003E5775" w:rsidRPr="00742A04">
        <w:t>las escuelas</w:t>
      </w:r>
      <w:r w:rsidR="00545D1B" w:rsidRPr="00742A04">
        <w:t>/</w:t>
      </w:r>
      <w:r w:rsidR="003E5775" w:rsidRPr="00742A04">
        <w:t xml:space="preserve">la </w:t>
      </w:r>
      <w:r w:rsidR="00A05847" w:rsidRPr="00742A04">
        <w:t>educación</w:t>
      </w:r>
      <w:r w:rsidR="00545D1B" w:rsidRPr="00742A04">
        <w:t xml:space="preserve">, </w:t>
      </w:r>
      <w:r w:rsidR="00FC59C5" w:rsidRPr="00742A04">
        <w:t>la policía</w:t>
      </w:r>
      <w:r w:rsidR="00545D1B" w:rsidRPr="00742A04">
        <w:t>/</w:t>
      </w:r>
      <w:r w:rsidR="003E5775" w:rsidRPr="00742A04">
        <w:t>el ministerio público</w:t>
      </w:r>
      <w:r w:rsidR="00545D1B" w:rsidRPr="00742A04">
        <w:t>/</w:t>
      </w:r>
      <w:r w:rsidR="003E5775" w:rsidRPr="00742A04">
        <w:t>los tribunales</w:t>
      </w:r>
      <w:r w:rsidR="00545D1B" w:rsidRPr="00742A04">
        <w:t xml:space="preserve">, </w:t>
      </w:r>
      <w:r w:rsidR="003E5775" w:rsidRPr="00742A04">
        <w:t xml:space="preserve">la </w:t>
      </w:r>
      <w:r w:rsidR="00545D1B" w:rsidRPr="00742A04">
        <w:t>documenta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3E5775" w:rsidRPr="00742A04">
        <w:t>la vigilancia</w:t>
      </w:r>
      <w:r w:rsidR="00545D1B" w:rsidRPr="00742A04">
        <w:t xml:space="preserve">, </w:t>
      </w:r>
      <w:r w:rsidR="003E5775" w:rsidRPr="00742A04">
        <w:t>la Internet</w:t>
      </w:r>
      <w:r w:rsidR="00545D1B" w:rsidRPr="00742A04">
        <w:t xml:space="preserve">, </w:t>
      </w:r>
      <w:r w:rsidR="003E5775" w:rsidRPr="00742A04">
        <w:t>las comunidades locales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5775" w:rsidRPr="00742A04">
        <w:t>el fortalecimiento de</w:t>
      </w:r>
      <w:r w:rsidR="00545D1B" w:rsidRPr="00742A04">
        <w:t xml:space="preserve"> </w:t>
      </w:r>
      <w:r w:rsidR="006137EC" w:rsidRPr="00742A04">
        <w:t>la protección jurídica</w:t>
      </w:r>
      <w:r w:rsidR="00C14BFF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E77E20" w:rsidRPr="00742A04">
        <w:t>la discriminación por motivos é</w:t>
      </w:r>
      <w:r w:rsidR="00E77E20" w:rsidRPr="00742A04">
        <w:t>t</w:t>
      </w:r>
      <w:r w:rsidR="00E77E20" w:rsidRPr="00742A04">
        <w:t>nicos</w:t>
      </w:r>
      <w:r w:rsidR="00545D1B" w:rsidRPr="00742A04">
        <w:t xml:space="preserve">. </w:t>
      </w:r>
      <w:r w:rsidR="003E5775" w:rsidRPr="00742A04">
        <w:t>La perspectiva</w:t>
      </w:r>
      <w:r w:rsidR="00587443" w:rsidRPr="00742A04">
        <w:t xml:space="preserve"> de género</w:t>
      </w:r>
      <w:r w:rsidR="00545D1B" w:rsidRPr="00742A04">
        <w:t xml:space="preserve"> </w:t>
      </w:r>
      <w:r w:rsidR="003E5775" w:rsidRPr="00742A04">
        <w:t>forma parte integrante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E5775" w:rsidRPr="00742A04">
        <w:t>las medidas previstas en el Plan</w:t>
      </w:r>
      <w:r w:rsidR="00545D1B" w:rsidRPr="00742A04">
        <w:t xml:space="preserve">. </w:t>
      </w:r>
      <w:r w:rsidR="003E5775" w:rsidRPr="00742A04">
        <w:t>Un informe de situación</w:t>
      </w:r>
      <w:r w:rsidR="00545D1B" w:rsidRPr="00742A04">
        <w:t xml:space="preserve"> </w:t>
      </w:r>
      <w:r w:rsidR="003E5775" w:rsidRPr="00742A04">
        <w:t xml:space="preserve">al 1° de </w:t>
      </w:r>
      <w:r w:rsidR="00EA776F" w:rsidRPr="00742A04">
        <w:t>junio de</w:t>
      </w:r>
      <w:r w:rsidR="00545D1B" w:rsidRPr="00742A04">
        <w:t xml:space="preserve"> 2005 </w:t>
      </w:r>
      <w:r w:rsidR="003E5775" w:rsidRPr="00742A04">
        <w:t>indica que</w:t>
      </w:r>
      <w:r w:rsidR="00545D1B" w:rsidRPr="00742A04">
        <w:t xml:space="preserve"> </w:t>
      </w:r>
      <w:r w:rsidR="003C25BF" w:rsidRPr="00742A04">
        <w:t>casi</w:t>
      </w:r>
      <w:r w:rsidR="00545D1B" w:rsidRPr="00742A04">
        <w:t xml:space="preserve"> </w:t>
      </w:r>
      <w:r w:rsidR="003E5775" w:rsidRPr="00742A04">
        <w:t>todas las med</w:t>
      </w:r>
      <w:r w:rsidR="003E5775" w:rsidRPr="00742A04">
        <w:t>i</w:t>
      </w:r>
      <w:r w:rsidR="003E5775" w:rsidRPr="00742A04">
        <w:t>das previstas en el Plan</w:t>
      </w:r>
      <w:r w:rsidR="00545D1B" w:rsidRPr="00742A04">
        <w:t xml:space="preserve"> </w:t>
      </w:r>
      <w:r w:rsidR="003E5775" w:rsidRPr="00742A04">
        <w:t>han sido implementadas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3E5775" w:rsidRPr="00742A04">
        <w:t>están en marcha</w:t>
      </w:r>
      <w:r w:rsidR="00545D1B" w:rsidRPr="00742A04">
        <w:t xml:space="preserve">. </w:t>
      </w:r>
      <w:r w:rsidR="003E5775" w:rsidRPr="00742A04">
        <w:t>Se han iniciado varias</w:t>
      </w:r>
      <w:r w:rsidR="00545D1B" w:rsidRPr="00742A04">
        <w:t xml:space="preserve"> </w:t>
      </w:r>
      <w:r w:rsidR="00614C7D" w:rsidRPr="00742A04">
        <w:t>actividades</w:t>
      </w:r>
      <w:r w:rsidR="00545D1B" w:rsidRPr="00742A04">
        <w:t xml:space="preserve"> </w:t>
      </w:r>
      <w:r w:rsidR="003E5775" w:rsidRPr="00742A04">
        <w:t xml:space="preserve">encaminadas </w:t>
      </w:r>
      <w:r w:rsidR="0030626A" w:rsidRPr="00742A04">
        <w:t>a</w:t>
      </w:r>
      <w:r w:rsidR="003E5775" w:rsidRPr="00742A04">
        <w:t xml:space="preserve"> dotar a los</w:t>
      </w:r>
      <w:r w:rsidR="00545D1B" w:rsidRPr="00742A04">
        <w:t xml:space="preserve"> </w:t>
      </w:r>
      <w:r w:rsidR="003E5775" w:rsidRPr="00742A04">
        <w:t>centros de crisis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5775" w:rsidRPr="00742A04">
        <w:t xml:space="preserve">servicios locales de </w:t>
      </w:r>
      <w:r w:rsidR="00A303AC">
        <w:t>asistencia</w:t>
      </w:r>
      <w:r w:rsidR="003E5775" w:rsidRPr="00742A04">
        <w:t xml:space="preserve"> social</w:t>
      </w:r>
      <w:r w:rsidR="00545D1B" w:rsidRPr="00742A04">
        <w:t xml:space="preserve"> </w:t>
      </w:r>
      <w:r w:rsidR="003E5775" w:rsidRPr="00742A04">
        <w:t>de</w:t>
      </w:r>
      <w:r w:rsidR="00545D1B" w:rsidRPr="00742A04">
        <w:t xml:space="preserve"> </w:t>
      </w:r>
      <w:r w:rsidR="00242371" w:rsidRPr="00742A04">
        <w:t xml:space="preserve">capacidades </w:t>
      </w:r>
      <w:r w:rsidR="003E5775" w:rsidRPr="00742A04">
        <w:t xml:space="preserve">y conocimientos </w:t>
      </w:r>
      <w:r w:rsidR="00242371" w:rsidRPr="00742A04">
        <w:t>especiali</w:t>
      </w:r>
      <w:r w:rsidR="003E5775" w:rsidRPr="00742A04">
        <w:t>zado</w:t>
      </w:r>
      <w:r w:rsidR="00242371" w:rsidRPr="00742A04">
        <w:t>s</w:t>
      </w:r>
      <w:r w:rsidR="00545D1B" w:rsidRPr="00742A04">
        <w:t xml:space="preserve"> </w:t>
      </w:r>
      <w:r w:rsidR="003E5775" w:rsidRPr="00742A04">
        <w:t>sobre</w:t>
      </w:r>
      <w:r w:rsidR="00545D1B" w:rsidRPr="00742A04">
        <w:t xml:space="preserve"> </w:t>
      </w:r>
      <w:r w:rsidR="003E5775" w:rsidRPr="00742A04">
        <w:t>las necesid</w:t>
      </w:r>
      <w:r w:rsidR="003E5775" w:rsidRPr="00742A04">
        <w:t>a</w:t>
      </w:r>
      <w:r w:rsidR="003E5775" w:rsidRPr="00742A04">
        <w:t>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55B3B" w:rsidRPr="00742A04">
        <w:t>las mujeres inmigrantes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6137EC" w:rsidRPr="00742A04">
        <w:t>son</w:t>
      </w:r>
      <w:r w:rsidR="00E574AD" w:rsidRPr="00742A04">
        <w:t xml:space="preserve"> víctimas de la violencia</w:t>
      </w:r>
      <w:r w:rsidR="00545D1B" w:rsidRPr="00742A04">
        <w:t xml:space="preserve">. </w:t>
      </w:r>
      <w:r w:rsidR="003E5775" w:rsidRPr="00742A04">
        <w:t>También se presta a</w:t>
      </w:r>
      <w:r w:rsidR="00935A90" w:rsidRPr="00742A04">
        <w:t>poyo</w:t>
      </w:r>
      <w:r w:rsidR="00545D1B" w:rsidRPr="00742A04">
        <w:t xml:space="preserve"> </w:t>
      </w:r>
      <w:r w:rsidR="003E5775" w:rsidRPr="00742A04">
        <w:t>a los</w:t>
      </w:r>
      <w:r w:rsidR="00545D1B" w:rsidRPr="00742A04">
        <w:t xml:space="preserve"> </w:t>
      </w:r>
      <w:r w:rsidR="003E5775" w:rsidRPr="00742A04">
        <w:t>servicios preventivos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E5775" w:rsidRPr="00742A04">
        <w:t>familias</w:t>
      </w:r>
      <w:r w:rsidR="00545D1B" w:rsidRPr="00742A04">
        <w:t xml:space="preserve"> </w:t>
      </w:r>
      <w:r w:rsidR="00D66FC2" w:rsidRPr="00742A04">
        <w:t>provenientes de minorías</w:t>
      </w:r>
      <w:r w:rsidR="00545D1B" w:rsidRPr="00742A04">
        <w:t>.</w:t>
      </w:r>
      <w:r w:rsidR="00B05988" w:rsidRPr="00742A04">
        <w:t xml:space="preserve"> </w:t>
      </w:r>
      <w:r w:rsidR="00D66FC2" w:rsidRPr="00742A04">
        <w:t xml:space="preserve">En 2006 se elaborará </w:t>
      </w:r>
      <w:r w:rsidR="00B05988" w:rsidRPr="00742A04">
        <w:t>un nuevo</w:t>
      </w:r>
      <w:r w:rsidR="00545D1B" w:rsidRPr="00742A04">
        <w:t xml:space="preserve"> </w:t>
      </w:r>
      <w:r w:rsidR="00D66FC2" w:rsidRPr="00742A04">
        <w:t xml:space="preserve">informe de </w:t>
      </w:r>
      <w:r w:rsidR="0073499D" w:rsidRPr="00742A04">
        <w:t>situación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66FC2" w:rsidRPr="00742A04">
        <w:t>se hará una evaluación interna</w:t>
      </w:r>
      <w:r w:rsidR="00C14BFF" w:rsidRPr="00742A04">
        <w:t xml:space="preserve"> </w:t>
      </w:r>
      <w:r w:rsidR="004A0730" w:rsidRPr="00742A04">
        <w:t>de</w:t>
      </w:r>
      <w:r w:rsidR="008A0C75" w:rsidRPr="00742A04">
        <w:t xml:space="preserve">l Plan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D66FC2" w:rsidRPr="00742A04">
        <w:t>antes de</w:t>
      </w:r>
      <w:r w:rsidR="00545D1B" w:rsidRPr="00742A04">
        <w:t xml:space="preserve"> </w:t>
      </w:r>
      <w:r w:rsidR="00D66FC2" w:rsidRPr="00742A04">
        <w:t xml:space="preserve">tomar una </w:t>
      </w:r>
      <w:r w:rsidR="00545D1B" w:rsidRPr="00742A04">
        <w:t>deci</w:t>
      </w:r>
      <w:r w:rsidR="00D66FC2" w:rsidRPr="00742A04">
        <w:t>sión acerca de</w:t>
      </w:r>
      <w:r w:rsidR="00545D1B" w:rsidRPr="00742A04">
        <w:t xml:space="preserve"> </w:t>
      </w:r>
      <w:r w:rsidR="00D66FC2" w:rsidRPr="00742A04">
        <w:t>las medidas de seguimie</w:t>
      </w:r>
      <w:r w:rsidR="00D66FC2" w:rsidRPr="00742A04">
        <w:t>n</w:t>
      </w:r>
      <w:r w:rsidR="00D66FC2" w:rsidRPr="00742A04">
        <w:t>to</w:t>
      </w:r>
      <w:r w:rsidR="00C27C42" w:rsidRPr="00742A04">
        <w:t>.</w:t>
      </w:r>
      <w:r w:rsidR="00545D1B" w:rsidRPr="00742A04">
        <w:t xml:space="preserve"> </w:t>
      </w:r>
      <w:r w:rsidR="00D66FC2" w:rsidRPr="00742A04">
        <w:t xml:space="preserve">(Véase </w:t>
      </w:r>
      <w:r w:rsidR="0030626A" w:rsidRPr="00742A04">
        <w:t>también</w:t>
      </w:r>
      <w:r w:rsidR="00FF575F" w:rsidRPr="00742A04">
        <w:t xml:space="preserve"> </w:t>
      </w:r>
      <w:r w:rsidR="00D66FC2" w:rsidRPr="00742A04">
        <w:t xml:space="preserve">el </w:t>
      </w:r>
      <w:r w:rsidR="00FF575F" w:rsidRPr="00742A04">
        <w:t>artículo</w:t>
      </w:r>
      <w:r w:rsidR="00545D1B" w:rsidRPr="00742A04">
        <w:t xml:space="preserve"> 6.)</w:t>
      </w:r>
    </w:p>
    <w:p w:rsidR="00545D1B" w:rsidRPr="00742A04" w:rsidRDefault="00D66FC2" w:rsidP="001C6426">
      <w:pPr>
        <w:pStyle w:val="SingleTxt"/>
        <w:ind w:firstLine="475"/>
      </w:pPr>
      <w:r w:rsidRPr="00742A04">
        <w:t>Por lo demás, cabe remitirse al</w:t>
      </w:r>
      <w:r w:rsidR="00552048" w:rsidRPr="00742A04">
        <w:t xml:space="preserve"> sexto informe periódico de Noruega</w:t>
      </w:r>
      <w:r w:rsidR="00545D1B" w:rsidRPr="00742A04">
        <w:t xml:space="preserve"> </w:t>
      </w:r>
      <w:r w:rsidR="00877AA0" w:rsidRPr="00742A04">
        <w:t>y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i</w:t>
      </w:r>
      <w:r w:rsidR="00545D1B" w:rsidRPr="00742A04">
        <w:t>n</w:t>
      </w:r>
      <w:r w:rsidR="00545D1B" w:rsidRPr="00742A04">
        <w:t>forma</w:t>
      </w:r>
      <w:r w:rsidR="00C14BFF" w:rsidRPr="00742A04">
        <w:t xml:space="preserve">ción </w:t>
      </w:r>
      <w:r w:rsidRPr="00742A04">
        <w:t>sobre</w:t>
      </w:r>
      <w:r w:rsidR="00545D1B" w:rsidRPr="00742A04">
        <w:t xml:space="preserve"> </w:t>
      </w:r>
      <w:r w:rsidR="008B63DF" w:rsidRPr="00742A04">
        <w:t>la Ley de Inmigración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persecución por motivos de género</w:t>
      </w:r>
      <w:r w:rsidR="00935A90" w:rsidRPr="00742A04">
        <w:t>,</w:t>
      </w:r>
      <w:r w:rsidR="00545D1B" w:rsidRPr="00742A04">
        <w:t xml:space="preserve"> </w:t>
      </w:r>
      <w:r w:rsidRPr="00742A04">
        <w:t>que sigue siendo aplicable</w:t>
      </w:r>
      <w:r w:rsidR="00545D1B" w:rsidRPr="00742A04">
        <w:t xml:space="preserve"> </w:t>
      </w:r>
      <w:r w:rsidRPr="00742A04">
        <w:t>al sistema actual</w:t>
      </w:r>
      <w:r w:rsidR="00545D1B" w:rsidRPr="00742A04">
        <w:t>.</w:t>
      </w: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2002, </w:t>
      </w:r>
      <w:r w:rsidR="00D66FC2" w:rsidRPr="00742A04">
        <w:t>el Ministerio de Gobierno Local y Desarrollo Regional encargó</w:t>
      </w:r>
      <w:r w:rsidR="001E30D6" w:rsidRPr="00742A04">
        <w:t xml:space="preserve"> una </w:t>
      </w:r>
      <w:r w:rsidR="00D66FC2" w:rsidRPr="00742A04">
        <w:t>Universidad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Oslo </w:t>
      </w:r>
      <w:r w:rsidR="00D66FC2" w:rsidRPr="00742A04">
        <w:t>que</w:t>
      </w:r>
      <w:r w:rsidR="00545D1B" w:rsidRPr="00742A04">
        <w:t xml:space="preserve"> present</w:t>
      </w:r>
      <w:r w:rsidR="00D66FC2" w:rsidRPr="00742A04">
        <w:t>ar</w:t>
      </w:r>
      <w:r w:rsidR="00545D1B" w:rsidRPr="00742A04">
        <w:t xml:space="preserve">a </w:t>
      </w:r>
      <w:r w:rsidR="00D66FC2" w:rsidRPr="00742A04">
        <w:t>un informe de investigación</w:t>
      </w:r>
      <w:r w:rsidR="00545D1B" w:rsidRPr="00742A04">
        <w:t xml:space="preserve"> </w:t>
      </w:r>
      <w:r w:rsidR="00D66FC2" w:rsidRPr="00742A04">
        <w:t>centrado en</w:t>
      </w:r>
      <w:r w:rsidR="00545D1B" w:rsidRPr="00742A04">
        <w:t xml:space="preserve"> </w:t>
      </w:r>
      <w:r w:rsidR="003E5775" w:rsidRPr="00742A04">
        <w:t>la perspectiva</w:t>
      </w:r>
      <w:r w:rsidR="0058744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66FC2" w:rsidRPr="00742A04">
        <w:t>los casos de asilo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66FC2" w:rsidRPr="00742A04">
        <w:t>otros temas</w:t>
      </w:r>
      <w:r w:rsidR="00545D1B" w:rsidRPr="00742A04">
        <w:t xml:space="preserve">. </w:t>
      </w:r>
      <w:r w:rsidR="00D66FC2" w:rsidRPr="00742A04">
        <w:t>Dicho informe de invest</w:t>
      </w:r>
      <w:r w:rsidR="00D66FC2" w:rsidRPr="00742A04">
        <w:t>i</w:t>
      </w:r>
      <w:r w:rsidR="00D66FC2" w:rsidRPr="00742A04">
        <w:t>gación</w:t>
      </w:r>
      <w:r w:rsidR="00545D1B" w:rsidRPr="00742A04">
        <w:t xml:space="preserve"> </w:t>
      </w:r>
      <w:r w:rsidR="00D66FC2" w:rsidRPr="00742A04">
        <w:t>ha contribuido a que se centrara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D66FC2" w:rsidRPr="00742A04">
        <w:t>la ate</w:t>
      </w:r>
      <w:r w:rsidR="00545D1B" w:rsidRPr="00742A04">
        <w:t>n</w:t>
      </w:r>
      <w:r w:rsidR="00C14BFF" w:rsidRPr="00742A04">
        <w:t xml:space="preserve">ción </w:t>
      </w:r>
      <w:r w:rsidR="00D66FC2" w:rsidRPr="00742A04">
        <w:t>en los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EA6AC2" w:rsidRPr="00742A04">
        <w:t>relativos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D66FC2" w:rsidRPr="00742A04">
        <w:t>persecución por motivos de género</w:t>
      </w:r>
      <w:r w:rsidR="00545D1B" w:rsidRPr="00742A04">
        <w:t xml:space="preserve"> </w:t>
      </w:r>
      <w:r w:rsidR="00A303AC">
        <w:t>o</w:t>
      </w:r>
      <w:r w:rsidR="00545D1B" w:rsidRPr="00742A04">
        <w:t xml:space="preserve"> </w:t>
      </w:r>
      <w:r w:rsidR="00D66FC2" w:rsidRPr="00742A04">
        <w:t>propia de determinado género</w:t>
      </w:r>
      <w:r w:rsidR="00545D1B" w:rsidRPr="00742A04">
        <w:t xml:space="preserve"> </w:t>
      </w:r>
      <w:r w:rsidR="00D66FC2" w:rsidRPr="00742A04">
        <w:t>como causales de asilo</w:t>
      </w:r>
      <w:r w:rsidR="00545D1B" w:rsidRPr="00742A04">
        <w:t xml:space="preserve">. </w:t>
      </w:r>
      <w:r w:rsidR="00D66FC2" w:rsidRPr="00742A04">
        <w:t>Las estadísticas indican que</w:t>
      </w:r>
      <w:r w:rsidR="00545D1B" w:rsidRPr="00742A04">
        <w:t xml:space="preserve"> </w:t>
      </w:r>
      <w:r w:rsidR="00D66FC2" w:rsidRPr="00742A04">
        <w:t xml:space="preserve">en la práctica </w:t>
      </w:r>
      <w:r w:rsidR="00CE1CFC" w:rsidRPr="00742A04">
        <w:t xml:space="preserve">actual </w:t>
      </w:r>
      <w:r w:rsidR="00D66FC2" w:rsidRPr="00742A04">
        <w:t xml:space="preserve">de Noruega en materia de asilo se reconoce como refugiadas a muchas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D66FC2" w:rsidRPr="00742A04">
        <w:t>que</w:t>
      </w:r>
      <w:r w:rsidR="00CE1CFC" w:rsidRPr="00742A04">
        <w:t xml:space="preserve"> las que se reconocían</w:t>
      </w:r>
      <w:r w:rsidR="00D66FC2" w:rsidRPr="00742A04">
        <w:t xml:space="preserve"> antes</w:t>
      </w:r>
      <w:r w:rsidR="00545D1B" w:rsidRPr="00742A04">
        <w:t>.</w:t>
      </w:r>
    </w:p>
    <w:p w:rsidR="00545D1B" w:rsidRPr="00742A04" w:rsidRDefault="00CE1CFC" w:rsidP="001C6426">
      <w:pPr>
        <w:pStyle w:val="SingleTxt"/>
        <w:ind w:firstLine="475"/>
      </w:pPr>
      <w:r w:rsidRPr="00742A04">
        <w:t>El</w:t>
      </w:r>
      <w:r w:rsidR="00545D1B" w:rsidRPr="00742A04">
        <w:t xml:space="preserve"> 14 </w:t>
      </w:r>
      <w:r w:rsidRPr="00742A04">
        <w:t>de diciembre de</w:t>
      </w:r>
      <w:r w:rsidR="00545D1B" w:rsidRPr="00742A04">
        <w:t xml:space="preserve"> 2001, </w:t>
      </w:r>
      <w:r w:rsidR="008F0C8E" w:rsidRPr="00742A04">
        <w:t>el Gobierno</w:t>
      </w:r>
      <w:r w:rsidR="00545D1B" w:rsidRPr="00742A04">
        <w:t xml:space="preserve"> </w:t>
      </w:r>
      <w:r w:rsidR="0073499D">
        <w:t>designó</w:t>
      </w:r>
      <w:r w:rsidR="00545D1B" w:rsidRPr="00742A04">
        <w:t xml:space="preserve"> </w:t>
      </w:r>
      <w:r w:rsidRPr="00742A04">
        <w:t>un comité legislativo</w:t>
      </w:r>
      <w:r w:rsidR="00545D1B" w:rsidRPr="00742A04">
        <w:t xml:space="preserve"> </w:t>
      </w:r>
      <w:r w:rsidRPr="00742A04">
        <w:t>par</w:t>
      </w:r>
      <w:r w:rsidR="0030626A" w:rsidRPr="00742A04">
        <w:t>a</w:t>
      </w:r>
      <w:r w:rsidR="00545D1B" w:rsidRPr="00742A04">
        <w:t xml:space="preserve"> </w:t>
      </w:r>
      <w:r w:rsidRPr="00742A04">
        <w:t>elaborar</w:t>
      </w:r>
      <w:r w:rsidR="00545D1B" w:rsidRPr="00742A04">
        <w:t xml:space="preserve"> </w:t>
      </w:r>
      <w:r w:rsidR="00FC59C5" w:rsidRPr="00742A04">
        <w:t>un informe</w:t>
      </w:r>
      <w:r w:rsidR="00545D1B" w:rsidRPr="00742A04">
        <w:t xml:space="preserve"> </w:t>
      </w:r>
      <w:r w:rsidRPr="00742A04">
        <w:t>sobre</w:t>
      </w:r>
      <w:r w:rsidR="00545D1B" w:rsidRPr="00742A04">
        <w:t xml:space="preserve"> </w:t>
      </w:r>
      <w:r w:rsidR="00B05988" w:rsidRPr="00742A04">
        <w:t>un</w:t>
      </w:r>
      <w:r w:rsidRPr="00742A04">
        <w:t>a nueva</w:t>
      </w:r>
      <w:r w:rsidR="00545D1B" w:rsidRPr="00742A04">
        <w:rPr>
          <w:i/>
        </w:rPr>
        <w:t xml:space="preserve"> </w:t>
      </w:r>
      <w:r w:rsidRPr="00742A04">
        <w:t xml:space="preserve">Ley de Inmigración, así como el respectivo proyecto de ley </w:t>
      </w:r>
      <w:r w:rsidR="00545D1B" w:rsidRPr="00742A04">
        <w:t>(</w:t>
      </w:r>
      <w:r w:rsidRPr="00742A04">
        <w:t>el Comité encargado de la Ley de Inmigración</w:t>
      </w:r>
      <w:r w:rsidR="00545D1B" w:rsidRPr="00742A04">
        <w:t xml:space="preserve">). </w:t>
      </w:r>
      <w:r w:rsidRPr="00742A04">
        <w:t>El comité</w:t>
      </w:r>
      <w:r w:rsidR="00545D1B" w:rsidRPr="00742A04">
        <w:t xml:space="preserve"> </w:t>
      </w:r>
      <w:r w:rsidRPr="00742A04">
        <w:t>recibió el</w:t>
      </w:r>
      <w:r w:rsidR="00545D1B" w:rsidRPr="00742A04">
        <w:t xml:space="preserve"> </w:t>
      </w:r>
      <w:r w:rsidR="00232DF9" w:rsidRPr="00742A04">
        <w:t>mandato</w:t>
      </w:r>
      <w:r w:rsidRPr="00742A04">
        <w:t xml:space="preserve"> </w:t>
      </w:r>
      <w:r w:rsidR="00545D1B" w:rsidRPr="00742A04">
        <w:t>d</w:t>
      </w:r>
      <w:r w:rsidRPr="00742A04">
        <w:t>e</w:t>
      </w:r>
      <w:r w:rsidR="00545D1B" w:rsidRPr="00742A04">
        <w:t xml:space="preserve"> </w:t>
      </w:r>
      <w:r w:rsidR="004D313C" w:rsidRPr="00742A04">
        <w:t>examinar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Pr="00742A04">
        <w:t>era</w:t>
      </w:r>
      <w:r w:rsidR="00545D1B" w:rsidRPr="00742A04">
        <w:t xml:space="preserve"> </w:t>
      </w:r>
      <w:r w:rsidR="00F43124" w:rsidRPr="00742A04">
        <w:t>neces</w:t>
      </w:r>
      <w:r w:rsidRPr="00742A04">
        <w:t>ario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Pr="00742A04">
        <w:t>la posición jurídica</w:t>
      </w:r>
      <w:r w:rsidR="00C14BFF" w:rsidRPr="00742A04">
        <w:t xml:space="preserve"> </w:t>
      </w:r>
      <w:r w:rsidR="004D313C" w:rsidRPr="00742A04">
        <w:t>de las muj</w:t>
      </w:r>
      <w:r w:rsidR="004D313C" w:rsidRPr="00742A04">
        <w:t>e</w:t>
      </w:r>
      <w:r w:rsidR="004D313C" w:rsidRPr="00742A04">
        <w:t>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 esfera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 </w:t>
      </w:r>
      <w:r w:rsidR="0073499D" w:rsidRPr="00742A04">
        <w:t>inmigración</w:t>
      </w:r>
      <w:r w:rsidR="00935A90" w:rsidRPr="00742A04">
        <w:t>,</w:t>
      </w:r>
      <w:r w:rsidR="00545D1B" w:rsidRPr="00742A04">
        <w:t xml:space="preserve"> </w:t>
      </w:r>
      <w:r w:rsidR="006137EC" w:rsidRPr="00742A04">
        <w:t xml:space="preserve">por </w:t>
      </w:r>
      <w:r w:rsidR="00040B78" w:rsidRPr="00742A04">
        <w:t>ejemplo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las solicitudes de</w:t>
      </w:r>
      <w:r w:rsidR="00545D1B" w:rsidRPr="00742A04">
        <w:t xml:space="preserve"> </w:t>
      </w:r>
      <w:r w:rsidR="00072AD7" w:rsidRPr="00742A04">
        <w:t>as</w:t>
      </w:r>
      <w:r w:rsidR="00072AD7" w:rsidRPr="00742A04">
        <w:t>i</w:t>
      </w:r>
      <w:r w:rsidR="00072AD7" w:rsidRPr="00742A04">
        <w:t>lo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resid</w:t>
      </w:r>
      <w:r w:rsidR="00FF575F" w:rsidRPr="00742A04">
        <w:t xml:space="preserve">encia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Pr="00742A04">
        <w:t>por otros motivos</w:t>
      </w:r>
      <w:r w:rsidR="00545D1B" w:rsidRPr="00742A04">
        <w:t xml:space="preserve">. </w:t>
      </w:r>
      <w:r w:rsidRPr="00742A04">
        <w:t>El Comité encargado de la Ley de Inmigración</w:t>
      </w:r>
      <w:r w:rsidR="00545D1B" w:rsidRPr="00742A04">
        <w:t xml:space="preserve"> presen</w:t>
      </w:r>
      <w:r w:rsidRPr="00742A04">
        <w:t xml:space="preserve">tó su recomendación el 19 de octubre de 2004, </w:t>
      </w:r>
      <w:r w:rsidR="00C14BFF" w:rsidRPr="00742A04">
        <w:t>en</w:t>
      </w:r>
      <w:r w:rsidR="00545D1B" w:rsidRPr="00742A04">
        <w:t xml:space="preserve"> </w:t>
      </w:r>
      <w:r w:rsidR="00FC59C5" w:rsidRPr="00742A04">
        <w:t>un informe</w:t>
      </w:r>
      <w:r w:rsidR="00545D1B" w:rsidRPr="00742A04">
        <w:t xml:space="preserve"> </w:t>
      </w:r>
      <w:r w:rsidR="008A0C75" w:rsidRPr="00742A04">
        <w:t>t</w:t>
      </w:r>
      <w:r w:rsidR="008A0C75" w:rsidRPr="00742A04">
        <w:t>i</w:t>
      </w:r>
      <w:r w:rsidR="008A0C75" w:rsidRPr="00742A04">
        <w:t>tulado</w:t>
      </w:r>
      <w:r w:rsidR="00545D1B" w:rsidRPr="00742A04">
        <w:t xml:space="preserve"> </w:t>
      </w:r>
      <w:r w:rsidR="00545D1B" w:rsidRPr="00742A04">
        <w:rPr>
          <w:i/>
        </w:rPr>
        <w:t>NOU 2004: 20 Ny utlendingslov</w:t>
      </w:r>
      <w:r w:rsidR="00545D1B" w:rsidRPr="00742A04">
        <w:t xml:space="preserve"> (</w:t>
      </w:r>
      <w:r w:rsidRPr="00742A04">
        <w:t>Informe Ofi</w:t>
      </w:r>
      <w:r w:rsidR="00545D1B" w:rsidRPr="00742A04">
        <w:t xml:space="preserve">cial </w:t>
      </w:r>
      <w:r w:rsidR="00BD47D3" w:rsidRPr="00742A04">
        <w:t>de Norueg</w:t>
      </w:r>
      <w:r w:rsidRPr="00742A04">
        <w:t>a</w:t>
      </w:r>
      <w:r w:rsidR="00FC59C5" w:rsidRPr="00742A04">
        <w:t xml:space="preserve"> </w:t>
      </w:r>
      <w:r w:rsidR="00545D1B" w:rsidRPr="00742A04">
        <w:t>2004: 20</w:t>
      </w:r>
      <w:r w:rsidR="00B05988" w:rsidRPr="00742A04">
        <w:t xml:space="preserve"> </w:t>
      </w:r>
      <w:r w:rsidRPr="00742A04">
        <w:t>– N</w:t>
      </w:r>
      <w:r w:rsidR="00B05988" w:rsidRPr="00742A04">
        <w:t>uev</w:t>
      </w:r>
      <w:r w:rsidRPr="00742A04">
        <w:t>a</w:t>
      </w:r>
      <w:r w:rsidR="00545D1B" w:rsidRPr="00742A04">
        <w:t xml:space="preserve"> </w:t>
      </w:r>
      <w:r w:rsidRPr="00742A04">
        <w:t>Ley de Inmigración de Noruega</w:t>
      </w:r>
      <w:r w:rsidR="00545D1B" w:rsidRPr="00742A04">
        <w:t>).</w:t>
      </w:r>
    </w:p>
    <w:p w:rsidR="00545D1B" w:rsidRPr="00742A04" w:rsidRDefault="00CE1CFC" w:rsidP="001C6426">
      <w:pPr>
        <w:pStyle w:val="SingleTxt"/>
        <w:ind w:firstLine="475"/>
      </w:pPr>
      <w:r w:rsidRPr="00742A04">
        <w:t>El Comité</w:t>
      </w:r>
      <w:r w:rsidR="00545D1B" w:rsidRPr="00742A04">
        <w:t xml:space="preserve"> </w:t>
      </w:r>
      <w:r w:rsidRPr="00742A04">
        <w:t xml:space="preserve">examinó </w:t>
      </w:r>
      <w:r w:rsidR="00230F13" w:rsidRPr="00742A04">
        <w:t>en particular</w:t>
      </w:r>
      <w:r w:rsidR="00545D1B" w:rsidRPr="00742A04">
        <w:t xml:space="preserve"> </w:t>
      </w:r>
      <w:r w:rsidR="003E5775" w:rsidRPr="00742A04">
        <w:t>la perspectiva</w:t>
      </w:r>
      <w:r w:rsidR="0058744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la </w:t>
      </w:r>
      <w:r w:rsidR="005E2D7A" w:rsidRPr="00742A04">
        <w:t>evaluación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 condición de refugiado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abordó </w:t>
      </w:r>
      <w:r w:rsidR="00545D1B" w:rsidRPr="00742A04">
        <w:t>especial</w:t>
      </w:r>
      <w:r w:rsidRPr="00742A04">
        <w:t>mente</w:t>
      </w:r>
      <w:r w:rsidR="00545D1B" w:rsidRPr="00742A04">
        <w:t xml:space="preserve"> </w:t>
      </w:r>
      <w:r w:rsidR="008A0C75" w:rsidRPr="00742A04">
        <w:t>los temas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 </w:t>
      </w:r>
      <w:r w:rsidR="00CB2022" w:rsidRPr="00742A04">
        <w:t>violencia doméstica</w:t>
      </w:r>
      <w:r w:rsidR="00545D1B" w:rsidRPr="00742A04">
        <w:t xml:space="preserve">, </w:t>
      </w:r>
      <w:r w:rsidR="00CA313E" w:rsidRPr="00742A04">
        <w:t>el matrimonio forzado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220D6" w:rsidRPr="00742A04">
        <w:t>la mutilación genital femenina</w:t>
      </w:r>
      <w:r w:rsidR="00C27C42" w:rsidRPr="00742A04">
        <w:t>.</w:t>
      </w:r>
      <w:r w:rsidR="00545D1B" w:rsidRPr="00742A04">
        <w:t xml:space="preserve"> </w:t>
      </w:r>
      <w:r w:rsidRPr="00742A04">
        <w:t>El Comité</w:t>
      </w:r>
      <w:r w:rsidR="00545D1B" w:rsidRPr="00742A04">
        <w:t xml:space="preserve"> </w:t>
      </w:r>
      <w:r w:rsidRPr="00742A04">
        <w:t>puso de relieve que</w:t>
      </w:r>
      <w:r w:rsidR="00545D1B" w:rsidRPr="00742A04">
        <w:t xml:space="preserve"> </w:t>
      </w:r>
      <w:r w:rsidR="00F43124" w:rsidRPr="00742A04">
        <w:t>hay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 </w:t>
      </w:r>
      <w:r w:rsidRPr="00742A04">
        <w:t>límite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834309" w:rsidRPr="00742A04">
        <w:t>medida en que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C27C42" w:rsidRPr="00742A04">
        <w:t>posible</w:t>
      </w:r>
      <w:r w:rsidR="00545D1B" w:rsidRPr="00742A04">
        <w:t xml:space="preserve"> </w:t>
      </w:r>
      <w:r w:rsidR="00834309" w:rsidRPr="00742A04">
        <w:t>dar una</w:t>
      </w:r>
      <w:r w:rsidR="00545D1B" w:rsidRPr="00742A04">
        <w:t xml:space="preserve"> re</w:t>
      </w:r>
      <w:r w:rsidR="00545D1B" w:rsidRPr="00742A04">
        <w:t>s</w:t>
      </w:r>
      <w:r w:rsidR="00545D1B" w:rsidRPr="00742A04">
        <w:t>p</w:t>
      </w:r>
      <w:r w:rsidR="00834309" w:rsidRPr="00742A04">
        <w:t>uesta</w:t>
      </w:r>
      <w:r w:rsidR="00545D1B" w:rsidRPr="00742A04">
        <w:t xml:space="preserve"> </w:t>
      </w:r>
      <w:r w:rsidR="00032136" w:rsidRPr="00742A04">
        <w:t>clara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E5047" w:rsidRPr="00742A04">
        <w:t>cuestiones</w:t>
      </w:r>
      <w:r w:rsidR="00545D1B" w:rsidRPr="00742A04">
        <w:t xml:space="preserve"> </w:t>
      </w:r>
      <w:r w:rsidR="00834309" w:rsidRPr="00742A04">
        <w:t xml:space="preserve">específicas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 </w:t>
      </w:r>
      <w:r w:rsidR="00834309" w:rsidRPr="00742A04">
        <w:t xml:space="preserve">mediante normas </w:t>
      </w:r>
      <w:r w:rsidR="00545D1B" w:rsidRPr="00742A04">
        <w:t>legisla</w:t>
      </w:r>
      <w:r w:rsidR="00834309" w:rsidRPr="00742A04">
        <w:t>tivas</w:t>
      </w:r>
      <w:r w:rsidR="00935A90" w:rsidRPr="00742A04">
        <w:t>,</w:t>
      </w:r>
      <w:r w:rsidR="00545D1B" w:rsidRPr="00742A04">
        <w:t xml:space="preserve"> </w:t>
      </w:r>
      <w:r w:rsidR="00E77E20" w:rsidRPr="00742A04">
        <w:t>p</w:t>
      </w:r>
      <w:r w:rsidR="00E77E20" w:rsidRPr="00742A04">
        <w:t>e</w:t>
      </w:r>
      <w:r w:rsidR="00E77E20" w:rsidRPr="00742A04">
        <w:t>ro</w:t>
      </w:r>
      <w:r w:rsidR="00545D1B" w:rsidRPr="00742A04">
        <w:t xml:space="preserve"> </w:t>
      </w:r>
      <w:r w:rsidR="00834309" w:rsidRPr="00742A04">
        <w:t>señaló que</w:t>
      </w:r>
      <w:r w:rsidR="00545D1B" w:rsidRPr="00742A04">
        <w:t xml:space="preserve"> </w:t>
      </w:r>
      <w:r w:rsidR="00834309" w:rsidRPr="00742A04">
        <w:t>puede haber</w:t>
      </w:r>
      <w:r w:rsidR="00545D1B" w:rsidRPr="00742A04">
        <w:t xml:space="preserve"> </w:t>
      </w:r>
      <w:r w:rsidR="00834309" w:rsidRPr="00742A04">
        <w:t>motivos fundados</w:t>
      </w:r>
      <w:r w:rsidR="00545D1B" w:rsidRPr="00742A04">
        <w:t xml:space="preserve"> </w:t>
      </w:r>
      <w:r w:rsidR="00834309" w:rsidRPr="00742A04">
        <w:t>para elaborar</w:t>
      </w:r>
      <w:r w:rsidR="00545D1B" w:rsidRPr="00742A04">
        <w:t xml:space="preserve"> </w:t>
      </w:r>
      <w:r w:rsidR="00834309" w:rsidRPr="00742A04">
        <w:t>directrices nacionales más detalladas</w:t>
      </w:r>
      <w:r w:rsidR="00545D1B" w:rsidRPr="00742A04">
        <w:t xml:space="preserve"> </w:t>
      </w:r>
      <w:r w:rsidR="00834309" w:rsidRPr="00742A04">
        <w:t>a fin de orientar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4B0EC3" w:rsidRPr="00742A04">
        <w:t>práctica</w:t>
      </w:r>
      <w:r w:rsidR="00545D1B" w:rsidRPr="00742A04">
        <w:t>.</w:t>
      </w:r>
    </w:p>
    <w:p w:rsidR="00545D1B" w:rsidRPr="00742A04" w:rsidRDefault="0073499D" w:rsidP="001C6426">
      <w:pPr>
        <w:pStyle w:val="SingleTxt"/>
        <w:ind w:firstLine="475"/>
      </w:pPr>
      <w:r w:rsidRPr="00742A04">
        <w:t>Los problemas relativos al matrimonio forzado y al abuso o la cínica explot</w:t>
      </w:r>
      <w:r w:rsidRPr="00742A04">
        <w:t>a</w:t>
      </w:r>
      <w:r w:rsidRPr="00742A04">
        <w:t xml:space="preserve">ción de las mujeres de países más pobres que se casan con hombres que viven en Noruega también </w:t>
      </w:r>
      <w:r>
        <w:t>fueron abordado</w:t>
      </w:r>
      <w:r w:rsidRPr="00742A04">
        <w:t>s en el contexto de la inmigración de familias, y el Comité propuso m</w:t>
      </w:r>
      <w:r w:rsidRPr="00742A04">
        <w:t>e</w:t>
      </w:r>
      <w:r w:rsidRPr="00742A04">
        <w:t>didas especiales de lucha contra tales problemas.</w:t>
      </w:r>
    </w:p>
    <w:p w:rsidR="00545D1B" w:rsidRPr="00742A04" w:rsidRDefault="00FB5EDF" w:rsidP="001C6426">
      <w:pPr>
        <w:pStyle w:val="SingleTxt"/>
        <w:ind w:firstLine="475"/>
      </w:pPr>
      <w:r w:rsidRPr="00742A04">
        <w:t>El informe</w:t>
      </w:r>
      <w:r w:rsidR="00545D1B" w:rsidRPr="00742A04">
        <w:t xml:space="preserve"> </w:t>
      </w:r>
      <w:r w:rsidR="00834309" w:rsidRPr="00742A04">
        <w:t>fue circulado</w:t>
      </w:r>
      <w:r w:rsidR="00545D1B" w:rsidRPr="00742A04">
        <w:t xml:space="preserve"> </w:t>
      </w:r>
      <w:r w:rsidR="004D313C" w:rsidRPr="00742A04">
        <w:t>con el fin de obtener observaciones de carácter co</w:t>
      </w:r>
      <w:r w:rsidR="004D313C" w:rsidRPr="00742A04">
        <w:t>n</w:t>
      </w:r>
      <w:r w:rsidR="004D313C" w:rsidRPr="00742A04">
        <w:t>sultivo</w:t>
      </w:r>
      <w:r w:rsidR="00834309" w:rsidRPr="00742A04">
        <w:t>, que debían presentarse</w:t>
      </w:r>
      <w:r w:rsidR="00545D1B" w:rsidRPr="00742A04">
        <w:t xml:space="preserve"> </w:t>
      </w:r>
      <w:r w:rsidR="00A826CB" w:rsidRPr="00742A04">
        <w:t>antes de</w:t>
      </w:r>
      <w:r w:rsidR="00834309" w:rsidRPr="00742A04">
        <w:t>l 1° de julio de 2</w:t>
      </w:r>
      <w:r w:rsidR="00545D1B" w:rsidRPr="00742A04">
        <w:t>005.</w:t>
      </w:r>
      <w:r w:rsidR="00834309" w:rsidRPr="00742A04">
        <w:t xml:space="preserve"> El</w:t>
      </w:r>
      <w:r w:rsidR="001167D2" w:rsidRPr="00742A04">
        <w:t xml:space="preserve"> </w:t>
      </w:r>
      <w:r w:rsidR="008F0C8E" w:rsidRPr="00742A04">
        <w:t>Gobierno</w:t>
      </w:r>
      <w:r w:rsidR="00545D1B" w:rsidRPr="00742A04">
        <w:t xml:space="preserve"> </w:t>
      </w:r>
      <w:r w:rsidR="00834309" w:rsidRPr="00742A04">
        <w:t>se prop</w:t>
      </w:r>
      <w:r w:rsidR="00834309" w:rsidRPr="00742A04">
        <w:t>o</w:t>
      </w:r>
      <w:r w:rsidR="00834309" w:rsidRPr="00742A04">
        <w:t>ne</w:t>
      </w:r>
      <w:r w:rsidR="00545D1B" w:rsidRPr="00742A04">
        <w:t xml:space="preserve"> present</w:t>
      </w:r>
      <w:r w:rsidR="00834309" w:rsidRPr="00742A04">
        <w:t xml:space="preserve">ar </w:t>
      </w:r>
      <w:r w:rsidR="001167D2" w:rsidRPr="00742A04">
        <w:t xml:space="preserve">al </w:t>
      </w:r>
      <w:r w:rsidR="00BD47D3" w:rsidRPr="00742A04">
        <w:t>Storting</w:t>
      </w:r>
      <w:r w:rsidR="00545D1B" w:rsidRPr="00742A04">
        <w:t xml:space="preserve"> </w:t>
      </w:r>
      <w:r w:rsidR="00834309" w:rsidRPr="00742A04">
        <w:t xml:space="preserve">un proyecto de ley </w:t>
      </w:r>
      <w:r w:rsidR="006137EC" w:rsidRPr="00742A04">
        <w:t>basado en</w:t>
      </w:r>
      <w:r w:rsidR="00545D1B" w:rsidRPr="00742A04">
        <w:t xml:space="preserve"> </w:t>
      </w:r>
      <w:r w:rsidR="00834309" w:rsidRPr="00742A04">
        <w:t>las propuestas</w:t>
      </w:r>
      <w:r w:rsidR="00545D1B" w:rsidRPr="00742A04">
        <w:t xml:space="preserve"> </w:t>
      </w:r>
      <w:r w:rsidR="00F43124" w:rsidRPr="00742A04">
        <w:t>de</w:t>
      </w:r>
      <w:r w:rsidR="00CE1CFC" w:rsidRPr="00742A04">
        <w:t>l Comité e</w:t>
      </w:r>
      <w:r w:rsidR="00CE1CFC" w:rsidRPr="00742A04">
        <w:t>n</w:t>
      </w:r>
      <w:r w:rsidR="00CE1CFC" w:rsidRPr="00742A04">
        <w:t>cargado de la Ley de Inmigración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C25BF" w:rsidRPr="00742A04">
        <w:t>las opiniones</w:t>
      </w:r>
      <w:r w:rsidR="00545D1B" w:rsidRPr="00742A04">
        <w:t xml:space="preserve"> </w:t>
      </w:r>
      <w:r w:rsidR="00C076F2" w:rsidRPr="00742A04">
        <w:t xml:space="preserve">de los </w:t>
      </w:r>
      <w:r w:rsidR="0030626A" w:rsidRPr="00742A04">
        <w:t>organismos consultivos</w:t>
      </w:r>
      <w:r w:rsidR="00545D1B" w:rsidRPr="00742A04">
        <w:t xml:space="preserve">. </w:t>
      </w:r>
      <w:r w:rsidR="00F43124" w:rsidRPr="00742A04">
        <w:t>A</w:t>
      </w:r>
      <w:r w:rsidR="00F43124" w:rsidRPr="00742A04">
        <w:t>l</w:t>
      </w:r>
      <w:r w:rsidR="00F43124" w:rsidRPr="00742A04">
        <w:t>gunas de las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>s</w:t>
      </w:r>
      <w:r w:rsidR="00834309" w:rsidRPr="00742A04">
        <w:t>, que se referían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protec</w:t>
      </w:r>
      <w:r w:rsidR="00C14BFF" w:rsidRPr="00742A04">
        <w:t xml:space="preserve">ción </w:t>
      </w:r>
      <w:r w:rsidR="00834309" w:rsidRPr="00742A04">
        <w:t>contra los matrimonios fo</w:t>
      </w:r>
      <w:r w:rsidR="00834309" w:rsidRPr="00742A04">
        <w:t>r</w:t>
      </w:r>
      <w:r w:rsidR="00834309" w:rsidRPr="00742A04">
        <w:t>zados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34309" w:rsidRPr="00742A04">
        <w:t>los abusos en el matrimonio</w:t>
      </w:r>
      <w:r w:rsidR="002E2431">
        <w:t>,</w:t>
      </w:r>
      <w:r w:rsidR="00545D1B" w:rsidRPr="00742A04">
        <w:t xml:space="preserve"> </w:t>
      </w:r>
      <w:r w:rsidR="00834309" w:rsidRPr="00742A04">
        <w:t xml:space="preserve">ya </w:t>
      </w:r>
      <w:r w:rsidR="00545D1B" w:rsidRPr="00742A04">
        <w:t>ha</w:t>
      </w:r>
      <w:r w:rsidR="00834309" w:rsidRPr="00742A04">
        <w:t>n sido puestas en práctica en la</w:t>
      </w:r>
      <w:r w:rsidR="00545D1B" w:rsidRPr="00742A04">
        <w:t xml:space="preserve"> </w:t>
      </w:r>
      <w:r w:rsidR="00CE1CFC" w:rsidRPr="00742A04">
        <w:t>Ley de Inmigración</w:t>
      </w:r>
      <w:r w:rsidR="00545D1B" w:rsidRPr="00742A04">
        <w:t xml:space="preserve"> </w:t>
      </w:r>
      <w:r w:rsidR="00834309" w:rsidRPr="00742A04">
        <w:t xml:space="preserve">vigente. </w:t>
      </w:r>
      <w:r w:rsidR="00D66FC2" w:rsidRPr="00742A04">
        <w:t>(Véa</w:t>
      </w:r>
      <w:r w:rsidR="00834309" w:rsidRPr="00742A04">
        <w:t>n</w:t>
      </w:r>
      <w:r w:rsidR="00D66FC2" w:rsidRPr="00742A04">
        <w:t xml:space="preserve">se </w:t>
      </w:r>
      <w:r w:rsidR="00834309" w:rsidRPr="00742A04">
        <w:t>más detalles</w:t>
      </w:r>
      <w:r w:rsidR="00545D1B" w:rsidRPr="00742A04">
        <w:t xml:space="preserve"> </w:t>
      </w:r>
      <w:r w:rsidR="00552048" w:rsidRPr="00742A04">
        <w:t>en relación con el artículo</w:t>
      </w:r>
      <w:r w:rsidR="00545D1B" w:rsidRPr="00742A04">
        <w:t xml:space="preserve"> 6</w:t>
      </w:r>
      <w:r w:rsidR="00504D2E" w:rsidRPr="00742A04">
        <w:t>, que se refi</w:t>
      </w:r>
      <w:r w:rsidR="00504D2E" w:rsidRPr="00742A04">
        <w:t>e</w:t>
      </w:r>
      <w:r w:rsidR="00504D2E" w:rsidRPr="00742A04">
        <w:t>re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violencia</w:t>
      </w:r>
      <w:r w:rsidR="00504D2E" w:rsidRPr="00742A04">
        <w:t>,</w:t>
      </w:r>
      <w:r w:rsidR="00545D1B" w:rsidRPr="00742A04">
        <w:t xml:space="preserve"> </w:t>
      </w:r>
      <w:r w:rsidR="00877AA0" w:rsidRPr="00742A04">
        <w:t>y</w:t>
      </w:r>
      <w:r w:rsidR="00FF575F" w:rsidRPr="00742A04">
        <w:t xml:space="preserve"> </w:t>
      </w:r>
      <w:r w:rsidR="00504D2E" w:rsidRPr="00742A04">
        <w:t xml:space="preserve">el </w:t>
      </w:r>
      <w:r w:rsidR="00FF575F" w:rsidRPr="00742A04">
        <w:t>artículo</w:t>
      </w:r>
      <w:r w:rsidR="00545D1B" w:rsidRPr="00742A04">
        <w:t xml:space="preserve"> 16</w:t>
      </w:r>
      <w:r w:rsidR="00504D2E" w:rsidRPr="00742A04">
        <w:t>, que se refiere a los</w:t>
      </w:r>
      <w:r w:rsidR="00CA313E" w:rsidRPr="00742A04">
        <w:t xml:space="preserve"> matrimonio</w:t>
      </w:r>
      <w:r w:rsidR="00504D2E" w:rsidRPr="00742A04">
        <w:t>s</w:t>
      </w:r>
      <w:r w:rsidR="00CA313E" w:rsidRPr="00742A04">
        <w:t xml:space="preserve"> forz</w:t>
      </w:r>
      <w:r w:rsidR="00CA313E" w:rsidRPr="00742A04">
        <w:t>a</w:t>
      </w:r>
      <w:r w:rsidR="00CA313E" w:rsidRPr="00742A04">
        <w:t>do</w:t>
      </w:r>
      <w:r w:rsidR="00504D2E" w:rsidRPr="00742A04">
        <w:t>s</w:t>
      </w:r>
      <w:r w:rsidR="00545D1B" w:rsidRPr="00742A04">
        <w:t>).</w:t>
      </w:r>
    </w:p>
    <w:p w:rsidR="00545D1B" w:rsidRPr="00742A04" w:rsidRDefault="00024DBC" w:rsidP="004D313C">
      <w:pPr>
        <w:pStyle w:val="SingleTxt"/>
        <w:jc w:val="left"/>
        <w:rPr>
          <w:i/>
        </w:rPr>
      </w:pPr>
      <w:r w:rsidRPr="00742A04">
        <w:rPr>
          <w:i/>
        </w:rPr>
        <w:t>La mujer y la igualdad de género</w:t>
      </w:r>
      <w:r w:rsidR="00545D1B" w:rsidRPr="00742A04">
        <w:rPr>
          <w:i/>
        </w:rPr>
        <w:t xml:space="preserve"> – </w:t>
      </w:r>
      <w:r w:rsidR="00D62786" w:rsidRPr="00742A04">
        <w:rPr>
          <w:i/>
        </w:rPr>
        <w:t xml:space="preserve">esferas </w:t>
      </w:r>
      <w:r w:rsidR="00545D1B" w:rsidRPr="00742A04">
        <w:rPr>
          <w:i/>
        </w:rPr>
        <w:t>priori</w:t>
      </w:r>
      <w:r w:rsidR="00D62786" w:rsidRPr="00742A04">
        <w:rPr>
          <w:i/>
        </w:rPr>
        <w:t>tarias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D62786" w:rsidRPr="00742A04">
        <w:rPr>
          <w:i/>
        </w:rPr>
        <w:t xml:space="preserve"> la</w:t>
      </w:r>
      <w:r w:rsidR="00545D1B" w:rsidRPr="00742A04">
        <w:rPr>
          <w:i/>
        </w:rPr>
        <w:t xml:space="preserve"> </w:t>
      </w:r>
      <w:r w:rsidR="00D62786" w:rsidRPr="00742A04">
        <w:rPr>
          <w:i/>
        </w:rPr>
        <w:t>política</w:t>
      </w:r>
      <w:r w:rsidR="00D62786" w:rsidRPr="00742A04">
        <w:rPr>
          <w:i/>
        </w:rPr>
        <w:br/>
        <w:t>exterior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D62786" w:rsidRPr="00742A04">
        <w:rPr>
          <w:i/>
        </w:rPr>
        <w:t xml:space="preserve"> de</w:t>
      </w:r>
      <w:r w:rsidR="00545D1B" w:rsidRPr="00742A04">
        <w:rPr>
          <w:i/>
        </w:rPr>
        <w:t xml:space="preserve"> </w:t>
      </w:r>
      <w:r w:rsidR="00CD2FF0" w:rsidRPr="00742A04">
        <w:rPr>
          <w:i/>
        </w:rPr>
        <w:t>cooper</w:t>
      </w:r>
      <w:r w:rsidR="00CD2FF0" w:rsidRPr="00742A04">
        <w:rPr>
          <w:i/>
        </w:rPr>
        <w:t>a</w:t>
      </w:r>
      <w:r w:rsidR="00CD2FF0" w:rsidRPr="00742A04">
        <w:rPr>
          <w:i/>
        </w:rPr>
        <w:t>ción para el desarrollo</w:t>
      </w:r>
      <w:r w:rsidR="00C14BFF" w:rsidRPr="00742A04">
        <w:rPr>
          <w:i/>
        </w:rPr>
        <w:t xml:space="preserve"> </w:t>
      </w:r>
      <w:r w:rsidR="00D62786" w:rsidRPr="00742A04">
        <w:rPr>
          <w:i/>
        </w:rPr>
        <w:t>de Noruega</w:t>
      </w:r>
    </w:p>
    <w:p w:rsidR="00545D1B" w:rsidRPr="00742A04" w:rsidRDefault="00D62786" w:rsidP="001C6426">
      <w:pPr>
        <w:pStyle w:val="SingleTxt"/>
        <w:ind w:firstLine="475"/>
      </w:pPr>
      <w:r w:rsidRPr="00742A04">
        <w:t>Los d</w:t>
      </w:r>
      <w:r w:rsidR="00A05847" w:rsidRPr="00742A04">
        <w:t>erechos humanos</w:t>
      </w:r>
      <w:r w:rsidR="00545D1B" w:rsidRPr="00742A04">
        <w:t xml:space="preserve">, </w:t>
      </w:r>
      <w:r w:rsidRPr="00742A04">
        <w:t>entre ellos,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los derechos de las mujeres</w:t>
      </w:r>
      <w:r w:rsidR="00545D1B" w:rsidRPr="00742A04">
        <w:t xml:space="preserve">, </w:t>
      </w:r>
      <w:r w:rsidR="006137EC" w:rsidRPr="00742A04">
        <w:t>son</w:t>
      </w:r>
      <w:r w:rsidR="00545D1B" w:rsidRPr="00742A04">
        <w:t xml:space="preserve"> </w:t>
      </w:r>
      <w:r w:rsidRPr="00742A04">
        <w:t>esferas prioritarias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 política exterior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de </w:t>
      </w:r>
      <w:r w:rsidR="00CD2FF0" w:rsidRPr="00742A04">
        <w:t>cooperación para el d</w:t>
      </w:r>
      <w:r w:rsidR="00CD2FF0" w:rsidRPr="00742A04">
        <w:t>e</w:t>
      </w:r>
      <w:r w:rsidR="00CD2FF0" w:rsidRPr="00742A04">
        <w:t>sarrollo</w:t>
      </w:r>
      <w:r w:rsidRPr="00742A04">
        <w:t xml:space="preserve"> de Noruega</w:t>
      </w:r>
      <w:r w:rsidR="00545D1B" w:rsidRPr="00742A04">
        <w:t>.</w:t>
      </w:r>
      <w:r w:rsidR="001167D2" w:rsidRPr="00742A04">
        <w:t xml:space="preserve"> </w:t>
      </w:r>
      <w:r w:rsidRPr="00742A04">
        <w:t>En la plataforma política del Gobierno</w:t>
      </w:r>
      <w:r w:rsidR="00545D1B" w:rsidRPr="00742A04">
        <w:t xml:space="preserve"> (</w:t>
      </w:r>
      <w:r w:rsidRPr="00742A04">
        <w:t>la Declaración de Soria Moria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2005)</w:t>
      </w:r>
      <w:r w:rsidR="002E2431">
        <w:t xml:space="preserve"> se</w:t>
      </w:r>
      <w:r w:rsidR="00545D1B" w:rsidRPr="00742A04">
        <w:t xml:space="preserve"> identifi</w:t>
      </w:r>
      <w:r w:rsidRPr="00742A04">
        <w:t>ca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072AD7" w:rsidRPr="00742A04">
        <w:t>mujer</w:t>
      </w:r>
      <w:r w:rsidRPr="00742A04">
        <w:t xml:space="preserve"> y la</w:t>
      </w:r>
      <w:r w:rsidR="002E5047" w:rsidRPr="00742A04">
        <w:t xml:space="preserve"> i</w:t>
      </w:r>
      <w:r w:rsidR="00A05847" w:rsidRPr="00742A04">
        <w:t>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 </w:t>
      </w:r>
      <w:r w:rsidR="00CD2FF0" w:rsidRPr="00742A04">
        <w:t>cooperación para el desarrollo</w:t>
      </w:r>
      <w:r w:rsidR="00C14BFF" w:rsidRPr="00742A04">
        <w:t xml:space="preserve"> </w:t>
      </w:r>
      <w:r w:rsidRPr="00742A04">
        <w:t xml:space="preserve">como uno </w:t>
      </w:r>
      <w:r w:rsidR="00C076F2" w:rsidRPr="00742A04">
        <w:t xml:space="preserve">de los </w:t>
      </w:r>
      <w:r w:rsidRPr="00742A04">
        <w:t>cuatro</w:t>
      </w:r>
      <w:r w:rsidR="00545D1B" w:rsidRPr="00742A04">
        <w:t xml:space="preserve"> </w:t>
      </w:r>
      <w:r w:rsidRPr="00742A04">
        <w:t>pilares principales</w:t>
      </w:r>
      <w:r w:rsidR="00545D1B" w:rsidRPr="00742A04">
        <w:t xml:space="preserve"> </w:t>
      </w:r>
      <w:r w:rsidR="004A0730" w:rsidRPr="00742A04">
        <w:t>de</w:t>
      </w:r>
      <w:r w:rsidRPr="00742A04">
        <w:t xml:space="preserve"> la</w:t>
      </w:r>
      <w:r w:rsidR="00545D1B" w:rsidRPr="00742A04">
        <w:t xml:space="preserve"> </w:t>
      </w:r>
      <w:r w:rsidRPr="00742A04">
        <w:t xml:space="preserve">política de </w:t>
      </w:r>
      <w:r w:rsidR="00CD2FF0" w:rsidRPr="00742A04">
        <w:t>coop</w:t>
      </w:r>
      <w:r w:rsidR="00CD2FF0" w:rsidRPr="00742A04">
        <w:t>e</w:t>
      </w:r>
      <w:r w:rsidR="00CD2FF0" w:rsidRPr="00742A04">
        <w:t>ración para el desarrollo</w:t>
      </w:r>
      <w:r w:rsidR="00545D1B" w:rsidRPr="00742A04">
        <w:t xml:space="preserve">, </w:t>
      </w:r>
      <w:r w:rsidR="00032136" w:rsidRPr="00742A04">
        <w:t>junto con</w:t>
      </w:r>
      <w:r w:rsidR="00545D1B" w:rsidRPr="00742A04">
        <w:t xml:space="preserve"> </w:t>
      </w:r>
      <w:r w:rsidRPr="00742A04">
        <w:t>el petróleo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energía</w:t>
      </w:r>
      <w:r w:rsidR="00545D1B" w:rsidRPr="00742A04">
        <w:t xml:space="preserve">, </w:t>
      </w:r>
      <w:r w:rsidRPr="00742A04">
        <w:t>el medio ambiente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paz</w:t>
      </w:r>
      <w:r w:rsidR="00545D1B" w:rsidRPr="00742A04">
        <w:t xml:space="preserve"> </w:t>
      </w:r>
      <w:r w:rsidR="00877AA0" w:rsidRPr="00742A04">
        <w:t>y</w:t>
      </w:r>
      <w:r w:rsidRPr="00742A04">
        <w:t xml:space="preserve"> la</w:t>
      </w:r>
      <w:r w:rsidR="00545D1B" w:rsidRPr="00742A04">
        <w:t xml:space="preserve"> reconcilia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Pr="00742A04">
        <w:t>Ello está</w:t>
      </w:r>
      <w:r w:rsidR="00545D1B" w:rsidRPr="00742A04">
        <w:t xml:space="preserve"> </w:t>
      </w:r>
      <w:r w:rsidR="00D3378F" w:rsidRPr="00742A04">
        <w:t>en consonancia con</w:t>
      </w:r>
      <w:r w:rsidR="00545D1B" w:rsidRPr="00742A04">
        <w:t xml:space="preserve"> </w:t>
      </w:r>
      <w:r w:rsidRPr="00742A04">
        <w:t>los compromisos asumidos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EA26AB" w:rsidRPr="00742A04">
        <w:t>Noru</w:t>
      </w:r>
      <w:r w:rsidR="00EA26AB" w:rsidRPr="00742A04">
        <w:t>e</w:t>
      </w:r>
      <w:r w:rsidR="00EA26AB" w:rsidRPr="00742A04">
        <w:t>ga</w:t>
      </w:r>
      <w:r w:rsidR="00545D1B" w:rsidRPr="00742A04">
        <w:t xml:space="preserve"> </w:t>
      </w:r>
      <w:r w:rsidRPr="00742A04">
        <w:t>con arreglo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Declaración de París</w:t>
      </w:r>
      <w:r w:rsidR="00C14BFF" w:rsidRPr="00742A04">
        <w:t xml:space="preserve"> </w:t>
      </w:r>
      <w:r w:rsidR="00545D1B" w:rsidRPr="00742A04">
        <w:t xml:space="preserve">(2005) </w:t>
      </w:r>
      <w:r w:rsidR="00F43124" w:rsidRPr="00742A04">
        <w:t>en lo tocante</w:t>
      </w:r>
      <w:r w:rsidR="00545D1B" w:rsidRPr="00742A04">
        <w:t xml:space="preserve"> </w:t>
      </w:r>
      <w:r w:rsidRPr="00742A04">
        <w:t>al incremento de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coordina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Pr="00742A04">
        <w:t>la asistencia para el desarrollo</w:t>
      </w:r>
      <w:r w:rsidR="00545D1B" w:rsidRPr="00742A04">
        <w:t xml:space="preserve">. </w:t>
      </w:r>
      <w:r w:rsidRPr="00742A04">
        <w:t>Las cuestiones relativas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m</w:t>
      </w:r>
      <w:r w:rsidR="00072AD7" w:rsidRPr="00742A04">
        <w:t>u</w:t>
      </w:r>
      <w:r w:rsidR="00072AD7" w:rsidRPr="00742A04">
        <w:t>jer</w:t>
      </w:r>
      <w:r w:rsidRPr="00742A04">
        <w:t xml:space="preserve"> y la</w:t>
      </w:r>
      <w:r w:rsidR="002E5047" w:rsidRPr="00742A04">
        <w:t xml:space="preserve"> i</w:t>
      </w:r>
      <w:r w:rsidR="00A05847" w:rsidRPr="00742A04">
        <w:t>gualdad de género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6137EC" w:rsidRPr="00742A04">
        <w:t>una esfera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 cual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Pr="00742A04">
        <w:t>tiene ventajas e</w:t>
      </w:r>
      <w:r w:rsidR="00545D1B" w:rsidRPr="00742A04">
        <w:t>speci</w:t>
      </w:r>
      <w:r w:rsidR="00545D1B" w:rsidRPr="00742A04">
        <w:t>a</w:t>
      </w:r>
      <w:r w:rsidR="00545D1B" w:rsidRPr="00742A04">
        <w:t>l</w:t>
      </w:r>
      <w:r w:rsidRPr="00742A04">
        <w:t>es</w:t>
      </w:r>
      <w:r w:rsidR="00545D1B" w:rsidRPr="00742A04">
        <w:t xml:space="preserve"> a</w:t>
      </w:r>
      <w:r w:rsidRPr="00742A04">
        <w:t xml:space="preserve"> nivel</w:t>
      </w:r>
      <w:r w:rsidR="00545D1B" w:rsidRPr="00742A04">
        <w:t xml:space="preserve"> </w:t>
      </w:r>
      <w:r w:rsidR="001167D2" w:rsidRPr="00742A04">
        <w:t>internacional</w:t>
      </w:r>
      <w:r w:rsidR="00545D1B" w:rsidRPr="00742A04">
        <w:t xml:space="preserve">. </w:t>
      </w:r>
      <w:r w:rsidRPr="00742A04">
        <w:t>Para finales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2006, </w:t>
      </w:r>
      <w:r w:rsidR="008F0C8E" w:rsidRPr="00742A04">
        <w:t>el Gobierno</w:t>
      </w:r>
      <w:r w:rsidR="00545D1B" w:rsidRPr="00742A04">
        <w:t xml:space="preserve"> </w:t>
      </w:r>
      <w:r w:rsidRPr="00742A04">
        <w:t>lanzará</w:t>
      </w:r>
      <w:r w:rsidR="00B05988" w:rsidRPr="00742A04">
        <w:t xml:space="preserve"> un nuevo</w:t>
      </w:r>
      <w:r w:rsidR="00545D1B" w:rsidRPr="00742A04">
        <w:t xml:space="preserve"> Plan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2A211A" w:rsidRPr="00742A04">
        <w:t xml:space="preserve">la </w:t>
      </w:r>
      <w:r w:rsidR="00072AD7" w:rsidRPr="00742A04">
        <w:t>Mujer</w:t>
      </w:r>
      <w:r w:rsidR="002E5047" w:rsidRPr="00742A04">
        <w:t xml:space="preserve"> </w:t>
      </w:r>
      <w:r w:rsidR="002A211A" w:rsidRPr="00742A04">
        <w:t>y la Igualdad de G</w:t>
      </w:r>
      <w:r w:rsidR="00A05847" w:rsidRPr="00742A04">
        <w:t>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A211A" w:rsidRPr="00742A04">
        <w:t>la Cooperación para el Desarr</w:t>
      </w:r>
      <w:r w:rsidR="002A211A" w:rsidRPr="00742A04">
        <w:t>o</w:t>
      </w:r>
      <w:r w:rsidR="002A211A" w:rsidRPr="00742A04">
        <w:t>llo</w:t>
      </w:r>
      <w:r w:rsidR="00935A90" w:rsidRPr="00742A04">
        <w:t>,</w:t>
      </w:r>
      <w:r w:rsidR="00545D1B" w:rsidRPr="00742A04">
        <w:t xml:space="preserve"> </w:t>
      </w:r>
      <w:r w:rsidR="002A211A" w:rsidRPr="00742A04">
        <w:t>que reemplazará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3C218E" w:rsidRPr="00742A04">
        <w:t>Estrategia para la Mujer y la Igualdad de Género en la Coop</w:t>
      </w:r>
      <w:r w:rsidR="003C218E" w:rsidRPr="00742A04">
        <w:t>e</w:t>
      </w:r>
      <w:r w:rsidR="003C218E" w:rsidRPr="00742A04">
        <w:t>ración para el Des</w:t>
      </w:r>
      <w:r w:rsidR="003C218E" w:rsidRPr="00742A04">
        <w:t>a</w:t>
      </w:r>
      <w:r w:rsidR="003C218E" w:rsidRPr="00742A04">
        <w:t>rrollo</w:t>
      </w:r>
      <w:r w:rsidR="00C14BFF" w:rsidRPr="00742A04">
        <w:t xml:space="preserve"> </w:t>
      </w:r>
      <w:r w:rsidR="00545D1B" w:rsidRPr="00742A04">
        <w:t>(1997-2005).</w:t>
      </w:r>
    </w:p>
    <w:p w:rsidR="00545D1B" w:rsidRPr="00742A04" w:rsidRDefault="00502E16" w:rsidP="002C4922">
      <w:pPr>
        <w:pStyle w:val="SingleTxt"/>
        <w:rPr>
          <w:b/>
        </w:rPr>
      </w:pPr>
      <w:r w:rsidRPr="00742A04">
        <w:rPr>
          <w:b/>
        </w:rPr>
        <w:t>Los desafíos</w:t>
      </w: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2005 </w:t>
      </w:r>
      <w:r w:rsidR="00024DBC" w:rsidRPr="00742A04">
        <w:t>comenzó la labor de</w:t>
      </w:r>
      <w:r w:rsidR="00545D1B" w:rsidRPr="00742A04">
        <w:t xml:space="preserve"> evalua</w:t>
      </w:r>
      <w:r w:rsidR="00024DBC" w:rsidRPr="00742A04">
        <w:t>ción de</w:t>
      </w:r>
      <w:r w:rsidR="00545D1B" w:rsidRPr="00742A04">
        <w:t xml:space="preserve"> </w:t>
      </w:r>
      <w:r w:rsidR="003C218E" w:rsidRPr="00742A04">
        <w:t>la Estrategia para la Mujer y la Igualdad de Género en la Cooperación para el Desarrollo</w:t>
      </w:r>
      <w:r w:rsidR="00C14BFF" w:rsidRPr="00742A04">
        <w:t xml:space="preserve"> </w:t>
      </w:r>
      <w:r w:rsidR="00545D1B" w:rsidRPr="00742A04">
        <w:t xml:space="preserve">(1997-2005). </w:t>
      </w:r>
      <w:r w:rsidR="00024DBC" w:rsidRPr="00742A04">
        <w:t>La evalu</w:t>
      </w:r>
      <w:r w:rsidR="00024DBC" w:rsidRPr="00742A04">
        <w:t>a</w:t>
      </w:r>
      <w:r w:rsidR="00024DBC" w:rsidRPr="00742A04">
        <w:t>ción</w:t>
      </w:r>
      <w:r w:rsidR="00C14BFF" w:rsidRPr="00742A04">
        <w:t xml:space="preserve"> </w:t>
      </w:r>
      <w:r w:rsidR="00024DBC" w:rsidRPr="00742A04">
        <w:t>estuvo centrada</w:t>
      </w:r>
      <w:r w:rsidR="00545D1B" w:rsidRPr="00742A04">
        <w:t xml:space="preserve"> </w:t>
      </w:r>
      <w:r w:rsidR="00024DBC" w:rsidRPr="00742A04">
        <w:t>e</w:t>
      </w:r>
      <w:r w:rsidR="00545D1B" w:rsidRPr="00742A04">
        <w:t xml:space="preserve">n </w:t>
      </w:r>
      <w:r w:rsidR="00024DBC" w:rsidRPr="00742A04">
        <w:t>la cooperación bilateral</w:t>
      </w:r>
      <w:r w:rsidR="002A211A" w:rsidRPr="00742A04">
        <w:t xml:space="preserve"> para el desarrollo</w:t>
      </w:r>
      <w:r w:rsidR="00935A90" w:rsidRPr="00742A04">
        <w:t>,</w:t>
      </w:r>
      <w:r w:rsidR="00545D1B" w:rsidRPr="00742A04">
        <w:t xml:space="preserve"> </w:t>
      </w:r>
      <w:r w:rsidR="00024DBC" w:rsidRPr="00742A04">
        <w:t>que representa</w:t>
      </w:r>
      <w:r w:rsidR="00545D1B" w:rsidRPr="00742A04">
        <w:t xml:space="preserve"> </w:t>
      </w:r>
      <w:r w:rsidR="00024DBC" w:rsidRPr="00742A04">
        <w:t>en</w:t>
      </w:r>
      <w:r w:rsidR="00545D1B" w:rsidRPr="00742A04">
        <w:t xml:space="preserve"> total </w:t>
      </w:r>
      <w:r w:rsidR="00024DBC" w:rsidRPr="00742A04">
        <w:t>menos del</w:t>
      </w:r>
      <w:r w:rsidR="00545D1B" w:rsidRPr="00742A04">
        <w:t xml:space="preserve"> 20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024DBC" w:rsidRPr="00742A04">
        <w:t>toda</w:t>
      </w:r>
      <w:r w:rsidR="00545D1B" w:rsidRPr="00742A04">
        <w:t xml:space="preserve"> </w:t>
      </w:r>
      <w:r w:rsidR="00D62786" w:rsidRPr="00742A04">
        <w:t>la asistencia para el desarrollo</w:t>
      </w:r>
      <w:r w:rsidR="00545D1B" w:rsidRPr="00742A04">
        <w:t xml:space="preserve">. </w:t>
      </w:r>
      <w:r w:rsidR="00024DBC" w:rsidRPr="00742A04">
        <w:t>Los resultados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024DBC" w:rsidRPr="00742A04">
        <w:t>la evaluación</w:t>
      </w:r>
      <w:r w:rsidR="00C14BFF" w:rsidRPr="00742A04">
        <w:t xml:space="preserve"> </w:t>
      </w:r>
      <w:r w:rsidR="00024DBC" w:rsidRPr="00742A04">
        <w:t>fueron presentados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2006.</w:t>
      </w:r>
      <w:r w:rsidR="00024DBC" w:rsidRPr="00742A04">
        <w:t xml:space="preserve"> El</w:t>
      </w:r>
      <w:r w:rsidR="001167D2"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="0028385C" w:rsidRPr="00742A04">
        <w:t>demostró</w:t>
      </w:r>
      <w:r w:rsidR="00024DBC" w:rsidRPr="00742A04">
        <w:t xml:space="preserve"> que la</w:t>
      </w:r>
      <w:r w:rsidR="00545D1B" w:rsidRPr="00742A04">
        <w:t xml:space="preserve"> </w:t>
      </w:r>
      <w:r w:rsidR="00024DBC" w:rsidRPr="00742A04">
        <w:t xml:space="preserve">perspectiva de </w:t>
      </w:r>
      <w:r w:rsidR="00A05847" w:rsidRPr="00742A04">
        <w:t xml:space="preserve">igualdad de </w:t>
      </w:r>
      <w:r w:rsidR="00587443" w:rsidRPr="00742A04">
        <w:t>género</w:t>
      </w:r>
      <w:r w:rsidR="00024DBC" w:rsidRPr="00742A04">
        <w:t xml:space="preserve"> es</w:t>
      </w:r>
      <w:r w:rsidR="00545D1B" w:rsidRPr="00742A04">
        <w:t xml:space="preserve"> </w:t>
      </w:r>
      <w:r w:rsidR="00032136" w:rsidRPr="00742A04">
        <w:t>claramente</w:t>
      </w:r>
      <w:r w:rsidR="00545D1B" w:rsidRPr="00742A04">
        <w:t xml:space="preserve"> </w:t>
      </w:r>
      <w:r w:rsidR="00024DBC" w:rsidRPr="00742A04">
        <w:t>perceptible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24DBC" w:rsidRPr="00742A04">
        <w:t>los objetivos de política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A211A" w:rsidRPr="00742A04">
        <w:t>la c</w:t>
      </w:r>
      <w:r w:rsidR="002A211A" w:rsidRPr="00742A04">
        <w:t>o</w:t>
      </w:r>
      <w:r w:rsidR="002A211A" w:rsidRPr="00742A04">
        <w:t>operación para el desarrollo</w:t>
      </w:r>
      <w:r w:rsidR="00935A90" w:rsidRPr="00742A04">
        <w:t>,</w:t>
      </w:r>
      <w:r w:rsidR="00545D1B" w:rsidRPr="00742A04">
        <w:t xml:space="preserve"> </w:t>
      </w:r>
      <w:r w:rsidR="00024DBC" w:rsidRPr="00742A04">
        <w:t>y que</w:t>
      </w:r>
      <w:r w:rsidR="00545D1B" w:rsidRPr="00742A04">
        <w:t xml:space="preserve"> </w:t>
      </w:r>
      <w:r w:rsidR="00024DBC" w:rsidRPr="00742A04">
        <w:t>la mujer y la igualdad de género</w:t>
      </w:r>
      <w:r w:rsidR="00545D1B" w:rsidRPr="00742A04">
        <w:t xml:space="preserve"> </w:t>
      </w:r>
      <w:r w:rsidR="00024DBC" w:rsidRPr="00742A04">
        <w:t>están</w:t>
      </w:r>
      <w:r w:rsidR="00545D1B" w:rsidRPr="00742A04">
        <w:t xml:space="preserve"> </w:t>
      </w:r>
      <w:r w:rsidR="00024DBC" w:rsidRPr="00742A04">
        <w:t>especí</w:t>
      </w:r>
      <w:r w:rsidR="00545D1B" w:rsidRPr="00742A04">
        <w:t>f</w:t>
      </w:r>
      <w:r w:rsidR="00545D1B" w:rsidRPr="00742A04">
        <w:t>i</w:t>
      </w:r>
      <w:r w:rsidR="00545D1B" w:rsidRPr="00742A04">
        <w:t>ca</w:t>
      </w:r>
      <w:r w:rsidR="00024DBC" w:rsidRPr="00742A04">
        <w:t>mente</w:t>
      </w:r>
      <w:r w:rsidR="00545D1B" w:rsidRPr="00742A04">
        <w:t xml:space="preserve"> identifi</w:t>
      </w:r>
      <w:r w:rsidR="00024DBC" w:rsidRPr="00742A04">
        <w:t>cadas</w:t>
      </w:r>
      <w:r w:rsidR="00545D1B" w:rsidRPr="00742A04">
        <w:t xml:space="preserve"> </w:t>
      </w:r>
      <w:r w:rsidR="00024DBC" w:rsidRPr="00742A04">
        <w:t xml:space="preserve">como </w:t>
      </w:r>
      <w:r w:rsidR="00545D1B" w:rsidRPr="00742A04">
        <w:t>considera</w:t>
      </w:r>
      <w:r w:rsidR="008907B8" w:rsidRPr="00742A04">
        <w:t>ciones</w:t>
      </w:r>
      <w:r w:rsidR="00545D1B" w:rsidRPr="00742A04">
        <w:t xml:space="preserve"> </w:t>
      </w:r>
      <w:r w:rsidR="00024DBC" w:rsidRPr="00742A04">
        <w:t xml:space="preserve">transversales </w:t>
      </w:r>
      <w:r w:rsidR="00C14BFF" w:rsidRPr="00742A04">
        <w:t>en</w:t>
      </w:r>
      <w:r w:rsidR="00545D1B" w:rsidRPr="00742A04">
        <w:t xml:space="preserve"> </w:t>
      </w:r>
      <w:r w:rsidR="00024DBC" w:rsidRPr="00742A04">
        <w:t xml:space="preserve">los documentos </w:t>
      </w:r>
      <w:r w:rsidR="00C076F2" w:rsidRPr="00742A04">
        <w:t xml:space="preserve">de los </w:t>
      </w:r>
      <w:r w:rsidR="0073499D" w:rsidRPr="00742A04">
        <w:t>programas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24DBC" w:rsidRPr="00742A04">
        <w:t>los países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021DB5" w:rsidRPr="00742A04">
        <w:t>hay</w:t>
      </w:r>
      <w:r w:rsidR="00545D1B" w:rsidRPr="00742A04">
        <w:t xml:space="preserve"> </w:t>
      </w:r>
      <w:r w:rsidR="00024DBC" w:rsidRPr="00742A04">
        <w:t>numerosos</w:t>
      </w:r>
      <w:r w:rsidR="00502E16" w:rsidRPr="00742A04">
        <w:t xml:space="preserve"> desafíos</w:t>
      </w:r>
      <w:r w:rsidR="00545D1B" w:rsidRPr="00742A04">
        <w:t xml:space="preserve"> </w:t>
      </w:r>
      <w:r w:rsidR="00024DBC" w:rsidRPr="00742A04">
        <w:t>e</w:t>
      </w:r>
      <w:r w:rsidR="004B0EC3" w:rsidRPr="00742A04">
        <w:t>n lo tocante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024DBC" w:rsidRPr="00742A04">
        <w:t>in</w:t>
      </w:r>
      <w:r w:rsidR="00024DBC" w:rsidRPr="00742A04">
        <w:t>s</w:t>
      </w:r>
      <w:r w:rsidR="00024DBC" w:rsidRPr="00742A04">
        <w:t>titucio</w:t>
      </w:r>
      <w:r w:rsidR="00545D1B" w:rsidRPr="00742A04">
        <w:t>nal</w:t>
      </w:r>
      <w:r w:rsidR="00024DBC" w:rsidRPr="00742A04">
        <w:t>ización</w:t>
      </w:r>
      <w:r w:rsidR="00C14BFF" w:rsidRPr="00742A04">
        <w:t xml:space="preserve"> </w:t>
      </w:r>
      <w:r w:rsidR="00242371" w:rsidRPr="00742A04">
        <w:t>de la igua</w:t>
      </w:r>
      <w:r w:rsidR="00242371" w:rsidRPr="00742A04">
        <w:t>l</w:t>
      </w:r>
      <w:r w:rsidR="00242371" w:rsidRPr="00742A04">
        <w:t>dad</w:t>
      </w:r>
      <w:r w:rsidR="00A05847" w:rsidRPr="00742A04">
        <w:t xml:space="preserve"> de género</w:t>
      </w:r>
      <w:r w:rsidR="00545D1B" w:rsidRPr="00742A04">
        <w:t>.</w:t>
      </w:r>
    </w:p>
    <w:p w:rsidR="00545D1B" w:rsidRPr="00742A04" w:rsidRDefault="00024DBC" w:rsidP="001C6426">
      <w:pPr>
        <w:pStyle w:val="SingleTxt"/>
        <w:ind w:firstLine="475"/>
      </w:pPr>
      <w:r w:rsidRPr="00742A04">
        <w:t>La mujer y la igualdad de género</w:t>
      </w:r>
      <w:r w:rsidR="00545D1B" w:rsidRPr="00742A04">
        <w:t xml:space="preserve"> </w:t>
      </w:r>
      <w:r w:rsidRPr="00742A04">
        <w:t>se están tornando cada vez más</w:t>
      </w:r>
      <w:r w:rsidR="00545D1B" w:rsidRPr="00742A04">
        <w:t xml:space="preserve"> invisible</w:t>
      </w:r>
      <w:r w:rsidRPr="00742A04">
        <w:t>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Pr="00742A04">
        <w:t xml:space="preserve">ciclo de planificación, </w:t>
      </w:r>
      <w:r w:rsidR="004F2F8A" w:rsidRPr="00742A04">
        <w:t>implementación</w:t>
      </w:r>
      <w:r w:rsidRPr="00742A04">
        <w:t>, presentación de informes y evalu</w:t>
      </w:r>
      <w:r w:rsidRPr="00742A04">
        <w:t>a</w:t>
      </w:r>
      <w:r w:rsidRPr="00742A04">
        <w:t xml:space="preserve">ción </w:t>
      </w:r>
      <w:r w:rsidR="00C076F2" w:rsidRPr="00742A04">
        <w:t xml:space="preserve">de los </w:t>
      </w:r>
      <w:r w:rsidRPr="00742A04">
        <w:t>programas</w:t>
      </w:r>
      <w:r w:rsidR="00C27C42" w:rsidRPr="00742A04">
        <w:t>.</w:t>
      </w:r>
      <w:r w:rsidR="00545D1B" w:rsidRPr="00742A04">
        <w:t xml:space="preserve"> </w:t>
      </w:r>
      <w:r w:rsidRPr="00742A04">
        <w:t>La evaluación</w:t>
      </w:r>
      <w:r w:rsidR="00C14BFF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28385C" w:rsidRPr="00742A04">
        <w:t>demostró</w:t>
      </w:r>
      <w:r w:rsidR="00545D1B" w:rsidRPr="00742A04">
        <w:t xml:space="preserve"> </w:t>
      </w:r>
      <w:r w:rsidR="00F05119" w:rsidRPr="00742A04">
        <w:t>que se dedica una insuficiente</w:t>
      </w:r>
      <w:r w:rsidR="00545D1B" w:rsidRPr="00742A04">
        <w:t xml:space="preserve"> </w:t>
      </w:r>
      <w:r w:rsidR="00F05119" w:rsidRPr="00742A04">
        <w:t>ca</w:t>
      </w:r>
      <w:r w:rsidR="00F05119" w:rsidRPr="00742A04">
        <w:t>n</w:t>
      </w:r>
      <w:r w:rsidR="00F05119" w:rsidRPr="00742A04">
        <w:t>tidad de recursos de personal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05119" w:rsidRPr="00742A04">
        <w:t>aplicación de</w:t>
      </w:r>
      <w:r w:rsidR="00545D1B" w:rsidRPr="00742A04">
        <w:t xml:space="preserve"> </w:t>
      </w:r>
      <w:r w:rsidR="00F05119" w:rsidRPr="00742A04">
        <w:t>la estrategia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05119" w:rsidRPr="00742A04">
        <w:t xml:space="preserve">la </w:t>
      </w:r>
      <w:r w:rsidR="007D406D" w:rsidRPr="00742A04">
        <w:t xml:space="preserve">prestación </w:t>
      </w:r>
      <w:r w:rsidR="002E2431">
        <w:t>de</w:t>
      </w:r>
      <w:r w:rsidR="00F05119" w:rsidRPr="00742A04">
        <w:t xml:space="preserve"> ap</w:t>
      </w:r>
      <w:r w:rsidR="00F05119" w:rsidRPr="00742A04">
        <w:t>o</w:t>
      </w:r>
      <w:r w:rsidR="00F05119" w:rsidRPr="00742A04">
        <w:t>yo</w:t>
      </w:r>
      <w:r w:rsidR="00545D1B" w:rsidRPr="00742A04">
        <w:t xml:space="preserve"> </w:t>
      </w:r>
      <w:r w:rsidR="002E2431">
        <w:t>para e</w:t>
      </w:r>
      <w:r w:rsidR="00242371" w:rsidRPr="00742A04">
        <w:t>l adelanto</w:t>
      </w:r>
      <w:r w:rsidR="00545D1B" w:rsidRPr="00742A04">
        <w:t xml:space="preserve"> </w:t>
      </w:r>
      <w:r w:rsidR="007C3856" w:rsidRPr="00742A04">
        <w:t>de la mujer</w:t>
      </w:r>
      <w:r w:rsidRPr="00742A04">
        <w:t xml:space="preserve"> y la 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05119" w:rsidRPr="00742A04">
        <w:t>las actividades de coop</w:t>
      </w:r>
      <w:r w:rsidR="00F05119" w:rsidRPr="00742A04">
        <w:t>e</w:t>
      </w:r>
      <w:r w:rsidR="00F05119" w:rsidRPr="00742A04">
        <w:t>ración para el desarrollo de Noruega</w:t>
      </w:r>
      <w:r w:rsidR="00C27C42" w:rsidRPr="00742A04">
        <w:t>.</w:t>
      </w:r>
    </w:p>
    <w:p w:rsidR="00545D1B" w:rsidRPr="00742A04" w:rsidRDefault="00F05119" w:rsidP="001C6426">
      <w:pPr>
        <w:pStyle w:val="SingleTxt"/>
        <w:ind w:firstLine="475"/>
      </w:pPr>
      <w:r w:rsidRPr="00742A04">
        <w:t>La nueva</w:t>
      </w:r>
      <w:r w:rsidR="00545D1B" w:rsidRPr="00742A04">
        <w:t xml:space="preserve"> </w:t>
      </w:r>
      <w:r w:rsidR="008F0C8E" w:rsidRPr="00742A04">
        <w:t>organiza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Pr="00742A04">
        <w:t>el nuevo centro de atención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62786" w:rsidRPr="00742A04">
        <w:t>la asistencia para el desarrollo</w:t>
      </w:r>
      <w:r w:rsidR="00545D1B" w:rsidRPr="00742A04">
        <w:t xml:space="preserve"> (</w:t>
      </w:r>
      <w:r w:rsidRPr="00742A04">
        <w:t>nuevas</w:t>
      </w:r>
      <w:r w:rsidR="00545D1B" w:rsidRPr="00742A04">
        <w:t xml:space="preserve"> </w:t>
      </w:r>
      <w:r w:rsidRPr="00742A04">
        <w:t>modalidades de ayuda</w:t>
      </w:r>
      <w:r w:rsidR="00545D1B" w:rsidRPr="00742A04">
        <w:t xml:space="preserve">) </w:t>
      </w:r>
      <w:r w:rsidRPr="00742A04">
        <w:t>se reflejan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el incremento del </w:t>
      </w:r>
      <w:r w:rsidR="00242371" w:rsidRPr="00742A04">
        <w:t>uso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Pr="00742A04">
        <w:t>apoyo presupuestario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un mayor grado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coordina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Pr="00742A04">
        <w:t>Ello</w:t>
      </w:r>
      <w:r w:rsidR="00545D1B" w:rsidRPr="00742A04">
        <w:t xml:space="preserve"> </w:t>
      </w:r>
      <w:r w:rsidR="00D3378F" w:rsidRPr="00742A04">
        <w:t>significa que</w:t>
      </w:r>
      <w:r w:rsidR="00545D1B" w:rsidRPr="00742A04">
        <w:t xml:space="preserve"> </w:t>
      </w:r>
      <w:r w:rsidRPr="00742A04">
        <w:t>se ha vuelto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Pr="00742A04">
        <w:t>difícil</w:t>
      </w:r>
      <w:r w:rsidR="00545D1B" w:rsidRPr="00742A04">
        <w:t xml:space="preserve"> </w:t>
      </w:r>
      <w:r w:rsidR="005E2D7A" w:rsidRPr="00742A04">
        <w:t>el seguimiento</w:t>
      </w:r>
      <w:r w:rsidR="00545D1B" w:rsidRPr="00742A04">
        <w:t xml:space="preserve"> </w:t>
      </w:r>
      <w:r w:rsidRPr="00742A04">
        <w:t>del tema</w:t>
      </w:r>
      <w:r w:rsidR="00545D1B" w:rsidRPr="00742A04">
        <w:t xml:space="preserve"> </w:t>
      </w:r>
      <w:r w:rsidR="005E2D7A" w:rsidRPr="00742A04">
        <w:t xml:space="preserve">en relación con </w:t>
      </w:r>
      <w:r w:rsidRPr="00742A04">
        <w:t>los países asociados</w:t>
      </w:r>
      <w:r w:rsidR="00545D1B" w:rsidRPr="00742A04">
        <w:t xml:space="preserve">. </w:t>
      </w:r>
      <w:r w:rsidRPr="00742A04">
        <w:t xml:space="preserve">Por consiguiente, </w:t>
      </w:r>
      <w:r w:rsidR="0030350D" w:rsidRPr="00742A04">
        <w:t xml:space="preserve">en su diálogo con los países asociados </w:t>
      </w:r>
      <w:r w:rsidR="00EA26AB" w:rsidRPr="00742A04">
        <w:t>Noruega</w:t>
      </w:r>
      <w:r w:rsidR="00545D1B" w:rsidRPr="00742A04">
        <w:t xml:space="preserve"> </w:t>
      </w:r>
      <w:r w:rsidR="0030350D" w:rsidRPr="00742A04">
        <w:t>debe hacer hincapié</w:t>
      </w:r>
      <w:r w:rsidR="00545D1B" w:rsidRPr="00742A04">
        <w:t xml:space="preserve"> </w:t>
      </w:r>
      <w:r w:rsidR="0030350D" w:rsidRPr="00742A04">
        <w:t xml:space="preserve">más </w:t>
      </w:r>
      <w:r w:rsidR="00A30B35" w:rsidRPr="00742A04">
        <w:t>eficazmente</w:t>
      </w:r>
      <w:r w:rsidR="0030350D" w:rsidRPr="00742A04">
        <w:t xml:space="preserve"> en la </w:t>
      </w:r>
      <w:r w:rsidR="00A05847" w:rsidRPr="00742A04">
        <w:t>igualdad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. </w:t>
      </w:r>
      <w:r w:rsidR="00AE7B93" w:rsidRPr="00742A04">
        <w:t>Ello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E7B93" w:rsidRPr="00742A04">
        <w:t>aún más importante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AE7B93" w:rsidRPr="00742A04">
        <w:t>se plantean cuestiones macroeconómicas</w:t>
      </w:r>
      <w:r w:rsidR="00545D1B" w:rsidRPr="00742A04">
        <w:t xml:space="preserve">. </w:t>
      </w:r>
      <w:r w:rsidR="00EA26AB" w:rsidRPr="00742A04">
        <w:t>Noruega</w:t>
      </w:r>
      <w:r w:rsidR="00545D1B" w:rsidRPr="00742A04">
        <w:t xml:space="preserve"> </w:t>
      </w:r>
      <w:r w:rsidR="00AE7B93" w:rsidRPr="00742A04">
        <w:t>pedirá que</w:t>
      </w:r>
      <w:r w:rsidR="00545D1B" w:rsidRPr="00742A04">
        <w:t xml:space="preserve"> </w:t>
      </w:r>
      <w:r w:rsidR="00AE7B93" w:rsidRPr="00742A04">
        <w:t>sus asociados en la cooperación</w:t>
      </w:r>
      <w:r w:rsidR="00545D1B" w:rsidRPr="00742A04">
        <w:t xml:space="preserve">, </w:t>
      </w:r>
      <w:r w:rsidR="00AE7B93" w:rsidRPr="00742A04">
        <w:t>sean ellos</w:t>
      </w:r>
      <w:r w:rsidR="00545D1B" w:rsidRPr="00742A04">
        <w:t xml:space="preserve"> </w:t>
      </w:r>
      <w:r w:rsidR="00AE7B93" w:rsidRPr="00742A04">
        <w:t>g</w:t>
      </w:r>
      <w:r w:rsidR="001B4F21" w:rsidRPr="00742A04">
        <w:t>obierno</w:t>
      </w:r>
      <w:r w:rsidR="00545D1B" w:rsidRPr="00742A04">
        <w:t xml:space="preserve">s, </w:t>
      </w:r>
      <w:r w:rsidR="00AE7B93" w:rsidRPr="00742A04">
        <w:t>instituciones internaci</w:t>
      </w:r>
      <w:r w:rsidR="00AE7B93" w:rsidRPr="00742A04">
        <w:t>o</w:t>
      </w:r>
      <w:r w:rsidR="00AE7B93" w:rsidRPr="00742A04">
        <w:t>nales</w:t>
      </w:r>
      <w:r w:rsidR="00545D1B" w:rsidRPr="00742A04">
        <w:t xml:space="preserve"> </w:t>
      </w:r>
      <w:r w:rsidR="00AE7B93" w:rsidRPr="00742A04">
        <w:t>u</w:t>
      </w:r>
      <w:r w:rsidR="00545D1B" w:rsidRPr="00742A04">
        <w:t xml:space="preserve"> </w:t>
      </w:r>
      <w:r w:rsidR="00AE7B93" w:rsidRPr="00742A04">
        <w:t>organizaciones no gubernamentales</w:t>
      </w:r>
      <w:r w:rsidR="00545D1B" w:rsidRPr="00742A04">
        <w:t xml:space="preserve">, </w:t>
      </w:r>
      <w:r w:rsidR="00AE7B93" w:rsidRPr="00742A04">
        <w:t>tomen en serio</w:t>
      </w:r>
      <w:r w:rsidR="00545D1B" w:rsidRPr="00742A04">
        <w:t xml:space="preserve"> </w:t>
      </w:r>
      <w:r w:rsidR="00D62786" w:rsidRPr="00742A04">
        <w:t xml:space="preserve">los derechos de </w:t>
      </w:r>
      <w:r w:rsidR="00024DBC" w:rsidRPr="00742A04">
        <w:t>la mujer y la igualdad de género</w:t>
      </w:r>
      <w:r w:rsidR="00545D1B" w:rsidRPr="00742A04">
        <w:t xml:space="preserve">. </w:t>
      </w:r>
      <w:r w:rsidR="00AE7B93" w:rsidRPr="00742A04">
        <w:t>Los países asociados de Noruega</w:t>
      </w:r>
      <w:r w:rsidR="00545D1B" w:rsidRPr="00742A04">
        <w:t xml:space="preserve"> </w:t>
      </w:r>
      <w:r w:rsidR="00AE7B93" w:rsidRPr="00742A04">
        <w:t>han firmado</w:t>
      </w:r>
      <w:r w:rsidR="00545D1B" w:rsidRPr="00742A04">
        <w:t xml:space="preserve"> </w:t>
      </w:r>
      <w:r w:rsidR="00CE5FA4" w:rsidRPr="00742A04">
        <w:t>la Conve</w:t>
      </w:r>
      <w:r w:rsidR="00CE5FA4" w:rsidRPr="00742A04">
        <w:t>n</w:t>
      </w:r>
      <w:r w:rsidR="00CE5FA4" w:rsidRPr="00742A04">
        <w:t>ción sobre la eliminación de todas las formas de discriminación contra la mujer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AE7B93" w:rsidRPr="00742A04">
        <w:t>hará</w:t>
      </w:r>
      <w:r w:rsidR="00545D1B" w:rsidRPr="00742A04">
        <w:t xml:space="preserve"> </w:t>
      </w:r>
      <w:r w:rsidR="00AE7B93" w:rsidRPr="00742A04">
        <w:t>activos</w:t>
      </w:r>
      <w:r w:rsidR="00502E16" w:rsidRPr="00742A04">
        <w:t xml:space="preserve"> </w:t>
      </w:r>
      <w:r w:rsidR="00935A90" w:rsidRPr="00742A04">
        <w:t xml:space="preserve">esfuerzos </w:t>
      </w:r>
      <w:r w:rsidR="003E5219" w:rsidRPr="00742A04">
        <w:t>por contribuir a poner a</w:t>
      </w:r>
      <w:r w:rsidR="00545D1B" w:rsidRPr="00742A04">
        <w:t xml:space="preserve"> </w:t>
      </w:r>
      <w:r w:rsidR="003E5219" w:rsidRPr="00742A04">
        <w:t>dichos países</w:t>
      </w:r>
      <w:r w:rsidR="00545D1B" w:rsidRPr="00742A04">
        <w:t xml:space="preserve"> </w:t>
      </w:r>
      <w:r w:rsidR="003E5219" w:rsidRPr="00742A04">
        <w:t>en condici</w:t>
      </w:r>
      <w:r w:rsidR="003E5219" w:rsidRPr="00742A04">
        <w:t>o</w:t>
      </w:r>
      <w:r w:rsidR="003E5219" w:rsidRPr="00742A04">
        <w:t>nes de</w:t>
      </w:r>
      <w:r w:rsidR="00545D1B" w:rsidRPr="00742A04">
        <w:t xml:space="preserve"> </w:t>
      </w:r>
      <w:r w:rsidR="003E5219" w:rsidRPr="00742A04">
        <w:t>cumplir</w:t>
      </w:r>
      <w:r w:rsidR="00545D1B" w:rsidRPr="00742A04">
        <w:t xml:space="preserve"> </w:t>
      </w:r>
      <w:r w:rsidR="003E5219" w:rsidRPr="00742A04">
        <w:t>sus obligaciones internacionales</w:t>
      </w:r>
      <w:r w:rsidR="00545D1B" w:rsidRPr="00742A04">
        <w:t xml:space="preserve"> </w:t>
      </w:r>
      <w:r w:rsidR="003E5219" w:rsidRPr="00742A04">
        <w:t>e</w:t>
      </w:r>
      <w:r w:rsidR="004B0EC3" w:rsidRPr="00742A04">
        <w:t>n lo tocante a</w:t>
      </w:r>
      <w:r w:rsidR="00545D1B" w:rsidRPr="00742A04">
        <w:t xml:space="preserve"> </w:t>
      </w:r>
      <w:r w:rsidR="00D62786" w:rsidRPr="00742A04">
        <w:t>los derechos de las mujeres</w:t>
      </w:r>
      <w:r w:rsidR="00545D1B" w:rsidRPr="00742A04">
        <w:t>.</w:t>
      </w:r>
    </w:p>
    <w:p w:rsidR="00EE22AA" w:rsidRPr="00742A04" w:rsidRDefault="00EE22AA" w:rsidP="00EE22AA">
      <w:pPr>
        <w:pStyle w:val="H23"/>
        <w:spacing w:line="120" w:lineRule="exact"/>
        <w:ind w:left="1267"/>
        <w:rPr>
          <w:sz w:val="10"/>
        </w:rPr>
      </w:pPr>
    </w:p>
    <w:p w:rsidR="00545D1B" w:rsidRPr="00742A04" w:rsidRDefault="0058540F" w:rsidP="002E2431">
      <w:pPr>
        <w:pStyle w:val="H23"/>
        <w:ind w:left="1267"/>
      </w:pPr>
      <w:r w:rsidRPr="00742A04">
        <w:t>Nueva campaña</w:t>
      </w:r>
    </w:p>
    <w:p w:rsidR="00EE22AA" w:rsidRPr="00742A04" w:rsidRDefault="00EE22AA" w:rsidP="002E2431">
      <w:pPr>
        <w:pStyle w:val="SingleTxt"/>
        <w:keepNext/>
        <w:spacing w:after="0" w:line="120" w:lineRule="exact"/>
        <w:rPr>
          <w:sz w:val="10"/>
        </w:rPr>
      </w:pPr>
    </w:p>
    <w:p w:rsidR="00545D1B" w:rsidRPr="00742A04" w:rsidRDefault="008F0C8E" w:rsidP="001C6426">
      <w:pPr>
        <w:pStyle w:val="SingleTxt"/>
        <w:ind w:firstLine="475"/>
      </w:pPr>
      <w:r w:rsidRPr="00742A04">
        <w:t>El Gobierno</w:t>
      </w:r>
      <w:r w:rsidR="00545D1B" w:rsidRPr="00742A04">
        <w:t xml:space="preserve"> </w:t>
      </w:r>
      <w:r w:rsidR="007C3856" w:rsidRPr="00742A04">
        <w:t>centr</w:t>
      </w:r>
      <w:r w:rsidR="0058540F" w:rsidRPr="00742A04">
        <w:t>ará</w:t>
      </w:r>
      <w:r w:rsidR="00545D1B" w:rsidRPr="00742A04">
        <w:t xml:space="preserve"> </w:t>
      </w:r>
      <w:r w:rsidR="007C3856" w:rsidRPr="00742A04">
        <w:t xml:space="preserve">cada vez más </w:t>
      </w:r>
      <w:r w:rsidR="004A0730" w:rsidRPr="00742A04">
        <w:t>su</w:t>
      </w:r>
      <w:r w:rsidR="00545D1B" w:rsidRPr="00742A04">
        <w:t xml:space="preserve"> </w:t>
      </w:r>
      <w:r w:rsidR="007C3856" w:rsidRPr="00742A04">
        <w:t>atención en las</w:t>
      </w:r>
      <w:r w:rsidR="00545D1B" w:rsidRPr="00742A04">
        <w:t xml:space="preserve"> </w:t>
      </w:r>
      <w:r w:rsidR="00DC0DB8" w:rsidRPr="00742A04">
        <w:t>medidas</w:t>
      </w:r>
      <w:r w:rsidR="00EA6AC2" w:rsidRPr="00742A04">
        <w:t xml:space="preserve"> </w:t>
      </w:r>
      <w:r w:rsidR="007C3856" w:rsidRPr="00742A04">
        <w:t>encaminadas a</w:t>
      </w:r>
      <w:r w:rsidR="00EA6AC2" w:rsidRPr="00742A04">
        <w:t xml:space="preserve"> </w:t>
      </w:r>
      <w:r w:rsidR="00B146CA" w:rsidRPr="00742A04">
        <w:t>promover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C3856" w:rsidRPr="00742A04">
        <w:t xml:space="preserve">la </w:t>
      </w:r>
      <w:r w:rsidR="00CD2FF0" w:rsidRPr="00742A04">
        <w:t>cooperación para el desarrollo</w:t>
      </w:r>
      <w:r w:rsidR="00C27C42" w:rsidRPr="00742A04">
        <w:t>.</w:t>
      </w:r>
      <w:r w:rsidR="00545D1B" w:rsidRPr="00742A04">
        <w:t xml:space="preserve"> </w:t>
      </w:r>
      <w:r w:rsidR="004A0730" w:rsidRPr="00742A04">
        <w:t>En</w:t>
      </w:r>
      <w:r w:rsidR="00545D1B" w:rsidRPr="00742A04">
        <w:t xml:space="preserve"> </w:t>
      </w:r>
      <w:r w:rsidR="007C3856" w:rsidRPr="00742A04">
        <w:t>esta</w:t>
      </w:r>
      <w:r w:rsidR="00545D1B" w:rsidRPr="00742A04">
        <w:t xml:space="preserve"> </w:t>
      </w:r>
      <w:r w:rsidR="0058540F" w:rsidRPr="00742A04">
        <w:t>ca</w:t>
      </w:r>
      <w:r w:rsidR="0058540F" w:rsidRPr="00742A04">
        <w:t>m</w:t>
      </w:r>
      <w:r w:rsidR="0058540F" w:rsidRPr="00742A04">
        <w:t>paña</w:t>
      </w:r>
      <w:r w:rsidR="00545D1B" w:rsidRPr="00742A04">
        <w:t xml:space="preserve">, </w:t>
      </w:r>
      <w:r w:rsidR="007C3856" w:rsidRPr="00742A04">
        <w:t>se seguirá una estrategia a dos puntas</w:t>
      </w:r>
      <w:r w:rsidR="00545D1B" w:rsidRPr="00742A04">
        <w:t xml:space="preserve">. </w:t>
      </w:r>
      <w:r w:rsidR="007C3856" w:rsidRPr="00742A04">
        <w:t>En primer lugar</w:t>
      </w:r>
      <w:r w:rsidR="00545D1B" w:rsidRPr="00742A04">
        <w:t xml:space="preserve">, </w:t>
      </w:r>
      <w:r w:rsidR="007C3856" w:rsidRPr="00742A04">
        <w:t>la perspectiva de gén</w:t>
      </w:r>
      <w:r w:rsidR="007C3856" w:rsidRPr="00742A04">
        <w:t>e</w:t>
      </w:r>
      <w:r w:rsidR="007C3856" w:rsidRPr="00742A04">
        <w:t>ro y de igualdad de género</w:t>
      </w:r>
      <w:r w:rsidR="00545D1B" w:rsidRPr="00742A04">
        <w:t xml:space="preserve"> </w:t>
      </w:r>
      <w:r w:rsidR="007C3856" w:rsidRPr="00742A04">
        <w:t>se incorporará</w:t>
      </w:r>
      <w:r w:rsidR="00545D1B" w:rsidRPr="00742A04">
        <w:t xml:space="preserve"> </w:t>
      </w:r>
      <w:r w:rsidR="007C3856" w:rsidRPr="00742A04">
        <w:t>a</w:t>
      </w:r>
      <w:r w:rsidR="00545D1B" w:rsidRPr="00742A04">
        <w:t xml:space="preserve"> </w:t>
      </w:r>
      <w:r w:rsidR="007C3856" w:rsidRPr="00742A04">
        <w:t>todas las esferas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856" w:rsidRPr="00742A04">
        <w:t xml:space="preserve">la </w:t>
      </w:r>
      <w:r w:rsidR="00CD2FF0" w:rsidRPr="00742A04">
        <w:t>cooperación para el desarrollo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C3856" w:rsidRPr="00742A04">
        <w:t>la política exterior</w:t>
      </w:r>
      <w:r w:rsidR="00545D1B" w:rsidRPr="00742A04">
        <w:t xml:space="preserve"> (</w:t>
      </w:r>
      <w:r w:rsidR="007C3856" w:rsidRPr="002E2431">
        <w:t>“</w:t>
      </w:r>
      <w:r w:rsidR="00056EF1" w:rsidRPr="002E2431">
        <w:t>incorporación de la perspectiva de género</w:t>
      </w:r>
      <w:r w:rsidR="007C3856" w:rsidRPr="002E2431">
        <w:t>”</w:t>
      </w:r>
      <w:r w:rsidR="00545D1B" w:rsidRPr="00742A04">
        <w:t xml:space="preserve">). </w:t>
      </w:r>
      <w:r w:rsidR="007C3856" w:rsidRPr="00742A04">
        <w:t>En segundo lugar</w:t>
      </w:r>
      <w:r w:rsidR="00545D1B" w:rsidRPr="00742A04">
        <w:t xml:space="preserve">, </w:t>
      </w:r>
      <w:r w:rsidR="007C3856" w:rsidRPr="00742A04">
        <w:t>se hará hincapié en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7C3856" w:rsidRPr="00742A04">
        <w:t>especialmente diseñadas</w:t>
      </w:r>
      <w:r w:rsidR="00EA6AC2" w:rsidRPr="00742A04">
        <w:t xml:space="preserve"> </w:t>
      </w:r>
      <w:r w:rsidR="007C3856" w:rsidRPr="00742A04">
        <w:t>para</w:t>
      </w:r>
      <w:r w:rsidR="00EA6AC2" w:rsidRPr="00742A04">
        <w:t xml:space="preserve"> pr</w:t>
      </w:r>
      <w:r w:rsidR="00EA6AC2" w:rsidRPr="00742A04">
        <w:t>o</w:t>
      </w:r>
      <w:r w:rsidR="00EA6AC2" w:rsidRPr="00742A04">
        <w:t xml:space="preserve">mover </w:t>
      </w:r>
      <w:r w:rsidR="00D62786" w:rsidRPr="00742A04">
        <w:t xml:space="preserve">los derechos </w:t>
      </w:r>
      <w:r w:rsidR="007C3856" w:rsidRPr="00742A04">
        <w:t>de la mujer</w:t>
      </w:r>
      <w:r w:rsidR="00024DBC" w:rsidRPr="00742A04">
        <w:t xml:space="preserve"> y la igualdad de género</w:t>
      </w:r>
      <w:r w:rsidR="00545D1B" w:rsidRPr="00742A04">
        <w:t xml:space="preserve">, </w:t>
      </w:r>
      <w:r w:rsidR="00230F13" w:rsidRPr="00742A04">
        <w:t>en particular</w:t>
      </w:r>
      <w:r w:rsidR="00545D1B" w:rsidRPr="00742A04">
        <w:t xml:space="preserve"> </w:t>
      </w:r>
      <w:r w:rsidR="00056EF1" w:rsidRPr="00742A04">
        <w:t>cuando</w:t>
      </w:r>
      <w:r w:rsidR="00545D1B" w:rsidRPr="00742A04">
        <w:t xml:space="preserve"> </w:t>
      </w:r>
      <w:r w:rsidR="00056EF1" w:rsidRPr="00742A04">
        <w:t>el desequil</w:t>
      </w:r>
      <w:r w:rsidR="00056EF1" w:rsidRPr="00742A04">
        <w:t>i</w:t>
      </w:r>
      <w:r w:rsidR="00056EF1" w:rsidRPr="00742A04">
        <w:t>brio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3C25BF" w:rsidRPr="00742A04">
        <w:t xml:space="preserve">la condición </w:t>
      </w:r>
      <w:r w:rsidR="00F43124" w:rsidRPr="00742A04">
        <w:t>de la</w:t>
      </w:r>
      <w:r w:rsidR="00056EF1" w:rsidRPr="00742A04">
        <w:t>s</w:t>
      </w:r>
      <w:r w:rsidR="00F43124" w:rsidRPr="00742A04">
        <w:t xml:space="preserve"> </w:t>
      </w:r>
      <w:r w:rsidR="003C25BF" w:rsidRPr="00742A04">
        <w:t>mujer</w:t>
      </w:r>
      <w:r w:rsidR="00056EF1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56EF1" w:rsidRPr="00742A04">
        <w:t xml:space="preserve">la </w:t>
      </w:r>
      <w:r w:rsidR="00C076F2" w:rsidRPr="00742A04">
        <w:t xml:space="preserve">de los </w:t>
      </w:r>
      <w:r w:rsidR="00072AD7" w:rsidRPr="00742A04">
        <w:t>hombres</w:t>
      </w:r>
      <w:r w:rsidR="00545D1B" w:rsidRPr="00742A04">
        <w:t xml:space="preserve"> </w:t>
      </w:r>
      <w:r w:rsidR="002E2431">
        <w:t>sea</w:t>
      </w:r>
      <w:r w:rsidR="00545D1B" w:rsidRPr="00742A04">
        <w:t xml:space="preserve"> </w:t>
      </w:r>
      <w:r w:rsidR="00056EF1" w:rsidRPr="00742A04">
        <w:t>tan grande que</w:t>
      </w:r>
      <w:r w:rsidR="00545D1B" w:rsidRPr="00742A04">
        <w:t xml:space="preserve"> </w:t>
      </w:r>
      <w:r w:rsidR="00056EF1" w:rsidRPr="00742A04">
        <w:t>la i</w:t>
      </w:r>
      <w:r w:rsidR="00056EF1" w:rsidRPr="00742A04">
        <w:t>n</w:t>
      </w:r>
      <w:r w:rsidR="00056EF1" w:rsidRPr="00742A04">
        <w:t>corporación de la perspectiva de género</w:t>
      </w:r>
      <w:r w:rsidR="00545D1B" w:rsidRPr="00742A04">
        <w:t xml:space="preserve"> </w:t>
      </w:r>
      <w:r w:rsidR="002E2431">
        <w:t>no tendría</w:t>
      </w:r>
      <w:r w:rsidR="00056EF1" w:rsidRPr="00742A04">
        <w:t xml:space="preserve"> un efecto</w:t>
      </w:r>
      <w:r w:rsidR="00545D1B" w:rsidRPr="00742A04">
        <w:t xml:space="preserve"> </w:t>
      </w:r>
      <w:r w:rsidR="00056EF1" w:rsidRPr="00742A04">
        <w:t>suficiente</w:t>
      </w:r>
      <w:r w:rsidR="00545D1B" w:rsidRPr="00742A04">
        <w:t xml:space="preserve"> (</w:t>
      </w:r>
      <w:r w:rsidR="00056EF1" w:rsidRPr="00742A04">
        <w:t>medidas con destinatarias específicas</w:t>
      </w:r>
      <w:r w:rsidR="00545D1B" w:rsidRPr="00742A04">
        <w:t xml:space="preserve">). </w:t>
      </w:r>
      <w:r w:rsidR="008E5EBF" w:rsidRPr="00742A04">
        <w:t>Además</w:t>
      </w:r>
      <w:r w:rsidR="00545D1B" w:rsidRPr="00742A04">
        <w:t xml:space="preserve">, </w:t>
      </w:r>
      <w:r w:rsidR="00EA26AB" w:rsidRPr="00742A04">
        <w:t>Noruega</w:t>
      </w:r>
      <w:r w:rsidR="00545D1B" w:rsidRPr="00742A04">
        <w:t xml:space="preserve"> </w:t>
      </w:r>
      <w:r w:rsidR="00056EF1" w:rsidRPr="00742A04">
        <w:t xml:space="preserve">apoyará </w:t>
      </w:r>
      <w:r w:rsidR="00F43124" w:rsidRPr="00742A04">
        <w:t>activamente</w:t>
      </w:r>
      <w:r w:rsidR="00545D1B" w:rsidRPr="00742A04">
        <w:t xml:space="preserve"> </w:t>
      </w:r>
      <w:r w:rsidR="0056679F" w:rsidRPr="00742A04">
        <w:t xml:space="preserve">el </w:t>
      </w:r>
      <w:r w:rsidR="00B82A08" w:rsidRPr="00742A04">
        <w:t>pri</w:t>
      </w:r>
      <w:r w:rsidR="00B82A08" w:rsidRPr="00742A04">
        <w:t>n</w:t>
      </w:r>
      <w:r w:rsidR="00B82A08" w:rsidRPr="00742A04">
        <w:t>cipio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81775" w:rsidRPr="00742A04">
        <w:t>igual</w:t>
      </w:r>
      <w:r w:rsidR="00545D1B" w:rsidRPr="00742A04">
        <w:t xml:space="preserve"> representa</w:t>
      </w:r>
      <w:r w:rsidR="00C14BFF" w:rsidRPr="00742A04">
        <w:t xml:space="preserve">ción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56EF1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5E2D7A" w:rsidRPr="00742A04">
        <w:t xml:space="preserve">en </w:t>
      </w:r>
      <w:r w:rsidR="00056EF1" w:rsidRPr="00742A04">
        <w:t>sus propias</w:t>
      </w:r>
      <w:r w:rsidR="00545D1B" w:rsidRPr="00742A04">
        <w:t xml:space="preserve"> deleg</w:t>
      </w:r>
      <w:r w:rsidR="00545D1B" w:rsidRPr="00742A04">
        <w:t>a</w:t>
      </w:r>
      <w:r w:rsidR="008907B8" w:rsidRPr="00742A04">
        <w:t>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56EF1" w:rsidRPr="00742A04">
        <w:t>procurará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056EF1" w:rsidRPr="00742A04">
        <w:t>la representación de las mujeres</w:t>
      </w:r>
      <w:r w:rsidR="00C14BFF" w:rsidRPr="00742A04">
        <w:t xml:space="preserve"> en</w:t>
      </w:r>
      <w:r w:rsidR="00545D1B" w:rsidRPr="00742A04">
        <w:t xml:space="preserve"> </w:t>
      </w:r>
      <w:r w:rsidR="00056EF1" w:rsidRPr="00742A04">
        <w:t xml:space="preserve">los foros </w:t>
      </w:r>
      <w:r w:rsidR="00545D1B" w:rsidRPr="00742A04">
        <w:t>bilateral</w:t>
      </w:r>
      <w:r w:rsidR="00056EF1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mult</w:t>
      </w:r>
      <w:r w:rsidR="00545D1B" w:rsidRPr="00742A04">
        <w:t>i</w:t>
      </w:r>
      <w:r w:rsidR="00545D1B" w:rsidRPr="00742A04">
        <w:t>lateral</w:t>
      </w:r>
      <w:r w:rsidR="00056EF1" w:rsidRPr="00742A04">
        <w:t>es de</w:t>
      </w:r>
      <w:r w:rsidR="00545D1B" w:rsidRPr="00742A04">
        <w:t xml:space="preserve"> </w:t>
      </w:r>
      <w:r w:rsidR="00056EF1" w:rsidRPr="00742A04">
        <w:t>adopción de decisiones</w:t>
      </w:r>
      <w:r w:rsidR="00545D1B" w:rsidRPr="00742A04">
        <w:t xml:space="preserve"> (equ</w:t>
      </w:r>
      <w:r w:rsidR="00502E16" w:rsidRPr="00742A04">
        <w:t>i</w:t>
      </w:r>
      <w:r w:rsidR="00502E16" w:rsidRPr="00742A04">
        <w:t>dad</w:t>
      </w:r>
      <w:r w:rsidR="00545D1B" w:rsidRPr="00742A04">
        <w:t>).</w:t>
      </w:r>
    </w:p>
    <w:p w:rsidR="00545D1B" w:rsidRPr="00742A04" w:rsidRDefault="001C6426" w:rsidP="001C6426">
      <w:pPr>
        <w:pStyle w:val="SingleTxt"/>
        <w:ind w:firstLine="475"/>
      </w:pPr>
      <w:r w:rsidRPr="00742A04">
        <w:t xml:space="preserve">Como parte </w:t>
      </w:r>
      <w:r w:rsidR="004A0730" w:rsidRPr="00742A04">
        <w:t>de</w:t>
      </w:r>
      <w:r w:rsidR="00545D1B" w:rsidRPr="00742A04">
        <w:t xml:space="preserve"> </w:t>
      </w:r>
      <w:r w:rsidR="00056EF1" w:rsidRPr="00742A04">
        <w:t>la</w:t>
      </w:r>
      <w:r w:rsidR="00545D1B" w:rsidRPr="00742A04">
        <w:t xml:space="preserve"> intensifi</w:t>
      </w:r>
      <w:r w:rsidR="00056EF1" w:rsidRPr="00742A04">
        <w:t>cación de su concentració</w:t>
      </w:r>
      <w:r w:rsidR="00545D1B" w:rsidRPr="00742A04">
        <w:t>n</w:t>
      </w:r>
      <w:r w:rsidR="00056EF1" w:rsidRPr="00742A04">
        <w:t xml:space="preserve"> en</w:t>
      </w:r>
      <w:r w:rsidR="00545D1B" w:rsidRPr="00742A04">
        <w:t xml:space="preserve"> </w:t>
      </w:r>
      <w:r w:rsidR="00024DBC" w:rsidRPr="00742A04">
        <w:t>la mujer y la igualdad de género</w:t>
      </w:r>
      <w:r w:rsidR="00545D1B" w:rsidRPr="00742A04">
        <w:t xml:space="preserve">, </w:t>
      </w:r>
      <w:r w:rsidR="00056EF1" w:rsidRPr="00742A04">
        <w:t>se ha tomado la</w:t>
      </w:r>
      <w:r w:rsidR="00545D1B" w:rsidRPr="00742A04">
        <w:t xml:space="preserve"> </w:t>
      </w:r>
      <w:r w:rsidR="00FC59C5" w:rsidRPr="00742A04">
        <w:t>decisión</w:t>
      </w:r>
      <w:r w:rsidR="00545D1B" w:rsidRPr="00742A04">
        <w:t xml:space="preserve"> </w:t>
      </w:r>
      <w:r w:rsidR="00056EF1" w:rsidRPr="00742A04">
        <w:t>de</w:t>
      </w:r>
      <w:r w:rsidR="00545D1B" w:rsidRPr="00742A04">
        <w:t xml:space="preserve"> establ</w:t>
      </w:r>
      <w:r w:rsidR="00056EF1" w:rsidRPr="00742A04">
        <w:t>ecer un</w:t>
      </w:r>
      <w:r w:rsidR="00545D1B" w:rsidRPr="00742A04">
        <w:t xml:space="preserve"> </w:t>
      </w:r>
      <w:r w:rsidR="0058540F" w:rsidRPr="00742A04">
        <w:t>proyecto trienal</w:t>
      </w:r>
      <w:r w:rsidR="00545D1B" w:rsidRPr="00742A04">
        <w:t xml:space="preserve"> </w:t>
      </w:r>
      <w:r w:rsidR="00056EF1" w:rsidRPr="00742A04">
        <w:t>en materia de</w:t>
      </w:r>
      <w:r w:rsidR="00545D1B" w:rsidRPr="00742A04">
        <w:t xml:space="preserve"> </w:t>
      </w:r>
      <w:r w:rsidR="00A836A1" w:rsidRPr="00742A04">
        <w:t>género</w:t>
      </w:r>
      <w:r w:rsidR="002E5047" w:rsidRPr="00742A04">
        <w:t xml:space="preserve"> e i</w:t>
      </w:r>
      <w:r w:rsidR="00A05847" w:rsidRPr="00742A04">
        <w:t>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07ED9" w:rsidRPr="00742A04">
        <w:t xml:space="preserve">la </w:t>
      </w:r>
      <w:r w:rsidR="00CD2FF0" w:rsidRPr="00742A04">
        <w:t>cooperación para el desarrollo</w:t>
      </w:r>
      <w:r w:rsidR="00C14BFF" w:rsidRPr="00742A04">
        <w:t xml:space="preserve"> en</w:t>
      </w:r>
      <w:r w:rsidR="00545D1B" w:rsidRPr="00742A04">
        <w:t xml:space="preserve"> </w:t>
      </w:r>
      <w:r w:rsidR="0058540F" w:rsidRPr="00742A04">
        <w:t>el Ministerio de Relaciones Exteriores de Noruega</w:t>
      </w:r>
      <w:r w:rsidR="00545D1B" w:rsidRPr="00742A04">
        <w:t xml:space="preserve">, </w:t>
      </w:r>
      <w:r w:rsidR="00C07ED9" w:rsidRPr="00742A04">
        <w:t>que se iniciará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2006.</w:t>
      </w:r>
      <w:r w:rsidR="00F362D9" w:rsidRPr="00742A04">
        <w:t xml:space="preserve"> El Organismo Noruego de Cooperación para el Desarrollo (NORAD), un organismo técnico del </w:t>
      </w:r>
      <w:r w:rsidR="004A0730" w:rsidRPr="00742A04">
        <w:t>Ministerio</w:t>
      </w:r>
      <w:r w:rsidR="00F362D9" w:rsidRPr="00742A04">
        <w:t>,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establ</w:t>
      </w:r>
      <w:r w:rsidR="00C07ED9" w:rsidRPr="00742A04">
        <w:t>ecerá un</w:t>
      </w:r>
      <w:r w:rsidR="00545D1B" w:rsidRPr="00742A04">
        <w:t xml:space="preserve"> </w:t>
      </w:r>
      <w:r w:rsidR="00100BD0" w:rsidRPr="00742A04">
        <w:t>proyecto</w:t>
      </w:r>
      <w:r w:rsidR="00545D1B" w:rsidRPr="00742A04">
        <w:t xml:space="preserve"> </w:t>
      </w:r>
      <w:r w:rsidR="00C07ED9" w:rsidRPr="00742A04">
        <w:t xml:space="preserve">separado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. </w:t>
      </w:r>
      <w:r w:rsidR="00C07ED9"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07ED9" w:rsidRPr="00742A04">
        <w:t>esas</w:t>
      </w:r>
      <w:r w:rsidR="00545D1B" w:rsidRPr="00742A04">
        <w:t xml:space="preserve"> </w:t>
      </w:r>
      <w:r w:rsidR="00DC0DB8" w:rsidRPr="00742A04">
        <w:t>med</w:t>
      </w:r>
      <w:r w:rsidR="00DC0DB8" w:rsidRPr="00742A04">
        <w:t>i</w:t>
      </w:r>
      <w:r w:rsidR="00DC0DB8" w:rsidRPr="00742A04">
        <w:t>das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07ED9" w:rsidRPr="00742A04">
        <w:t>elevar el nivel de conciencia acerca</w:t>
      </w:r>
      <w:r w:rsidR="00545D1B" w:rsidRPr="00742A04">
        <w:t xml:space="preserve"> </w:t>
      </w:r>
      <w:r w:rsidR="007C3856" w:rsidRPr="00742A04">
        <w:t>de la mujer</w:t>
      </w:r>
      <w:r w:rsidR="00024DBC" w:rsidRPr="00742A04">
        <w:t xml:space="preserve"> y la igualdad de género</w:t>
      </w:r>
      <w:r w:rsidR="00545D1B" w:rsidRPr="00742A04">
        <w:t xml:space="preserve"> </w:t>
      </w:r>
      <w:r w:rsidR="00C07ED9" w:rsidRPr="00742A04">
        <w:t>den</w:t>
      </w:r>
      <w:r w:rsidR="00C07ED9" w:rsidRPr="00742A04">
        <w:softHyphen/>
        <w:t xml:space="preserve">tro del </w:t>
      </w:r>
      <w:r w:rsidR="004A0730" w:rsidRPr="00742A04">
        <w:t>Ministerio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ED9" w:rsidRPr="00742A04">
        <w:t>en las</w:t>
      </w:r>
      <w:r w:rsidR="00545D1B" w:rsidRPr="00742A04">
        <w:t xml:space="preserve"> </w:t>
      </w:r>
      <w:r w:rsidR="00C07ED9" w:rsidRPr="00742A04">
        <w:t xml:space="preserve">misiones del servicio exterior </w:t>
      </w:r>
      <w:r w:rsidR="00BD47D3" w:rsidRPr="00742A04">
        <w:t>de Noruega</w:t>
      </w:r>
      <w:r w:rsidR="00545D1B" w:rsidRPr="00742A04">
        <w:t xml:space="preserve">, </w:t>
      </w:r>
      <w:r w:rsidR="00C07ED9" w:rsidRPr="00742A04">
        <w:t>e</w:t>
      </w:r>
      <w:r w:rsidR="00545D1B" w:rsidRPr="00742A04">
        <w:t xml:space="preserve"> </w:t>
      </w:r>
      <w:r w:rsidR="00C07ED9" w:rsidRPr="00742A04">
        <w:t>iniciar</w:t>
      </w:r>
      <w:r w:rsidR="00545D1B" w:rsidRPr="00742A04">
        <w:t xml:space="preserve"> </w:t>
      </w:r>
      <w:r w:rsidR="00614C7D" w:rsidRPr="00742A04">
        <w:t>act</w:t>
      </w:r>
      <w:r w:rsidR="00614C7D" w:rsidRPr="00742A04">
        <w:t>i</w:t>
      </w:r>
      <w:r w:rsidR="00614C7D" w:rsidRPr="00742A04">
        <w:t>vidades</w:t>
      </w:r>
      <w:r w:rsidR="00545D1B" w:rsidRPr="00742A04">
        <w:t xml:space="preserve"> </w:t>
      </w:r>
      <w:r w:rsidR="00F43124" w:rsidRPr="00742A04">
        <w:t>para</w:t>
      </w:r>
      <w:r w:rsidR="00C07ED9" w:rsidRPr="00742A04">
        <w:t xml:space="preserve"> brindar apoyo</w:t>
      </w:r>
      <w:r w:rsidR="00545D1B" w:rsidRPr="00742A04">
        <w:t xml:space="preserve"> </w:t>
      </w:r>
      <w:r w:rsidR="009A1B99">
        <w:t>a los procesos de</w:t>
      </w:r>
      <w:r w:rsidR="00545D1B" w:rsidRPr="00742A04">
        <w:t xml:space="preserve"> </w:t>
      </w:r>
      <w:r w:rsidR="00552048" w:rsidRPr="00742A04">
        <w:t xml:space="preserve">incorporación </w:t>
      </w:r>
      <w:r w:rsidR="00F43124" w:rsidRPr="00742A04">
        <w:t xml:space="preserve">de la </w:t>
      </w:r>
      <w:r w:rsidR="00552048" w:rsidRPr="00742A04">
        <w:t>perspectiva de g</w:t>
      </w:r>
      <w:r w:rsidR="00552048" w:rsidRPr="00742A04">
        <w:t>é</w:t>
      </w:r>
      <w:r w:rsidR="00552048" w:rsidRPr="00742A04">
        <w:t>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el Ministerio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ED9" w:rsidRPr="00742A04">
        <w:t>en las</w:t>
      </w:r>
      <w:r w:rsidR="00545D1B" w:rsidRPr="00742A04">
        <w:t xml:space="preserve"> </w:t>
      </w:r>
      <w:r w:rsidR="00C07ED9" w:rsidRPr="00742A04">
        <w:t>misiones del servicio exterior y fortalecer dicha inco</w:t>
      </w:r>
      <w:r w:rsidR="00C07ED9" w:rsidRPr="00742A04">
        <w:t>r</w:t>
      </w:r>
      <w:r w:rsidR="00C07ED9" w:rsidRPr="00742A04">
        <w:t>poración</w:t>
      </w:r>
      <w:r w:rsidR="00545D1B" w:rsidRPr="00742A04">
        <w:t xml:space="preserve">. </w:t>
      </w:r>
      <w:r w:rsidR="00C07ED9" w:rsidRPr="00742A04">
        <w:t>Se necesitan m</w:t>
      </w:r>
      <w:r w:rsidR="00BA5ABE" w:rsidRPr="00742A04">
        <w:t>ás</w:t>
      </w:r>
      <w:r w:rsidR="00545D1B" w:rsidRPr="00742A04">
        <w:t xml:space="preserve"> </w:t>
      </w:r>
      <w:r w:rsidR="00242371" w:rsidRPr="00742A04">
        <w:t>capacidades especializadas</w:t>
      </w:r>
      <w:r w:rsidR="00545D1B" w:rsidRPr="00742A04">
        <w:t xml:space="preserve">, </w:t>
      </w:r>
      <w:r w:rsidR="00C07ED9" w:rsidRPr="00742A04">
        <w:t>deben fortalecerse los m</w:t>
      </w:r>
      <w:r w:rsidR="00C07ED9" w:rsidRPr="00742A04">
        <w:t>e</w:t>
      </w:r>
      <w:r w:rsidR="00C07ED9" w:rsidRPr="00742A04">
        <w:t>canismos de presentación de informes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registr</w:t>
      </w:r>
      <w:r w:rsidR="00C07ED9" w:rsidRPr="00742A04">
        <w:t>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07ED9" w:rsidRPr="00742A04">
        <w:t>es preciso hacer una clara asi</w:t>
      </w:r>
      <w:r w:rsidR="00C07ED9" w:rsidRPr="00742A04">
        <w:t>g</w:t>
      </w:r>
      <w:r w:rsidR="00C07ED9" w:rsidRPr="00742A04">
        <w:t xml:space="preserve">nación de </w:t>
      </w:r>
      <w:r w:rsidR="008E5EBF" w:rsidRPr="00742A04">
        <w:t>responsabilidad</w:t>
      </w:r>
      <w:r w:rsidR="00C07ED9" w:rsidRPr="00742A04">
        <w:t>es</w:t>
      </w:r>
      <w:r w:rsidR="00545D1B" w:rsidRPr="00742A04">
        <w:t xml:space="preserve"> </w:t>
      </w:r>
      <w:r w:rsidR="00C07ED9" w:rsidRPr="00742A04">
        <w:t>a nivel gerencial superior</w:t>
      </w:r>
      <w:r w:rsidR="00545D1B" w:rsidRPr="00742A04">
        <w:t>.</w:t>
      </w:r>
    </w:p>
    <w:p w:rsidR="00545D1B" w:rsidRPr="00742A04" w:rsidRDefault="004B2748" w:rsidP="001C6426">
      <w:pPr>
        <w:pStyle w:val="SingleTxt"/>
        <w:ind w:firstLine="475"/>
      </w:pPr>
      <w:r w:rsidRPr="00742A04">
        <w:t xml:space="preserve">El </w:t>
      </w:r>
      <w:r w:rsidR="00C07ED9" w:rsidRPr="00742A04">
        <w:t xml:space="preserve">grupo de proyectos del </w:t>
      </w:r>
      <w:r w:rsidRPr="00742A04">
        <w:t>Ministerio de Relaciones Exteriores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C07ED9" w:rsidRPr="00742A04">
        <w:t>se e</w:t>
      </w:r>
      <w:r w:rsidR="00C07ED9" w:rsidRPr="00742A04">
        <w:t>n</w:t>
      </w:r>
      <w:r w:rsidR="00C07ED9" w:rsidRPr="00742A04">
        <w:t>cargará de elaborar el nuevo</w:t>
      </w:r>
      <w:r w:rsidR="00545D1B" w:rsidRPr="00742A04">
        <w:t xml:space="preserve"> Plan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C07ED9" w:rsidRPr="00742A04">
        <w:t>la Mujer y la Igualdad de G</w:t>
      </w:r>
      <w:r w:rsidR="00024DBC" w:rsidRPr="00742A04">
        <w:t>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07ED9" w:rsidRPr="00742A04">
        <w:t xml:space="preserve">la </w:t>
      </w:r>
      <w:r w:rsidR="00CD2FF0" w:rsidRPr="00742A04">
        <w:t>Coopera</w:t>
      </w:r>
      <w:r w:rsidR="00C07ED9" w:rsidRPr="00742A04">
        <w:t>ción para el D</w:t>
      </w:r>
      <w:r w:rsidR="00CD2FF0" w:rsidRPr="00742A04">
        <w:t>esarrollo</w:t>
      </w:r>
      <w:r w:rsidR="00C27C42" w:rsidRPr="00742A04">
        <w:t>.</w:t>
      </w:r>
      <w:r w:rsidR="00545D1B" w:rsidRPr="00742A04">
        <w:t xml:space="preserve"> </w:t>
      </w:r>
      <w:r w:rsidR="008A0C75" w:rsidRPr="00742A04">
        <w:t xml:space="preserve">El Plan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C07ED9" w:rsidRPr="00742A04">
        <w:t>centrará e</w:t>
      </w:r>
      <w:r w:rsidR="00545D1B" w:rsidRPr="00742A04">
        <w:t>special</w:t>
      </w:r>
      <w:r w:rsidR="00C07ED9" w:rsidRPr="00742A04">
        <w:t>mente la atención e</w:t>
      </w:r>
      <w:r w:rsidR="00545D1B" w:rsidRPr="00742A04">
        <w:t xml:space="preserve">n </w:t>
      </w:r>
      <w:r w:rsidR="00C07ED9" w:rsidRPr="00742A04">
        <w:t xml:space="preserve">los </w:t>
      </w:r>
      <w:r w:rsidR="00B83FEB" w:rsidRPr="00742A04">
        <w:t>derecho</w:t>
      </w:r>
      <w:r w:rsidR="00545D1B" w:rsidRPr="00742A04">
        <w:t>s (</w:t>
      </w:r>
      <w:r w:rsidR="005E2D7A" w:rsidRPr="00742A04">
        <w:t>políti</w:t>
      </w:r>
      <w:r w:rsidR="00C07ED9" w:rsidRPr="00742A04">
        <w:t>cos, econó</w:t>
      </w:r>
      <w:r w:rsidR="00545D1B" w:rsidRPr="00742A04">
        <w:t>mic</w:t>
      </w:r>
      <w:r w:rsidR="00C07ED9" w:rsidRPr="00742A04">
        <w:t>os</w:t>
      </w:r>
      <w:r w:rsidR="00545D1B" w:rsidRPr="00742A04">
        <w:t>, cultural</w:t>
      </w:r>
      <w:r w:rsidR="00C07ED9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civil</w:t>
      </w:r>
      <w:r w:rsidR="00C07ED9" w:rsidRPr="00742A04">
        <w:t>es</w:t>
      </w:r>
      <w:r w:rsidR="00545D1B" w:rsidRPr="00742A04">
        <w:t xml:space="preserve">). </w:t>
      </w:r>
      <w:r w:rsidR="00C07ED9" w:rsidRPr="00742A04">
        <w:t>Comprenderá</w:t>
      </w:r>
      <w:r w:rsidR="00545D1B" w:rsidRPr="00742A04">
        <w:t xml:space="preserve"> </w:t>
      </w:r>
      <w:r w:rsidR="00C07ED9" w:rsidRPr="00742A04">
        <w:t xml:space="preserve">medidas </w:t>
      </w:r>
      <w:r w:rsidR="00BA5ABE" w:rsidRPr="00742A04">
        <w:t>específica</w:t>
      </w:r>
      <w:r w:rsidR="00C07ED9" w:rsidRPr="00742A04">
        <w:t>s y</w:t>
      </w:r>
      <w:r w:rsidR="00545D1B" w:rsidRPr="00742A04">
        <w:t xml:space="preserve"> deci</w:t>
      </w:r>
      <w:r w:rsidR="00C07ED9" w:rsidRPr="00742A04">
        <w:t>didas para lograr una</w:t>
      </w:r>
      <w:r w:rsidR="00545D1B" w:rsidRPr="00742A04">
        <w:t xml:space="preserve"> </w:t>
      </w:r>
      <w:r w:rsidR="00C07ED9" w:rsidRPr="00742A04">
        <w:t xml:space="preserve">integración </w:t>
      </w:r>
      <w:r w:rsidR="00545D1B" w:rsidRPr="00742A04">
        <w:t>vi</w:t>
      </w:r>
      <w:r w:rsidR="00C07ED9" w:rsidRPr="00742A04">
        <w:t>sible y men</w:t>
      </w:r>
      <w:r w:rsidR="00545D1B" w:rsidRPr="00742A04">
        <w:t xml:space="preserve">surable </w:t>
      </w:r>
      <w:r w:rsidR="004A0730" w:rsidRPr="00742A04">
        <w:t>de</w:t>
      </w:r>
      <w:r w:rsidR="00545D1B" w:rsidRPr="00742A04">
        <w:t xml:space="preserve"> </w:t>
      </w:r>
      <w:r w:rsidR="003E5775" w:rsidRPr="00742A04">
        <w:t>la perspectiva</w:t>
      </w:r>
      <w:r w:rsidR="00587443" w:rsidRPr="00742A04">
        <w:t xml:space="preserve"> de género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="00C07ED9" w:rsidRPr="00742A04">
        <w:t>claras</w:t>
      </w:r>
      <w:r w:rsidR="00545D1B" w:rsidRPr="00742A04">
        <w:t xml:space="preserve"> </w:t>
      </w:r>
      <w:r w:rsidR="00C07ED9" w:rsidRPr="00742A04">
        <w:t>prioridades temáticas y</w:t>
      </w:r>
      <w:r w:rsidR="00545D1B" w:rsidRPr="00742A04">
        <w:t xml:space="preserve"> </w:t>
      </w:r>
      <w:r w:rsidR="00C07ED9" w:rsidRPr="00742A04">
        <w:t>asignación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distrib</w:t>
      </w:r>
      <w:r w:rsidR="00545D1B" w:rsidRPr="00742A04">
        <w:t>u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8E5EBF" w:rsidRPr="00742A04">
        <w:t>responsabilidad</w:t>
      </w:r>
      <w:r w:rsidR="00C07ED9" w:rsidRPr="00742A04">
        <w:t>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07ED9" w:rsidRPr="00742A04">
        <w:t>concentración en</w:t>
      </w:r>
      <w:r w:rsidR="00545D1B" w:rsidRPr="00742A04">
        <w:t xml:space="preserve"> </w:t>
      </w:r>
      <w:r w:rsidR="00C07ED9" w:rsidRPr="00742A04">
        <w:t xml:space="preserve">el desarrollo </w:t>
      </w:r>
      <w:r w:rsidR="00C076F2" w:rsidRPr="00742A04">
        <w:t xml:space="preserve">de los </w:t>
      </w:r>
      <w:r w:rsidR="00C07ED9" w:rsidRPr="00742A04">
        <w:t>recursos humanos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ED9" w:rsidRPr="00742A04">
        <w:t>la formación de capacidades</w:t>
      </w:r>
      <w:r w:rsidR="00545D1B" w:rsidRPr="00742A04">
        <w:t xml:space="preserve">. </w:t>
      </w:r>
      <w:r w:rsidR="00C07ED9" w:rsidRPr="00742A04">
        <w:t>Tendrá</w:t>
      </w:r>
      <w:r w:rsidR="00FF575F" w:rsidRPr="00742A04">
        <w:t xml:space="preserve"> </w:t>
      </w:r>
      <w:r w:rsidR="00C07ED9" w:rsidRPr="00742A04">
        <w:t>indicadores</w:t>
      </w:r>
      <w:r w:rsidR="00545D1B" w:rsidRPr="00742A04">
        <w:t xml:space="preserve"> </w:t>
      </w:r>
      <w:r w:rsidR="00C07ED9" w:rsidRPr="00742A04">
        <w:t xml:space="preserve">específicos y mensurables </w:t>
      </w:r>
      <w:r w:rsidR="00F43124" w:rsidRPr="00742A04">
        <w:t>para</w:t>
      </w:r>
      <w:r w:rsidR="00545D1B" w:rsidRPr="00742A04">
        <w:t xml:space="preserve"> </w:t>
      </w:r>
      <w:r w:rsidR="00C07ED9" w:rsidRPr="00742A04">
        <w:t>apreciar</w:t>
      </w:r>
      <w:r w:rsidR="00545D1B" w:rsidRPr="00742A04">
        <w:t xml:space="preserve"> </w:t>
      </w:r>
      <w:r w:rsidR="00C07ED9" w:rsidRPr="00742A04">
        <w:t>el grado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52048" w:rsidRPr="00742A04">
        <w:t xml:space="preserve">incorporación </w:t>
      </w:r>
      <w:r w:rsidR="00F43124" w:rsidRPr="00742A04">
        <w:t xml:space="preserve">de la </w:t>
      </w:r>
      <w:r w:rsidR="00552048" w:rsidRPr="00742A04">
        <w:t>perspectiva de género</w:t>
      </w:r>
      <w:r w:rsidR="00545D1B" w:rsidRPr="00742A04">
        <w:t xml:space="preserve"> </w:t>
      </w:r>
      <w:r w:rsidR="00C07ED9" w:rsidRPr="00742A04">
        <w:t>en la cooperación</w:t>
      </w:r>
      <w:r w:rsidR="00CD2FF0" w:rsidRPr="00742A04">
        <w:t xml:space="preserve"> p</w:t>
      </w:r>
      <w:r w:rsidR="00CD2FF0" w:rsidRPr="00742A04">
        <w:t>a</w:t>
      </w:r>
      <w:r w:rsidR="00CD2FF0" w:rsidRPr="00742A04">
        <w:t>ra el desarrollo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ED9" w:rsidRPr="00742A04">
        <w:t>en las</w:t>
      </w:r>
      <w:r w:rsidR="00545D1B" w:rsidRPr="00742A04">
        <w:t xml:space="preserve"> </w:t>
      </w:r>
      <w:r w:rsidR="00614C7D" w:rsidRPr="00742A04">
        <w:t>actividades</w:t>
      </w:r>
      <w:r w:rsidR="00EA6AC2" w:rsidRPr="00742A04">
        <w:t xml:space="preserve"> </w:t>
      </w:r>
      <w:r w:rsidR="00C07ED9" w:rsidRPr="00742A04">
        <w:t>con destinatarios concretos para</w:t>
      </w:r>
      <w:r w:rsidR="00EA6AC2" w:rsidRPr="00742A04">
        <w:t xml:space="preserve"> promover</w:t>
      </w:r>
      <w:r w:rsidR="00C07ED9" w:rsidRPr="00742A04">
        <w:t xml:space="preserve"> ese</w:t>
      </w:r>
      <w:r w:rsidR="00545D1B" w:rsidRPr="00742A04">
        <w:t xml:space="preserve"> </w:t>
      </w:r>
      <w:r w:rsidR="003C25BF" w:rsidRPr="00742A04">
        <w:t>objetivo</w:t>
      </w:r>
      <w:r w:rsidR="00545D1B" w:rsidRPr="00742A04">
        <w:t>.</w:t>
      </w:r>
    </w:p>
    <w:p w:rsidR="00545D1B" w:rsidRPr="00742A04" w:rsidRDefault="00B13783" w:rsidP="001C6426">
      <w:pPr>
        <w:pStyle w:val="SingleTxt"/>
        <w:ind w:firstLine="475"/>
      </w:pPr>
      <w:r w:rsidRPr="00742A04">
        <w:t>También se hará mayor hincapié</w:t>
      </w:r>
      <w:r w:rsidR="00545D1B" w:rsidRPr="00742A04">
        <w:t xml:space="preserve"> </w:t>
      </w:r>
      <w:r w:rsidRPr="00742A04">
        <w:t>e</w:t>
      </w:r>
      <w:r w:rsidR="00545D1B" w:rsidRPr="00742A04">
        <w:t xml:space="preserve">n </w:t>
      </w:r>
      <w:r w:rsidR="00024DBC" w:rsidRPr="00742A04">
        <w:t>la mujer y la 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a</w:t>
      </w:r>
      <w:r w:rsidR="00545D1B" w:rsidRPr="00742A04">
        <w:t>d</w:t>
      </w:r>
      <w:r w:rsidR="00545D1B" w:rsidRPr="00742A04">
        <w:t>ministra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Pr="00742A04">
        <w:t>las donaciones</w:t>
      </w:r>
      <w:r w:rsidR="00545D1B" w:rsidRPr="00742A04">
        <w:t xml:space="preserve">. </w:t>
      </w:r>
      <w:r w:rsidRPr="00742A04">
        <w:t>Las nuevas cartas de asign</w:t>
      </w:r>
      <w:r w:rsidR="00545D1B" w:rsidRPr="00742A04">
        <w:t>a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79108A" w:rsidRPr="00742A04">
        <w:t xml:space="preserve">el </w:t>
      </w:r>
      <w:r w:rsidR="00CD2FF0" w:rsidRPr="00742A04">
        <w:t>apoyo f</w:t>
      </w:r>
      <w:r w:rsidR="00CD2FF0" w:rsidRPr="00742A04">
        <w:t>i</w:t>
      </w:r>
      <w:r w:rsidR="00CD2FF0" w:rsidRPr="00742A04">
        <w:t>nanciero</w:t>
      </w:r>
      <w:r w:rsidR="00545D1B" w:rsidRPr="00742A04">
        <w:t xml:space="preserve"> </w:t>
      </w:r>
      <w:r w:rsidR="0079108A" w:rsidRPr="00742A04">
        <w:t xml:space="preserve">multianual </w:t>
      </w:r>
      <w:r w:rsidR="008F0C8E" w:rsidRPr="00742A04">
        <w:t>de</w:t>
      </w:r>
      <w:r w:rsidR="00545D1B" w:rsidRPr="00742A04">
        <w:t xml:space="preserve"> </w:t>
      </w:r>
      <w:r w:rsidR="0079108A" w:rsidRPr="00742A04">
        <w:t>las organizaciones del sistema de las Naciones Unidas</w:t>
      </w:r>
      <w:r w:rsidR="00545D1B" w:rsidRPr="00742A04">
        <w:t xml:space="preserve"> </w:t>
      </w:r>
      <w:r w:rsidR="00FF575F" w:rsidRPr="00742A04">
        <w:t>co</w:t>
      </w:r>
      <w:r w:rsidR="00FF575F" w:rsidRPr="00742A04">
        <w:t>n</w:t>
      </w:r>
      <w:r w:rsidR="00FF575F" w:rsidRPr="00742A04">
        <w:t xml:space="preserve">tienen </w:t>
      </w:r>
      <w:r w:rsidR="0079108A" w:rsidRPr="00742A04">
        <w:t>exigencias</w:t>
      </w:r>
      <w:r w:rsidR="00545D1B" w:rsidRPr="00742A04">
        <w:t xml:space="preserve"> </w:t>
      </w:r>
      <w:r w:rsidR="0079108A" w:rsidRPr="00742A04">
        <w:t>relativas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E2D7A" w:rsidRPr="00742A04">
        <w:t xml:space="preserve">presentación de </w:t>
      </w:r>
      <w:r w:rsidR="0079108A" w:rsidRPr="00742A04">
        <w:t xml:space="preserve">informes sobre </w:t>
      </w:r>
      <w:r w:rsidR="00024DBC" w:rsidRPr="00742A04">
        <w:t>la mujer y la igua</w:t>
      </w:r>
      <w:r w:rsidR="00024DBC" w:rsidRPr="00742A04">
        <w:t>l</w:t>
      </w:r>
      <w:r w:rsidR="00024DBC" w:rsidRPr="00742A04">
        <w:t>dad de género</w:t>
      </w:r>
      <w:r w:rsidR="00545D1B" w:rsidRPr="00742A04">
        <w:t xml:space="preserve">. </w:t>
      </w:r>
      <w:r w:rsidR="0079108A" w:rsidRPr="00742A04">
        <w:t>Asimismo se han implantado criterios más rigurosos</w:t>
      </w:r>
      <w:r w:rsidR="00545D1B" w:rsidRPr="00742A04">
        <w:t xml:space="preserve"> </w:t>
      </w:r>
      <w:r w:rsidR="0079108A" w:rsidRPr="00742A04">
        <w:t>para la</w:t>
      </w:r>
      <w:r w:rsidR="00C07ED9" w:rsidRPr="00742A04">
        <w:t xml:space="preserve"> prese</w:t>
      </w:r>
      <w:r w:rsidR="00C07ED9" w:rsidRPr="00742A04">
        <w:t>n</w:t>
      </w:r>
      <w:r w:rsidR="00C07ED9" w:rsidRPr="00742A04">
        <w:t xml:space="preserve">tación de </w:t>
      </w:r>
      <w:r w:rsidR="0079108A" w:rsidRPr="00742A04">
        <w:t>informes sobre este tema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9108A" w:rsidRPr="00742A04">
        <w:t xml:space="preserve">la </w:t>
      </w:r>
      <w:r w:rsidR="000248A9" w:rsidRPr="00742A04">
        <w:t>administr</w:t>
      </w:r>
      <w:r w:rsidR="0079108A" w:rsidRPr="00742A04">
        <w:t>ación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9108A" w:rsidRPr="00742A04">
        <w:t>otros mec</w:t>
      </w:r>
      <w:r w:rsidR="0079108A" w:rsidRPr="00742A04">
        <w:t>a</w:t>
      </w:r>
      <w:r w:rsidR="0079108A" w:rsidRPr="00742A04">
        <w:t>nismos de financiación</w:t>
      </w:r>
      <w:r w:rsidR="00545D1B" w:rsidRPr="00742A04">
        <w:t>.</w:t>
      </w:r>
    </w:p>
    <w:p w:rsidR="00EE22AA" w:rsidRPr="00742A04" w:rsidRDefault="00EE22AA" w:rsidP="00EE22AA">
      <w:pPr>
        <w:pStyle w:val="H23"/>
        <w:spacing w:line="120" w:lineRule="exact"/>
        <w:ind w:left="1267"/>
        <w:rPr>
          <w:bCs/>
          <w:sz w:val="10"/>
        </w:rPr>
      </w:pPr>
    </w:p>
    <w:p w:rsidR="00545D1B" w:rsidRPr="00742A04" w:rsidRDefault="00545D1B" w:rsidP="00B13783">
      <w:pPr>
        <w:pStyle w:val="H23"/>
        <w:ind w:left="1267"/>
        <w:rPr>
          <w:bCs/>
        </w:rPr>
      </w:pPr>
      <w:r w:rsidRPr="00742A04">
        <w:rPr>
          <w:bCs/>
        </w:rPr>
        <w:t>Integra</w:t>
      </w:r>
      <w:r w:rsidR="00C14BFF" w:rsidRPr="00742A04">
        <w:rPr>
          <w:bCs/>
        </w:rPr>
        <w:t xml:space="preserve">ción </w:t>
      </w:r>
      <w:r w:rsidR="0079108A" w:rsidRPr="00742A04">
        <w:rPr>
          <w:bCs/>
        </w:rPr>
        <w:t>a nivel de políticas</w:t>
      </w:r>
    </w:p>
    <w:p w:rsidR="00EE22AA" w:rsidRPr="00742A04" w:rsidRDefault="00EE22AA" w:rsidP="00B13783">
      <w:pPr>
        <w:pStyle w:val="SingleTxt"/>
        <w:keepNext/>
        <w:spacing w:after="0" w:line="120" w:lineRule="exact"/>
        <w:rPr>
          <w:sz w:val="10"/>
        </w:rPr>
      </w:pP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2002-2005, </w:t>
      </w:r>
      <w:r w:rsidR="008F0C8E" w:rsidRPr="00742A04">
        <w:t>el Gobierno</w:t>
      </w:r>
      <w:r w:rsidR="00545D1B" w:rsidRPr="00742A04">
        <w:t xml:space="preserve"> </w:t>
      </w:r>
      <w:r w:rsidR="004D313C" w:rsidRPr="00742A04">
        <w:t>adoptó</w:t>
      </w:r>
      <w:r w:rsidR="00545D1B" w:rsidRPr="00742A04">
        <w:t xml:space="preserve"> </w:t>
      </w:r>
      <w:r w:rsidR="004D313C" w:rsidRPr="00742A04">
        <w:t>varios</w:t>
      </w:r>
      <w:r w:rsidR="00545D1B" w:rsidRPr="00742A04">
        <w:t xml:space="preserve"> </w:t>
      </w:r>
      <w:r w:rsidR="004D313C" w:rsidRPr="00742A04">
        <w:t xml:space="preserve">planes </w:t>
      </w:r>
      <w:r w:rsidR="0079108A" w:rsidRPr="00742A04">
        <w:t>nacio</w:t>
      </w:r>
      <w:r w:rsidR="004D313C" w:rsidRPr="00742A04">
        <w:t>nales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a</w:t>
      </w:r>
      <w:r w:rsidR="00545D1B" w:rsidRPr="00742A04">
        <w:t>c</w:t>
      </w:r>
      <w:r w:rsidR="00C14BFF" w:rsidRPr="00742A04">
        <w:t xml:space="preserve">ción </w:t>
      </w:r>
      <w:r w:rsidRPr="00742A04">
        <w:t>de</w:t>
      </w:r>
      <w:r w:rsidR="00545D1B" w:rsidRPr="00742A04">
        <w:t xml:space="preserve"> particular </w:t>
      </w:r>
      <w:r w:rsidR="0079108A" w:rsidRPr="00742A04">
        <w:t>importancia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02E16" w:rsidRPr="00742A04">
        <w:t>los esfuerzos</w:t>
      </w:r>
      <w:r w:rsidR="00EA6AC2" w:rsidRPr="00742A04">
        <w:t xml:space="preserve"> </w:t>
      </w:r>
      <w:r w:rsidR="0079108A" w:rsidRPr="00742A04">
        <w:t xml:space="preserve">de promoción </w:t>
      </w:r>
      <w:r w:rsidR="00C076F2" w:rsidRPr="00742A04">
        <w:t xml:space="preserve">de los </w:t>
      </w:r>
      <w:r w:rsidR="00A05847" w:rsidRPr="00742A04">
        <w:t>derechos humanos</w:t>
      </w:r>
      <w:r w:rsidR="00545D1B" w:rsidRPr="00742A04">
        <w:t xml:space="preserve">, </w:t>
      </w:r>
      <w:r w:rsidR="007C3856" w:rsidRPr="00742A04">
        <w:t>especialmente</w:t>
      </w:r>
      <w:r w:rsidR="00545D1B" w:rsidRPr="00742A04">
        <w:t xml:space="preserve"> </w:t>
      </w:r>
      <w:r w:rsidR="00D62786" w:rsidRPr="00742A04">
        <w:t>los derechos de las mujeres</w:t>
      </w:r>
      <w:r w:rsidR="00545D1B" w:rsidRPr="00742A04">
        <w:t xml:space="preserve">. </w:t>
      </w:r>
      <w:r w:rsidR="0079108A" w:rsidRPr="00742A04">
        <w:t>Entre ellos figuran</w:t>
      </w:r>
      <w:r w:rsidR="00B05988" w:rsidRPr="00742A04">
        <w:t xml:space="preserve"> un Plan </w:t>
      </w:r>
      <w:r w:rsidR="0079108A" w:rsidRPr="00742A04">
        <w:t>lanzado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2003 </w:t>
      </w:r>
      <w:r w:rsidR="005E6919" w:rsidRPr="00742A04">
        <w:t>en relación con</w:t>
      </w:r>
      <w:r w:rsidR="00545D1B" w:rsidRPr="00742A04">
        <w:t xml:space="preserve"> </w:t>
      </w:r>
      <w:r w:rsidR="00502E16" w:rsidRPr="00742A04">
        <w:t>los esfuerzos</w:t>
      </w:r>
      <w:r w:rsidR="00545D1B" w:rsidRPr="00742A04">
        <w:t xml:space="preserve"> </w:t>
      </w:r>
      <w:r w:rsidR="0079108A" w:rsidRPr="00742A04">
        <w:t>internacional</w:t>
      </w:r>
      <w:r w:rsidR="005E6919" w:rsidRPr="00742A04">
        <w:t>es</w:t>
      </w:r>
      <w:r w:rsidR="0079108A" w:rsidRPr="00742A04">
        <w:t xml:space="preserve"> </w:t>
      </w:r>
      <w:r w:rsidR="005E6919" w:rsidRPr="00742A04">
        <w:t xml:space="preserve">del Gobierno </w:t>
      </w:r>
      <w:r w:rsidR="007C341F" w:rsidRPr="00742A04">
        <w:t>de lucha contra</w:t>
      </w:r>
      <w:r w:rsidR="00ED4DF1" w:rsidRPr="00742A04">
        <w:t xml:space="preserve"> la </w:t>
      </w:r>
      <w:r w:rsidR="000220D6" w:rsidRPr="00742A04">
        <w:t>mutilación genital femenina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A0C75" w:rsidRPr="00742A04">
        <w:t xml:space="preserve">el Plan </w:t>
      </w:r>
      <w:r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650FB" w:rsidRPr="00742A04">
        <w:t xml:space="preserve">de Lucha contra la </w:t>
      </w:r>
      <w:r w:rsidR="005E6919" w:rsidRPr="00742A04">
        <w:t>Trata de Mujeres y Niños</w:t>
      </w:r>
      <w:r w:rsidR="00545D1B" w:rsidRPr="00742A04">
        <w:t xml:space="preserve"> (2003-2005), </w:t>
      </w:r>
      <w:r w:rsidR="005E6919" w:rsidRPr="00742A04">
        <w:t>que se ha prorrogado</w:t>
      </w:r>
      <w:r w:rsidR="00545D1B" w:rsidRPr="00742A04">
        <w:t xml:space="preserve"> </w:t>
      </w:r>
      <w:r w:rsidR="000A5430" w:rsidRPr="00742A04">
        <w:t>en forma</w:t>
      </w:r>
      <w:r w:rsidR="00545D1B" w:rsidRPr="00742A04">
        <w:t xml:space="preserve"> </w:t>
      </w:r>
      <w:r w:rsidRPr="00742A04">
        <w:t>de</w:t>
      </w:r>
      <w:r w:rsidR="00B05988" w:rsidRPr="00742A04">
        <w:t xml:space="preserve"> un nuevo</w:t>
      </w:r>
      <w:r w:rsidR="00545D1B" w:rsidRPr="00742A04">
        <w:t xml:space="preserve"> plan </w:t>
      </w:r>
      <w:r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5E6919" w:rsidRPr="00742A04">
        <w:t xml:space="preserve">el período </w:t>
      </w:r>
      <w:r w:rsidR="00545D1B" w:rsidRPr="00742A04">
        <w:t>2005-2008.</w:t>
      </w: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2005, </w:t>
      </w:r>
      <w:r w:rsidR="008F0C8E" w:rsidRPr="00742A04">
        <w:t>el Gobierno</w:t>
      </w:r>
      <w:r w:rsidR="00545D1B" w:rsidRPr="00742A04">
        <w:t xml:space="preserve"> </w:t>
      </w:r>
      <w:r w:rsidR="005E6919" w:rsidRPr="00742A04">
        <w:t>decidió</w:t>
      </w:r>
      <w:r w:rsidR="00545D1B" w:rsidRPr="00742A04">
        <w:t xml:space="preserve"> </w:t>
      </w:r>
      <w:r w:rsidR="005E6919" w:rsidRPr="00742A04">
        <w:t>elaborar</w:t>
      </w:r>
      <w:r w:rsidR="00545D1B" w:rsidRPr="00742A04">
        <w:t xml:space="preserve"> </w:t>
      </w:r>
      <w:r w:rsidR="008A0C75" w:rsidRPr="00742A04">
        <w:t xml:space="preserve">un </w:t>
      </w:r>
      <w:r w:rsidR="005E6919" w:rsidRPr="00742A04">
        <w:t>Plan Nacional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5E6919" w:rsidRPr="00742A04">
        <w:t>para la aplicación</w:t>
      </w:r>
      <w:r w:rsidR="00C14BFF" w:rsidRPr="00742A04">
        <w:t xml:space="preserve"> </w:t>
      </w:r>
      <w:r w:rsidR="00F43124" w:rsidRPr="00742A04">
        <w:t xml:space="preserve">de la </w:t>
      </w:r>
      <w:r w:rsidR="00F650FB" w:rsidRPr="00742A04">
        <w:t>r</w:t>
      </w:r>
      <w:r w:rsidR="00545D1B" w:rsidRPr="00742A04">
        <w:t>esolu</w:t>
      </w:r>
      <w:r w:rsidR="00C14BFF" w:rsidRPr="00742A04">
        <w:t xml:space="preserve">ción </w:t>
      </w:r>
      <w:r w:rsidR="00F650FB" w:rsidRPr="00742A04">
        <w:t>1325 (2000)</w:t>
      </w:r>
      <w:r w:rsidR="009A1B99">
        <w:t xml:space="preserve"> del Consejo de Seguridad de las Naciones Unidas</w:t>
      </w:r>
      <w:r w:rsidR="00F650FB" w:rsidRPr="00742A04">
        <w:t xml:space="preserve"> sobre la mujer</w:t>
      </w:r>
      <w:r w:rsidR="00A93B9E" w:rsidRPr="00742A04">
        <w:t xml:space="preserve">, la </w:t>
      </w:r>
      <w:r w:rsidR="00F650FB" w:rsidRPr="00742A04">
        <w:t>paz y la seguridad</w:t>
      </w:r>
      <w:r w:rsidR="00545D1B" w:rsidRPr="00742A04">
        <w:t xml:space="preserve">. </w:t>
      </w:r>
      <w:r w:rsidR="005E6919" w:rsidRPr="00742A04">
        <w:t>Dicho</w:t>
      </w:r>
      <w:r w:rsidR="00545D1B" w:rsidRPr="00742A04">
        <w:t xml:space="preserve"> plan, </w:t>
      </w:r>
      <w:r w:rsidR="005E6919" w:rsidRPr="00742A04">
        <w:t>que fue</w:t>
      </w:r>
      <w:r w:rsidR="00545D1B" w:rsidRPr="00742A04">
        <w:t xml:space="preserve"> </w:t>
      </w:r>
      <w:r w:rsidR="0079108A" w:rsidRPr="00742A04">
        <w:t>lanzado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2006, </w:t>
      </w:r>
      <w:r w:rsidR="005E6919" w:rsidRPr="00742A04">
        <w:t>establece exigencias para todos los interesados pertinentes</w:t>
      </w:r>
      <w:r w:rsidR="00545D1B" w:rsidRPr="00742A04">
        <w:t xml:space="preserve"> </w:t>
      </w:r>
      <w:r w:rsidR="00BD47D3" w:rsidRPr="00742A04">
        <w:t>de Noruega</w:t>
      </w:r>
      <w:r w:rsidR="00545D1B" w:rsidRPr="00742A04">
        <w:t xml:space="preserve">, </w:t>
      </w:r>
      <w:r w:rsidR="005E6919" w:rsidRPr="00742A04">
        <w:t>con lo cual contribuye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E6919" w:rsidRPr="00742A04">
        <w:t>asegurar que</w:t>
      </w:r>
      <w:r w:rsidR="00BD47D3" w:rsidRPr="00742A04">
        <w:t xml:space="preserve"> </w:t>
      </w:r>
      <w:r w:rsidR="00502E16" w:rsidRPr="00742A04">
        <w:t>los esfuerzos</w:t>
      </w:r>
      <w:r w:rsidR="00EA6AC2" w:rsidRPr="00742A04">
        <w:t xml:space="preserve"> </w:t>
      </w:r>
      <w:r w:rsidR="005E6919" w:rsidRPr="00742A04">
        <w:t xml:space="preserve">de Noruega </w:t>
      </w:r>
      <w:r w:rsidR="00EA6AC2" w:rsidRPr="00742A04">
        <w:t xml:space="preserve">por promover </w:t>
      </w:r>
      <w:r w:rsidR="00D62786" w:rsidRPr="00742A04">
        <w:t>la paz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6919" w:rsidRPr="00742A04">
        <w:t>la segur</w:t>
      </w:r>
      <w:r w:rsidR="005E6919" w:rsidRPr="00742A04">
        <w:t>i</w:t>
      </w:r>
      <w:r w:rsidR="005E6919" w:rsidRPr="00742A04">
        <w:t>dad</w:t>
      </w:r>
      <w:r w:rsidR="00545D1B" w:rsidRPr="00742A04">
        <w:t xml:space="preserve"> </w:t>
      </w:r>
      <w:r w:rsidR="005E6919" w:rsidRPr="00742A04">
        <w:t>centren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5E6919" w:rsidRPr="00742A04">
        <w:t>ené</w:t>
      </w:r>
      <w:r w:rsidR="005E6919" w:rsidRPr="00742A04">
        <w:t>r</w:t>
      </w:r>
      <w:r w:rsidR="005E6919" w:rsidRPr="00742A04">
        <w:t>gicamente la atención en la</w:t>
      </w:r>
      <w:r w:rsidR="00545D1B" w:rsidRPr="00742A04">
        <w:t xml:space="preserve"> dimens</w:t>
      </w:r>
      <w:r w:rsidR="005E6919" w:rsidRPr="00742A04">
        <w:t xml:space="preserve">ión de la igualdad de género </w:t>
      </w:r>
      <w:r w:rsidR="00877AA0" w:rsidRPr="00742A04">
        <w:t>y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. </w:t>
      </w:r>
      <w:r w:rsidR="008A0C75" w:rsidRPr="00742A04">
        <w:t xml:space="preserve">El Plan </w:t>
      </w:r>
      <w:r w:rsidR="005E6919" w:rsidRPr="00742A04">
        <w:t>comprende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242371" w:rsidRPr="00742A04">
        <w:t>encaminadas a</w:t>
      </w:r>
      <w:r w:rsidR="00545D1B" w:rsidRPr="00742A04">
        <w:t xml:space="preserve"> </w:t>
      </w:r>
      <w:r w:rsidR="005E6919" w:rsidRPr="00742A04">
        <w:t>brindar una mejor</w:t>
      </w:r>
      <w:r w:rsidR="00545D1B" w:rsidRPr="00742A04">
        <w:t xml:space="preserve"> protec</w:t>
      </w:r>
      <w:r w:rsidR="00C14BFF" w:rsidRPr="00742A04">
        <w:t xml:space="preserve">ción </w:t>
      </w:r>
      <w:r w:rsidR="005E6919" w:rsidRPr="00742A04">
        <w:t>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6919" w:rsidRPr="00742A04">
        <w:t>las niñas</w:t>
      </w:r>
      <w:r w:rsidR="00545D1B" w:rsidRPr="00742A04">
        <w:t xml:space="preserve">, </w:t>
      </w:r>
      <w:r w:rsidR="00F43124" w:rsidRPr="00742A04">
        <w:t>fortalecer</w:t>
      </w:r>
      <w:r w:rsidR="00545D1B" w:rsidRPr="00742A04">
        <w:t xml:space="preserve"> </w:t>
      </w:r>
      <w:r w:rsidR="005E6919" w:rsidRPr="00742A04">
        <w:t>la participación de las m</w:t>
      </w:r>
      <w:r w:rsidR="005E6919" w:rsidRPr="00742A04">
        <w:t>u</w:t>
      </w:r>
      <w:r w:rsidR="005E6919" w:rsidRPr="00742A04">
        <w:t>jeres</w:t>
      </w:r>
      <w:r w:rsidR="00C14BFF" w:rsidRPr="00742A04">
        <w:t xml:space="preserve"> en</w:t>
      </w:r>
      <w:r w:rsidR="00545D1B" w:rsidRPr="00742A04">
        <w:t xml:space="preserve"> </w:t>
      </w:r>
      <w:r w:rsidR="005E6919" w:rsidRPr="00742A04">
        <w:t>los procesos de adopción de decisiones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6919" w:rsidRPr="00742A04">
        <w:t>lograr</w:t>
      </w:r>
      <w:r w:rsidR="00545D1B" w:rsidRPr="00742A04">
        <w:t xml:space="preserve"> </w:t>
      </w:r>
      <w:r w:rsidR="005E6919" w:rsidRPr="00742A04">
        <w:t>un mejor equilibrio de g</w:t>
      </w:r>
      <w:r w:rsidR="005E6919" w:rsidRPr="00742A04">
        <w:t>é</w:t>
      </w:r>
      <w:r w:rsidR="005E6919" w:rsidRPr="00742A04">
        <w:t>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E6919" w:rsidRPr="00742A04">
        <w:t>las delegaciones de 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6919" w:rsidRPr="00742A04">
        <w:t>en los equipos</w:t>
      </w:r>
      <w:r w:rsidR="00545D1B" w:rsidRPr="00742A04">
        <w:t xml:space="preserve"> </w:t>
      </w:r>
      <w:r w:rsidR="005E6919" w:rsidRPr="00742A04">
        <w:t xml:space="preserve">que </w:t>
      </w:r>
      <w:r w:rsidR="00545D1B" w:rsidRPr="00742A04">
        <w:t>participa</w:t>
      </w:r>
      <w:r w:rsidR="005E6919" w:rsidRPr="00742A04">
        <w:t>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E6919" w:rsidRPr="00742A04">
        <w:t>las oper</w:t>
      </w:r>
      <w:r w:rsidR="005E6919" w:rsidRPr="00742A04">
        <w:t>a</w:t>
      </w:r>
      <w:r w:rsidR="005E6919" w:rsidRPr="00742A04">
        <w:t>ciones internacionales de paz</w:t>
      </w:r>
      <w:r w:rsidR="00545D1B" w:rsidRPr="00742A04">
        <w:t>.</w:t>
      </w:r>
    </w:p>
    <w:p w:rsidR="00545D1B" w:rsidRPr="00742A04" w:rsidRDefault="005E6919" w:rsidP="001C6426">
      <w:pPr>
        <w:pStyle w:val="SingleTxt"/>
        <w:ind w:firstLine="475"/>
      </w:pPr>
      <w:r w:rsidRPr="00742A04">
        <w:t>La perspectiva de igualdad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concentración en</w:t>
      </w:r>
      <w:r w:rsidR="00545D1B" w:rsidRPr="00742A04">
        <w:t xml:space="preserve"> </w:t>
      </w:r>
      <w:r w:rsidR="00D62786" w:rsidRPr="00742A04">
        <w:t>los derechos de las mujeres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Pr="00742A04">
        <w:t>se han</w:t>
      </w:r>
      <w:r w:rsidR="00545D1B" w:rsidRPr="00742A04">
        <w:t xml:space="preserve"> incorpora</w:t>
      </w:r>
      <w:r w:rsidRPr="00742A04">
        <w:t>do</w:t>
      </w:r>
      <w:r w:rsidR="00545D1B" w:rsidRPr="00742A04">
        <w:t xml:space="preserve"> </w:t>
      </w:r>
      <w:r w:rsidRPr="00742A04">
        <w:t xml:space="preserve">sistemáticamente </w:t>
      </w:r>
      <w:r w:rsidR="00C05B34" w:rsidRPr="00742A04">
        <w:t>a</w:t>
      </w:r>
      <w:r w:rsidR="00545D1B" w:rsidRPr="00742A04">
        <w:t xml:space="preserve"> </w:t>
      </w:r>
      <w:r w:rsidR="00587443" w:rsidRPr="00742A04">
        <w:t>diversos</w:t>
      </w:r>
      <w:r w:rsidR="00545D1B" w:rsidRPr="00742A04">
        <w:t xml:space="preserve"> </w:t>
      </w:r>
      <w:r w:rsidR="004D313C" w:rsidRPr="00742A04">
        <w:t>planes de a</w:t>
      </w:r>
      <w:r w:rsidR="004D313C" w:rsidRPr="00742A04">
        <w:t>c</w:t>
      </w:r>
      <w:r w:rsidR="004D313C" w:rsidRPr="00742A04">
        <w:t>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A1B99">
        <w:t>e</w:t>
      </w:r>
      <w:r w:rsidR="00604B3A" w:rsidRPr="00742A04">
        <w:t>strategias</w:t>
      </w:r>
      <w:r w:rsidR="00545D1B" w:rsidRPr="00742A04">
        <w:t xml:space="preserve">. </w:t>
      </w:r>
      <w:r w:rsidR="004A0730" w:rsidRPr="00742A04">
        <w:t>En</w:t>
      </w:r>
      <w:r w:rsidR="00C05B34" w:rsidRPr="00742A04">
        <w:t xml:space="preserve"> el Plan</w:t>
      </w:r>
      <w:r w:rsidR="00F650FB" w:rsidRPr="00742A04">
        <w:t xml:space="preserve"> de Acción</w:t>
      </w:r>
      <w:r w:rsidR="00545D1B" w:rsidRPr="00742A04">
        <w:t xml:space="preserve"> </w:t>
      </w:r>
      <w:r w:rsidR="00C05B34" w:rsidRPr="00742A04">
        <w:t>de Lucha contra la Pobreza por medio de la</w:t>
      </w:r>
      <w:r w:rsidR="00545D1B" w:rsidRPr="00742A04">
        <w:t xml:space="preserve"> Agr</w:t>
      </w:r>
      <w:r w:rsidR="00545D1B" w:rsidRPr="00742A04">
        <w:t>i</w:t>
      </w:r>
      <w:r w:rsidR="006C1297" w:rsidRPr="00742A04">
        <w:t>cultura</w:t>
      </w:r>
      <w:r w:rsidR="00545D1B" w:rsidRPr="00742A04">
        <w:t xml:space="preserve">, </w:t>
      </w:r>
      <w:r w:rsidR="00BB1CDE" w:rsidRPr="00742A04">
        <w:t>se dedicó</w:t>
      </w:r>
      <w:r w:rsidR="00545D1B" w:rsidRPr="00742A04">
        <w:t xml:space="preserve"> </w:t>
      </w:r>
      <w:r w:rsidR="00BB1CDE" w:rsidRPr="00742A04">
        <w:t>un capítulo especial al rol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B1CDE" w:rsidRPr="00742A04">
        <w:t>el desarrollo agrícola</w:t>
      </w:r>
      <w:r w:rsidR="00545D1B" w:rsidRPr="00742A04">
        <w:t xml:space="preserve"> </w:t>
      </w:r>
      <w:r w:rsidR="00877AA0" w:rsidRPr="00742A04">
        <w:t>y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BB1CDE" w:rsidRPr="00742A04">
        <w:t>importancia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C6742" w:rsidRPr="00742A04">
        <w:t>salvaguardar</w:t>
      </w:r>
      <w:r w:rsidR="00545D1B" w:rsidRPr="00742A04">
        <w:t xml:space="preserve"> </w:t>
      </w:r>
      <w:r w:rsidR="00D62786" w:rsidRPr="00742A04">
        <w:t>los derechos de las mujeres</w:t>
      </w:r>
      <w:r w:rsidR="00545D1B" w:rsidRPr="00742A04">
        <w:t xml:space="preserve">, </w:t>
      </w:r>
      <w:r w:rsidR="00230F13" w:rsidRPr="00742A04">
        <w:t>en particular</w:t>
      </w:r>
      <w:r w:rsidR="00545D1B" w:rsidRPr="00742A04">
        <w:t xml:space="preserve"> </w:t>
      </w:r>
      <w:r w:rsidR="001C6742" w:rsidRPr="00742A04">
        <w:t>el der</w:t>
      </w:r>
      <w:r w:rsidR="001C6742" w:rsidRPr="00742A04">
        <w:t>e</w:t>
      </w:r>
      <w:r w:rsidR="001C6742" w:rsidRPr="00742A04">
        <w:t xml:space="preserve">cho </w:t>
      </w:r>
      <w:r w:rsidR="0030626A" w:rsidRPr="00742A04">
        <w:t>a</w:t>
      </w:r>
      <w:r w:rsidR="00545D1B" w:rsidRPr="00742A04">
        <w:t xml:space="preserve"> </w:t>
      </w:r>
      <w:r w:rsidR="001C6742" w:rsidRPr="00742A04">
        <w:t xml:space="preserve">ser propietarias de </w:t>
      </w:r>
      <w:r w:rsidR="009A1B99">
        <w:t>inmuebles</w:t>
      </w:r>
      <w:r w:rsidR="00545D1B" w:rsidRPr="00742A04">
        <w:t xml:space="preserve">. </w:t>
      </w:r>
      <w:r w:rsidR="00EA26AB" w:rsidRPr="00742A04">
        <w:t>Noruega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1C6742" w:rsidRPr="00742A04">
        <w:t>fue una de las promotoras</w:t>
      </w:r>
      <w:r w:rsidR="00545D1B" w:rsidRPr="00742A04">
        <w:t xml:space="preserve"> </w:t>
      </w:r>
      <w:r w:rsidR="009A1B99">
        <w:t xml:space="preserve">de la </w:t>
      </w:r>
      <w:r w:rsidR="001C6742" w:rsidRPr="00742A04">
        <w:t xml:space="preserve">Comisión </w:t>
      </w:r>
      <w:r w:rsidR="00261954" w:rsidRPr="00742A04">
        <w:t xml:space="preserve">de Alto Nivel </w:t>
      </w:r>
      <w:r w:rsidR="001C6742" w:rsidRPr="00742A04">
        <w:t xml:space="preserve">de las Naciones Unidas para el Empoderamiento Jurídico </w:t>
      </w:r>
      <w:r w:rsidR="00C076F2" w:rsidRPr="00742A04">
        <w:t xml:space="preserve">de los </w:t>
      </w:r>
      <w:r w:rsidR="001C6742" w:rsidRPr="00742A04">
        <w:t>Pobres</w:t>
      </w:r>
      <w:r w:rsidR="00545D1B" w:rsidRPr="00742A04">
        <w:t>,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261954" w:rsidRPr="00742A04">
        <w:t>cual se ha asignado el cometido de</w:t>
      </w:r>
      <w:r w:rsidR="00545D1B" w:rsidRPr="00742A04">
        <w:t xml:space="preserve"> examin</w:t>
      </w:r>
      <w:r w:rsidR="00261954" w:rsidRPr="00742A04">
        <w:t>ar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="00261954" w:rsidRPr="00742A04">
        <w:t>se puede r</w:t>
      </w:r>
      <w:r w:rsidR="00261954" w:rsidRPr="00742A04">
        <w:t>e</w:t>
      </w:r>
      <w:r w:rsidR="00261954" w:rsidRPr="00742A04">
        <w:t>ducir la pobreza</w:t>
      </w:r>
      <w:r w:rsidR="00545D1B" w:rsidRPr="00742A04">
        <w:t xml:space="preserve"> </w:t>
      </w:r>
      <w:r w:rsidR="00261954" w:rsidRPr="00742A04">
        <w:t>mediante un</w:t>
      </w:r>
      <w:r w:rsidR="006137EC" w:rsidRPr="00742A04">
        <w:t xml:space="preserve">a </w:t>
      </w:r>
      <w:r w:rsidR="00261954" w:rsidRPr="00742A04">
        <w:t xml:space="preserve">mejor </w:t>
      </w:r>
      <w:r w:rsidR="006137EC" w:rsidRPr="00742A04">
        <w:t>protección jurídica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61954" w:rsidRPr="00742A04">
        <w:t>brindar</w:t>
      </w:r>
      <w:r w:rsidR="00545D1B" w:rsidRPr="00742A04">
        <w:t xml:space="preserve"> </w:t>
      </w:r>
      <w:r w:rsidR="00261954" w:rsidRPr="00742A04">
        <w:t>oportunidades económicas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61954" w:rsidRPr="00742A04">
        <w:t>todos los ciudadanos</w:t>
      </w:r>
      <w:r w:rsidR="00545D1B" w:rsidRPr="00742A04">
        <w:t xml:space="preserve"> (</w:t>
      </w:r>
      <w:r w:rsidR="00550986" w:rsidRPr="00742A04">
        <w:t>programa de</w:t>
      </w:r>
      <w:r w:rsidR="00545D1B" w:rsidRPr="00742A04">
        <w:t xml:space="preserve"> formal</w:t>
      </w:r>
      <w:r w:rsidR="00024DBC" w:rsidRPr="00742A04">
        <w:t>ización</w:t>
      </w:r>
      <w:r w:rsidR="00545D1B" w:rsidRPr="00742A04">
        <w:t xml:space="preserve">). </w:t>
      </w:r>
      <w:r w:rsidR="00261954" w:rsidRPr="00742A04">
        <w:t>La Comisión</w:t>
      </w:r>
      <w:r w:rsidRPr="00742A04">
        <w:t xml:space="preserve"> </w:t>
      </w:r>
      <w:r w:rsidR="00550986" w:rsidRPr="00742A04">
        <w:t>debe dedicar</w:t>
      </w:r>
      <w:r w:rsidR="00545D1B" w:rsidRPr="00742A04">
        <w:t xml:space="preserve"> particular </w:t>
      </w:r>
      <w:r w:rsidR="00D66FC2" w:rsidRPr="00742A04">
        <w:t>ate</w:t>
      </w:r>
      <w:r w:rsidR="00545D1B" w:rsidRPr="00742A04">
        <w:t>n</w:t>
      </w:r>
      <w:r w:rsidR="00C14BFF" w:rsidRPr="00742A04">
        <w:t xml:space="preserve">ción </w:t>
      </w:r>
      <w:r w:rsidR="00550986" w:rsidRPr="00742A04">
        <w:t xml:space="preserve">al </w:t>
      </w:r>
      <w:r w:rsidR="00545D1B" w:rsidRPr="00742A04">
        <w:t>em</w:t>
      </w:r>
      <w:r w:rsidR="000220D6" w:rsidRPr="00742A04">
        <w:t>poder</w:t>
      </w:r>
      <w:r w:rsidR="00550986" w:rsidRPr="00742A04">
        <w:t>amiento de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50986" w:rsidRPr="00742A04">
        <w:t xml:space="preserve">el </w:t>
      </w:r>
      <w:r w:rsidR="00F43124" w:rsidRPr="00742A04">
        <w:t>fortalec</w:t>
      </w:r>
      <w:r w:rsidR="00550986" w:rsidRPr="00742A04">
        <w:t>i</w:t>
      </w:r>
      <w:r w:rsidR="00550986" w:rsidRPr="00742A04">
        <w:t xml:space="preserve">miento </w:t>
      </w:r>
      <w:r w:rsidR="00C076F2" w:rsidRPr="00742A04">
        <w:t xml:space="preserve">de los </w:t>
      </w:r>
      <w:r w:rsidR="00D62786" w:rsidRPr="00742A04">
        <w:t>d</w:t>
      </w:r>
      <w:r w:rsidR="00D62786" w:rsidRPr="00742A04">
        <w:t>e</w:t>
      </w:r>
      <w:r w:rsidR="00D62786" w:rsidRPr="00742A04">
        <w:t>rechos de las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0986" w:rsidRPr="00742A04">
        <w:t>el sector económico</w:t>
      </w:r>
      <w:r w:rsidR="00545D1B" w:rsidRPr="00742A04">
        <w:t>.</w:t>
      </w:r>
    </w:p>
    <w:p w:rsidR="00EE22AA" w:rsidRPr="00742A04" w:rsidRDefault="00EE22AA" w:rsidP="00EE22AA">
      <w:pPr>
        <w:pStyle w:val="H23"/>
        <w:spacing w:line="120" w:lineRule="exact"/>
        <w:ind w:left="1267"/>
        <w:rPr>
          <w:bCs/>
          <w:sz w:val="10"/>
        </w:rPr>
      </w:pPr>
    </w:p>
    <w:p w:rsidR="00545D1B" w:rsidRPr="00742A04" w:rsidRDefault="00550986" w:rsidP="00EE22AA">
      <w:pPr>
        <w:pStyle w:val="H23"/>
        <w:ind w:left="1267"/>
        <w:rPr>
          <w:bCs/>
        </w:rPr>
      </w:pPr>
      <w:r w:rsidRPr="00742A04">
        <w:rPr>
          <w:bCs/>
        </w:rPr>
        <w:t xml:space="preserve">Trabajo en pro </w:t>
      </w:r>
      <w:r w:rsidR="00C076F2" w:rsidRPr="00742A04">
        <w:rPr>
          <w:bCs/>
        </w:rPr>
        <w:t xml:space="preserve">de los </w:t>
      </w:r>
      <w:r w:rsidRPr="00742A04">
        <w:rPr>
          <w:bCs/>
        </w:rPr>
        <w:t>d</w:t>
      </w:r>
      <w:r w:rsidR="00A05847" w:rsidRPr="00742A04">
        <w:rPr>
          <w:bCs/>
        </w:rPr>
        <w:t>erechos humanos</w:t>
      </w:r>
    </w:p>
    <w:p w:rsidR="00EE22AA" w:rsidRPr="00742A04" w:rsidRDefault="00EE22AA" w:rsidP="00EE22AA">
      <w:pPr>
        <w:pStyle w:val="SingleTxt"/>
        <w:spacing w:after="0" w:line="120" w:lineRule="exact"/>
        <w:rPr>
          <w:sz w:val="10"/>
        </w:rPr>
      </w:pPr>
    </w:p>
    <w:p w:rsidR="00545D1B" w:rsidRPr="00742A04" w:rsidRDefault="00EA26AB" w:rsidP="001C6426">
      <w:pPr>
        <w:pStyle w:val="SingleTxt"/>
        <w:ind w:firstLine="475"/>
      </w:pPr>
      <w:r w:rsidRPr="00742A04">
        <w:t>Noruega</w:t>
      </w:r>
      <w:r w:rsidR="00545D1B" w:rsidRPr="00742A04">
        <w:t xml:space="preserve"> </w:t>
      </w:r>
      <w:r w:rsidR="00550986" w:rsidRPr="00742A04">
        <w:t>ha procurado</w:t>
      </w:r>
      <w:r w:rsidR="00545D1B" w:rsidRPr="00742A04">
        <w:t xml:space="preserve"> </w:t>
      </w:r>
      <w:r w:rsidR="00550986" w:rsidRPr="00742A04">
        <w:t>elaborar normas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0986" w:rsidRPr="00742A04">
        <w:t>varios</w:t>
      </w:r>
      <w:r w:rsidR="00545D1B" w:rsidRPr="00742A04">
        <w:t xml:space="preserve"> </w:t>
      </w:r>
      <w:r w:rsidR="00550986" w:rsidRPr="00742A04">
        <w:t>foros internacionales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550986" w:rsidRPr="00742A04">
        <w:t xml:space="preserve">la </w:t>
      </w:r>
      <w:r w:rsidR="0073499D" w:rsidRPr="00742A04">
        <w:t>Asamblea</w:t>
      </w:r>
      <w:r w:rsidR="00550986" w:rsidRPr="00742A04">
        <w:t xml:space="preserve"> General de las Naciones Unidas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50986" w:rsidRPr="00742A04">
        <w:t>la Comisión de Derechos Humanos de las Naciones Unidas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550986" w:rsidRPr="00742A04">
        <w:t>asegurar que se apliquen</w:t>
      </w:r>
      <w:r w:rsidR="00545D1B" w:rsidRPr="00742A04">
        <w:t xml:space="preserve"> </w:t>
      </w:r>
      <w:r w:rsidR="0030350D" w:rsidRPr="00742A04">
        <w:t>efectivamente</w:t>
      </w:r>
      <w:r w:rsidR="00545D1B" w:rsidRPr="00742A04">
        <w:t xml:space="preserve">. </w:t>
      </w:r>
      <w:r w:rsidR="00550986" w:rsidRPr="00742A04">
        <w:t>Se ha hecho hincapié en c</w:t>
      </w:r>
      <w:r w:rsidR="002E5047" w:rsidRPr="00742A04">
        <w:t>uestiones</w:t>
      </w:r>
      <w:r w:rsidR="00545D1B" w:rsidRPr="00742A04">
        <w:t xml:space="preserve"> </w:t>
      </w:r>
      <w:r w:rsidR="00AD0883" w:rsidRPr="00742A04">
        <w:t>tales como</w:t>
      </w:r>
      <w:r w:rsidR="00545D1B" w:rsidRPr="00742A04">
        <w:t xml:space="preserve"> </w:t>
      </w:r>
      <w:r w:rsidR="00550986" w:rsidRPr="00742A04">
        <w:t xml:space="preserve">la </w:t>
      </w:r>
      <w:r w:rsidR="00A05847" w:rsidRPr="00742A04">
        <w:t>igualdad de género</w:t>
      </w:r>
      <w:r w:rsidR="00545D1B" w:rsidRPr="00742A04">
        <w:t xml:space="preserve">, </w:t>
      </w:r>
      <w:r w:rsidR="00550986" w:rsidRPr="00742A04">
        <w:t>la no discriminación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50986" w:rsidRPr="00742A04">
        <w:t>la violencia contra la mujer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0986" w:rsidRPr="00742A04">
        <w:t>discursos</w:t>
      </w:r>
      <w:r w:rsidR="00545D1B" w:rsidRPr="00742A04">
        <w:t xml:space="preserve"> </w:t>
      </w:r>
      <w:r w:rsidR="00210DB1" w:rsidRPr="00742A04">
        <w:t>exclusivamente</w:t>
      </w:r>
      <w:r w:rsidR="00545D1B" w:rsidRPr="00742A04">
        <w:t xml:space="preserve"> </w:t>
      </w:r>
      <w:r w:rsidR="00550986" w:rsidRPr="00742A04">
        <w:t xml:space="preserve">dedicados </w:t>
      </w:r>
      <w:r w:rsidR="0030626A" w:rsidRPr="00742A04">
        <w:t>a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. </w:t>
      </w:r>
      <w:r w:rsidR="00210DB1" w:rsidRPr="00742A04">
        <w:t xml:space="preserve">Los </w:t>
      </w:r>
      <w:r w:rsidR="00B83FEB" w:rsidRPr="00742A04">
        <w:t>derecho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210DB1" w:rsidRPr="00742A04">
        <w:t>oportunidades</w:t>
      </w:r>
      <w:r w:rsidR="00545D1B" w:rsidRPr="00742A04">
        <w:t xml:space="preserve"> </w:t>
      </w:r>
      <w:r w:rsidR="00210DB1" w:rsidRPr="00742A04">
        <w:t>de las mujeres también han sido</w:t>
      </w:r>
      <w:r w:rsidR="00545D1B" w:rsidRPr="00742A04">
        <w:t xml:space="preserve"> </w:t>
      </w:r>
      <w:r w:rsidR="00210DB1" w:rsidRPr="00742A04">
        <w:t xml:space="preserve">un tema </w:t>
      </w:r>
      <w:r w:rsidR="0073499D" w:rsidRPr="00742A04">
        <w:t>re</w:t>
      </w:r>
      <w:r w:rsidR="0073499D">
        <w:t>currente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210DB1" w:rsidRPr="00742A04">
        <w:t>se han planteado otras cuestiones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210DB1" w:rsidRPr="00742A04">
        <w:t>los derechos civiles y políticos</w:t>
      </w:r>
      <w:r w:rsidR="00545D1B" w:rsidRPr="00742A04">
        <w:t xml:space="preserve">, </w:t>
      </w:r>
      <w:r w:rsidR="00210DB1" w:rsidRPr="00742A04">
        <w:t xml:space="preserve">los derechos </w:t>
      </w:r>
      <w:r w:rsidR="00545D1B" w:rsidRPr="00742A04">
        <w:t>econ</w:t>
      </w:r>
      <w:r w:rsidR="00210DB1" w:rsidRPr="00742A04">
        <w:t>ó</w:t>
      </w:r>
      <w:r w:rsidR="00545D1B" w:rsidRPr="00742A04">
        <w:t>mic</w:t>
      </w:r>
      <w:r w:rsidR="00210DB1" w:rsidRPr="00742A04">
        <w:t>os</w:t>
      </w:r>
      <w:r w:rsidR="00545D1B" w:rsidRPr="00742A04">
        <w:t>, social</w:t>
      </w:r>
      <w:r w:rsidR="00210DB1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cultural</w:t>
      </w:r>
      <w:r w:rsidR="00210DB1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C6742" w:rsidRPr="00742A04">
        <w:t>el derecho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educación</w:t>
      </w:r>
      <w:r w:rsidR="00545D1B" w:rsidRPr="00742A04">
        <w:t xml:space="preserve">. </w:t>
      </w:r>
      <w:r w:rsidR="004D313C" w:rsidRPr="00742A04">
        <w:t>La cuestión</w:t>
      </w:r>
      <w:r w:rsidR="00545D1B" w:rsidRPr="00742A04">
        <w:t xml:space="preserve"> </w:t>
      </w:r>
      <w:r w:rsidR="00242371" w:rsidRPr="00742A04">
        <w:t>de la igualdad</w:t>
      </w:r>
      <w:r w:rsidR="00A05847" w:rsidRPr="00742A04">
        <w:t xml:space="preserve"> de género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210DB1" w:rsidRPr="00742A04">
        <w:t>ha sido planteada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4B2748" w:rsidRPr="00742A04">
        <w:t>el Ministerio de Relaciones Exteriores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10DB1" w:rsidRPr="00742A04">
        <w:t>contextos bilaterales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210DB1" w:rsidRPr="00742A04">
        <w:t>los diálogos sobre d</w:t>
      </w:r>
      <w:r w:rsidR="00A05847" w:rsidRPr="00742A04">
        <w:t>erechos humanos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China </w:t>
      </w:r>
      <w:r w:rsidR="00877AA0" w:rsidRPr="00742A04">
        <w:t>y</w:t>
      </w:r>
      <w:r w:rsidR="00545D1B" w:rsidRPr="00742A04">
        <w:t xml:space="preserve"> Vietnam. </w:t>
      </w:r>
      <w:r w:rsidR="00210DB1" w:rsidRPr="00742A04">
        <w:t>En su calidad de</w:t>
      </w:r>
      <w:r w:rsidR="00C82671" w:rsidRPr="00742A04">
        <w:t xml:space="preserve"> ministerio</w:t>
      </w:r>
      <w:r w:rsidR="00545D1B" w:rsidRPr="00742A04">
        <w:t xml:space="preserve"> </w:t>
      </w:r>
      <w:r w:rsidR="00210DB1" w:rsidRPr="00742A04">
        <w:t>encarg</w:t>
      </w:r>
      <w:r w:rsidR="00210DB1" w:rsidRPr="00742A04">
        <w:t>a</w:t>
      </w:r>
      <w:r w:rsidR="00210DB1" w:rsidRPr="00742A04">
        <w:t>do de</w:t>
      </w:r>
      <w:r w:rsidR="00545D1B" w:rsidRPr="00742A04">
        <w:t xml:space="preserve"> coordina</w:t>
      </w:r>
      <w:r w:rsidR="00210DB1" w:rsidRPr="00742A04">
        <w:t>r las actividades en materia de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, </w:t>
      </w:r>
      <w:r w:rsidR="004A0730"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3E4840" w:rsidRPr="00742A04">
        <w:t xml:space="preserve">participa en numerosas actividades de </w:t>
      </w:r>
      <w:r w:rsidR="00545D1B" w:rsidRPr="00742A04">
        <w:t>coopera</w:t>
      </w:r>
      <w:r w:rsidR="00C14BFF" w:rsidRPr="00742A04">
        <w:t xml:space="preserve">ción </w:t>
      </w:r>
      <w:r w:rsidR="003E4840" w:rsidRPr="00742A04">
        <w:t xml:space="preserve">bilateral </w:t>
      </w:r>
      <w:r w:rsidR="00230F13" w:rsidRPr="00742A04">
        <w:t>a fin de promover</w:t>
      </w:r>
      <w:r w:rsidR="00545D1B" w:rsidRPr="00742A04">
        <w:t xml:space="preserve"> </w:t>
      </w:r>
      <w:r w:rsidR="003E4840" w:rsidRPr="00742A04">
        <w:t>intercambios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F0C8E" w:rsidRPr="00742A04">
        <w:t>experiencia</w:t>
      </w:r>
      <w:r w:rsidR="003E4840" w:rsidRPr="00742A04">
        <w:t>s</w:t>
      </w:r>
      <w:r w:rsidR="00545D1B" w:rsidRPr="00742A04">
        <w:t xml:space="preserve"> pertinent</w:t>
      </w:r>
      <w:r w:rsidR="003E4840" w:rsidRPr="00742A04">
        <w:t>es</w:t>
      </w:r>
      <w:r w:rsidR="00072AD7" w:rsidRPr="00742A04">
        <w:t xml:space="preserve"> </w:t>
      </w:r>
      <w:r w:rsidR="003E4840" w:rsidRPr="00742A04">
        <w:t>par</w:t>
      </w:r>
      <w:r w:rsidR="00072AD7" w:rsidRPr="00742A04">
        <w:t>a la</w:t>
      </w:r>
      <w:r w:rsidR="003E4840" w:rsidRPr="00742A04">
        <w:t xml:space="preserve">s </w:t>
      </w:r>
      <w:r w:rsidR="00552048" w:rsidRPr="00742A04">
        <w:t>política</w:t>
      </w:r>
      <w:r w:rsidR="003E4840" w:rsidRPr="00742A04">
        <w:t>s de igua</w:t>
      </w:r>
      <w:r w:rsidR="003E4840" w:rsidRPr="00742A04">
        <w:t>l</w:t>
      </w:r>
      <w:r w:rsidR="003E4840" w:rsidRPr="00742A04">
        <w:t>dad de género</w:t>
      </w:r>
      <w:r w:rsidR="00545D1B" w:rsidRPr="00742A04">
        <w:t>.</w:t>
      </w:r>
    </w:p>
    <w:p w:rsidR="00EE22AA" w:rsidRPr="00742A04" w:rsidRDefault="00EE22AA" w:rsidP="00EE22AA">
      <w:pPr>
        <w:pStyle w:val="H23"/>
        <w:spacing w:line="120" w:lineRule="exact"/>
        <w:ind w:left="1267"/>
        <w:rPr>
          <w:bCs/>
          <w:sz w:val="10"/>
        </w:rPr>
      </w:pPr>
    </w:p>
    <w:p w:rsidR="00545D1B" w:rsidRPr="00742A04" w:rsidRDefault="00B83FEB" w:rsidP="00550986">
      <w:pPr>
        <w:pStyle w:val="H23"/>
        <w:ind w:left="1267"/>
        <w:rPr>
          <w:bCs/>
        </w:rPr>
      </w:pPr>
      <w:r w:rsidRPr="00742A04">
        <w:rPr>
          <w:bCs/>
        </w:rPr>
        <w:t>Derechos económicos</w:t>
      </w:r>
    </w:p>
    <w:p w:rsidR="00EE22AA" w:rsidRPr="00742A04" w:rsidRDefault="00EE22AA" w:rsidP="00550986">
      <w:pPr>
        <w:pStyle w:val="SingleTxt"/>
        <w:keepNext/>
        <w:spacing w:after="0" w:line="120" w:lineRule="exact"/>
        <w:rPr>
          <w:sz w:val="10"/>
        </w:rPr>
      </w:pPr>
    </w:p>
    <w:p w:rsidR="00545D1B" w:rsidRPr="00742A04" w:rsidRDefault="004A0730" w:rsidP="001C6426">
      <w:pPr>
        <w:pStyle w:val="SingleTxt"/>
        <w:ind w:firstLine="475"/>
      </w:pPr>
      <w:r w:rsidRPr="00742A04">
        <w:t>En</w:t>
      </w:r>
      <w:r w:rsidR="00545D1B" w:rsidRPr="00742A04">
        <w:t xml:space="preserve"> 2005, </w:t>
      </w:r>
      <w:r w:rsidR="00EA26AB" w:rsidRPr="00742A04">
        <w:t>Noruega</w:t>
      </w:r>
      <w:r w:rsidR="00545D1B" w:rsidRPr="00742A04">
        <w:t xml:space="preserve">, </w:t>
      </w:r>
      <w:r w:rsidR="003E4840" w:rsidRPr="00742A04">
        <w:t>el Reino Unido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4840" w:rsidRPr="00742A04">
        <w:t>el Banco Mundial</w:t>
      </w:r>
      <w:r w:rsidR="00545D1B" w:rsidRPr="00742A04">
        <w:t xml:space="preserve"> </w:t>
      </w:r>
      <w:r w:rsidR="003E4840" w:rsidRPr="00742A04">
        <w:t>tomaron conjuntamente</w:t>
      </w:r>
      <w:r w:rsidR="00545D1B" w:rsidRPr="00742A04">
        <w:t xml:space="preserve"> </w:t>
      </w:r>
      <w:r w:rsidR="003E4840" w:rsidRPr="00742A04">
        <w:t>la iniciativa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3E4840" w:rsidRPr="00742A04">
        <w:t>organizar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Washington </w:t>
      </w:r>
      <w:r w:rsidR="003E4840" w:rsidRPr="00742A04">
        <w:t>una conferencia de alto nivel que estuvo</w:t>
      </w:r>
      <w:r w:rsidR="00024DBC" w:rsidRPr="00742A04">
        <w:t xml:space="preserve"> centrada</w:t>
      </w:r>
      <w:r w:rsidR="003E4840" w:rsidRPr="00742A04">
        <w:t xml:space="preserve"> e</w:t>
      </w:r>
      <w:r w:rsidR="00545D1B" w:rsidRPr="00742A04">
        <w:t xml:space="preserve">n </w:t>
      </w:r>
      <w:r w:rsidR="00F650FB" w:rsidRPr="00742A04">
        <w:t xml:space="preserve">el tercero </w:t>
      </w:r>
      <w:r w:rsidR="00C076F2" w:rsidRPr="00742A04">
        <w:t xml:space="preserve">de los </w:t>
      </w:r>
      <w:r w:rsidR="00F650FB" w:rsidRPr="00742A04">
        <w:t>objetivos de desarrollo del Milenio</w:t>
      </w:r>
      <w:r w:rsidR="00545D1B" w:rsidRPr="00742A04">
        <w:t xml:space="preserve"> (</w:t>
      </w:r>
      <w:r w:rsidR="00F650FB" w:rsidRPr="00742A04">
        <w:t xml:space="preserve">autonomía </w:t>
      </w:r>
      <w:r w:rsidR="00F43124" w:rsidRPr="00742A04">
        <w:t xml:space="preserve">de la </w:t>
      </w:r>
      <w:r w:rsidR="00F650FB" w:rsidRPr="00742A04">
        <w:t>mujer</w:t>
      </w:r>
      <w:r w:rsidR="00545D1B" w:rsidRPr="00742A04">
        <w:t xml:space="preserve">) </w:t>
      </w:r>
      <w:r w:rsidR="00877AA0" w:rsidRPr="00742A04">
        <w:t>y</w:t>
      </w:r>
      <w:r w:rsidR="00545D1B" w:rsidRPr="00742A04">
        <w:t xml:space="preserve"> </w:t>
      </w:r>
      <w:r w:rsidR="003E4840" w:rsidRPr="00742A04">
        <w:t>los derechos económicos</w:t>
      </w:r>
      <w:r w:rsidR="00545D1B" w:rsidRPr="00742A04">
        <w:t xml:space="preserve">. </w:t>
      </w:r>
      <w:r w:rsidR="003E4840" w:rsidRPr="00742A04">
        <w:t>En la</w:t>
      </w:r>
      <w:r w:rsidR="00545D1B" w:rsidRPr="00742A04">
        <w:t xml:space="preserve"> confer</w:t>
      </w:r>
      <w:r w:rsidR="00FF575F" w:rsidRPr="00742A04">
        <w:t>encia</w:t>
      </w:r>
      <w:r w:rsidR="003E4840" w:rsidRPr="00742A04">
        <w:t>,</w:t>
      </w:r>
      <w:r w:rsidR="00FF575F" w:rsidRPr="00742A04">
        <w:t xml:space="preserve"> </w:t>
      </w:r>
      <w:r w:rsidR="003E4840" w:rsidRPr="00742A04">
        <w:t>el Banco Mundial</w:t>
      </w:r>
      <w:r w:rsidR="00545D1B" w:rsidRPr="00742A04">
        <w:t xml:space="preserve">, </w:t>
      </w:r>
      <w:r w:rsidR="003E4840" w:rsidRPr="00742A04">
        <w:t>después de</w:t>
      </w:r>
      <w:r w:rsidR="00545D1B" w:rsidRPr="00742A04">
        <w:t xml:space="preserve"> </w:t>
      </w:r>
      <w:r w:rsidR="003E4840" w:rsidRPr="00742A04">
        <w:t>haber sido presionado</w:t>
      </w:r>
      <w:r w:rsidR="00545D1B" w:rsidRPr="00742A04">
        <w:t xml:space="preserve"> </w:t>
      </w:r>
      <w:r w:rsidR="003E4840" w:rsidRPr="00742A04">
        <w:t>acerca de</w:t>
      </w:r>
      <w:r w:rsidR="00545D1B" w:rsidRPr="00742A04">
        <w:t xml:space="preserve"> </w:t>
      </w:r>
      <w:r w:rsidR="003E4840" w:rsidRPr="00742A04">
        <w:t>sus</w:t>
      </w:r>
      <w:r w:rsidR="00502E16" w:rsidRPr="00742A04">
        <w:t xml:space="preserve"> esfuerzos</w:t>
      </w:r>
      <w:r w:rsidR="00545D1B" w:rsidRPr="00742A04">
        <w:t xml:space="preserve"> </w:t>
      </w:r>
      <w:r w:rsidR="003E4840" w:rsidRPr="00742A04">
        <w:t>en favor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, </w:t>
      </w:r>
      <w:r w:rsidR="003E4840" w:rsidRPr="00742A04">
        <w:t xml:space="preserve">decidió </w:t>
      </w:r>
      <w:r w:rsidR="005E6919" w:rsidRPr="00742A04">
        <w:t>el</w:t>
      </w:r>
      <w:r w:rsidR="005E6919" w:rsidRPr="00742A04">
        <w:t>a</w:t>
      </w:r>
      <w:r w:rsidR="005E6919" w:rsidRPr="00742A04">
        <w:t>borar</w:t>
      </w:r>
      <w:r w:rsidR="00545D1B" w:rsidRPr="00742A04">
        <w:t xml:space="preserve"> </w:t>
      </w:r>
      <w:r w:rsidR="003E4840" w:rsidRPr="00742A04">
        <w:t>un plan de acción</w:t>
      </w:r>
      <w:r w:rsidR="00545D1B" w:rsidRPr="00742A04">
        <w:t xml:space="preserve"> </w:t>
      </w:r>
      <w:r w:rsidR="003E4840" w:rsidRPr="00742A04">
        <w:t>en materia de</w:t>
      </w:r>
      <w:r w:rsidR="00545D1B" w:rsidRPr="00742A04">
        <w:t xml:space="preserve"> </w:t>
      </w:r>
      <w:r w:rsidR="003E4840" w:rsidRPr="00742A04">
        <w:t>iniciativas económicas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73499D" w:rsidRPr="00742A04">
        <w:t>en</w:t>
      </w:r>
      <w:r w:rsidR="0073499D">
        <w:t xml:space="preserve"> </w:t>
      </w:r>
      <w:r w:rsidR="0073499D" w:rsidRPr="00742A04">
        <w:t>un</w:t>
      </w:r>
      <w:r w:rsidR="003E4840" w:rsidRPr="00742A04">
        <w:t xml:space="preserve"> plazo de cien días</w:t>
      </w:r>
      <w:r w:rsidR="00545D1B" w:rsidRPr="00742A04">
        <w:t xml:space="preserve">. </w:t>
      </w:r>
      <w:r w:rsidR="00EA26AB" w:rsidRPr="00742A04">
        <w:t>Noruega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E4840" w:rsidRPr="00742A04">
        <w:t>se propone complementar este</w:t>
      </w:r>
      <w:r w:rsidR="00545D1B" w:rsidRPr="00742A04">
        <w:t xml:space="preserve"> </w:t>
      </w:r>
      <w:r w:rsidR="003E4840" w:rsidRPr="00742A04">
        <w:t xml:space="preserve">plan de </w:t>
      </w:r>
      <w:r w:rsidR="006B65CD" w:rsidRPr="00742A04">
        <w:t>acción</w:t>
      </w:r>
      <w:r w:rsidR="00545D1B" w:rsidRPr="00742A04">
        <w:t xml:space="preserve"> </w:t>
      </w:r>
      <w:r w:rsidR="003E4840" w:rsidRPr="00742A04">
        <w:t>aportando</w:t>
      </w:r>
      <w:r w:rsidR="00502E16" w:rsidRPr="00742A04">
        <w:t xml:space="preserve"> recursos</w:t>
      </w:r>
      <w:r w:rsidR="00545D1B" w:rsidRPr="00742A04">
        <w:t xml:space="preserve">. </w:t>
      </w:r>
      <w:r w:rsidR="003E4840" w:rsidRPr="00742A04">
        <w:t>El nuevo</w:t>
      </w:r>
      <w:r w:rsidR="00545D1B" w:rsidRPr="00742A04">
        <w:t xml:space="preserve"> plan </w:t>
      </w:r>
      <w:r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3E4840" w:rsidRPr="00742A04">
        <w:t>de Noruega en materia de</w:t>
      </w:r>
      <w:r w:rsidR="00545D1B" w:rsidRPr="00742A04">
        <w:t xml:space="preserve"> </w:t>
      </w:r>
      <w:r w:rsidR="00A836A1" w:rsidRPr="00742A04">
        <w:t>género</w:t>
      </w:r>
      <w:r w:rsidR="002E5047" w:rsidRPr="00742A04">
        <w:t xml:space="preserve"> e i</w:t>
      </w:r>
      <w:r w:rsidR="00A05847" w:rsidRPr="00742A04">
        <w:t>gualdad de género</w:t>
      </w:r>
      <w:r w:rsidR="00545D1B" w:rsidRPr="00742A04">
        <w:t xml:space="preserve"> </w:t>
      </w:r>
      <w:r w:rsidR="00C07ED9" w:rsidRPr="00742A04">
        <w:t>en la cooperación</w:t>
      </w:r>
      <w:r w:rsidR="00CD2FF0" w:rsidRPr="00742A04">
        <w:t xml:space="preserve"> para el desarrollo</w:t>
      </w:r>
      <w:r w:rsidR="00C14BFF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E4840" w:rsidRPr="00742A04">
        <w:t xml:space="preserve">estará </w:t>
      </w:r>
      <w:r w:rsidR="005E6919" w:rsidRPr="00742A04">
        <w:t>centra</w:t>
      </w:r>
      <w:r w:rsidR="003E4840" w:rsidRPr="00742A04">
        <w:t>do</w:t>
      </w:r>
      <w:r w:rsidR="005E6919" w:rsidRPr="00742A04">
        <w:t xml:space="preserve"> en</w:t>
      </w:r>
      <w:r w:rsidR="00545D1B" w:rsidRPr="00742A04">
        <w:t xml:space="preserve"> </w:t>
      </w:r>
      <w:r w:rsidR="003E4840" w:rsidRPr="00742A04">
        <w:t>los derechos económicos</w:t>
      </w:r>
      <w:r w:rsidR="00545D1B" w:rsidRPr="00742A04">
        <w:t xml:space="preserve">, </w:t>
      </w:r>
      <w:r w:rsidR="003E4840" w:rsidRPr="00742A04">
        <w:t>en particular</w:t>
      </w:r>
      <w:r w:rsidR="00545D1B" w:rsidRPr="00742A04">
        <w:t xml:space="preserve"> </w:t>
      </w:r>
      <w:r w:rsidR="001C6742" w:rsidRPr="00742A04">
        <w:t xml:space="preserve">el derecho </w:t>
      </w:r>
      <w:r w:rsidR="0030626A" w:rsidRPr="00742A04">
        <w:t>a</w:t>
      </w:r>
      <w:r w:rsidR="00545D1B" w:rsidRPr="00742A04">
        <w:t xml:space="preserve"> </w:t>
      </w:r>
      <w:r w:rsidR="003E4840" w:rsidRPr="00742A04">
        <w:t>poseer y heredar tierras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4840" w:rsidRPr="00742A04">
        <w:t>otros bienes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3E4840" w:rsidRPr="00742A04">
        <w:t>vinculará este aspecto con</w:t>
      </w:r>
      <w:r w:rsidR="00545D1B" w:rsidRPr="00742A04">
        <w:t xml:space="preserve"> </w:t>
      </w:r>
      <w:r w:rsidR="003E4840" w:rsidRPr="00742A04">
        <w:t>los derechos profesionales</w:t>
      </w:r>
      <w:r w:rsidR="00545D1B" w:rsidRPr="00742A04">
        <w:t>.</w:t>
      </w:r>
    </w:p>
    <w:p w:rsidR="00545D1B" w:rsidRPr="00742A04" w:rsidRDefault="00EA26AB" w:rsidP="001C6426">
      <w:pPr>
        <w:pStyle w:val="SingleTxt"/>
        <w:ind w:firstLine="475"/>
      </w:pPr>
      <w:r w:rsidRPr="00742A04">
        <w:t>Noruega</w:t>
      </w:r>
      <w:r w:rsidR="00545D1B" w:rsidRPr="00742A04">
        <w:t xml:space="preserve"> </w:t>
      </w:r>
      <w:r w:rsidR="003E4840" w:rsidRPr="00742A04">
        <w:t>presta un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3E4840" w:rsidRPr="00742A04">
        <w:t xml:space="preserve">sustancial </w:t>
      </w:r>
      <w:r w:rsidR="00F43124" w:rsidRPr="00742A04">
        <w:t>para</w:t>
      </w:r>
      <w:r w:rsidR="00545D1B" w:rsidRPr="00742A04">
        <w:t xml:space="preserve"> </w:t>
      </w:r>
      <w:r w:rsidR="003E4840" w:rsidRPr="00742A04">
        <w:t xml:space="preserve">el </w:t>
      </w:r>
      <w:r w:rsidR="00F650FB" w:rsidRPr="00742A04">
        <w:t>Fondo Fiduciario para la Incorp</w:t>
      </w:r>
      <w:r w:rsidR="00F650FB" w:rsidRPr="00742A04">
        <w:t>o</w:t>
      </w:r>
      <w:r w:rsidR="00F650FB" w:rsidRPr="00742A04">
        <w:t xml:space="preserve">ración </w:t>
      </w:r>
      <w:r w:rsidR="00F43124" w:rsidRPr="00742A04">
        <w:t xml:space="preserve">de la </w:t>
      </w:r>
      <w:r w:rsidR="00F650FB" w:rsidRPr="00742A04">
        <w:t>Cuestión de Género</w:t>
      </w:r>
      <w:r w:rsidR="00545D1B" w:rsidRPr="00742A04">
        <w:t xml:space="preserve"> </w:t>
      </w:r>
      <w:r w:rsidR="003E4840" w:rsidRPr="00742A04">
        <w:t xml:space="preserve">del Banco Mundial y los bancos regionales, </w:t>
      </w:r>
      <w:r w:rsidR="00877AA0" w:rsidRPr="00742A04">
        <w:t>y</w:t>
      </w:r>
      <w:r w:rsidR="00545D1B" w:rsidRPr="00742A04">
        <w:t xml:space="preserve"> co</w:t>
      </w:r>
      <w:r w:rsidR="00545D1B" w:rsidRPr="00742A04">
        <w:t>n</w:t>
      </w:r>
      <w:r w:rsidR="00545D1B" w:rsidRPr="00742A04">
        <w:t>tinu</w:t>
      </w:r>
      <w:r w:rsidR="003E4840" w:rsidRPr="00742A04">
        <w:t>ará prestándolo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Pr="00742A04">
        <w:t>Noruega</w:t>
      </w:r>
      <w:r w:rsidR="00545D1B" w:rsidRPr="00742A04">
        <w:t xml:space="preserve"> </w:t>
      </w:r>
      <w:r w:rsidR="003E4840" w:rsidRPr="00742A04">
        <w:t>trabaja en estrecho contacto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C341F" w:rsidRPr="00742A04">
        <w:t>la Organiz</w:t>
      </w:r>
      <w:r w:rsidR="007C341F" w:rsidRPr="00742A04">
        <w:t>a</w:t>
      </w:r>
      <w:r w:rsidR="007C341F" w:rsidRPr="00742A04">
        <w:t>ción Internacional del Trabajo</w:t>
      </w:r>
      <w:r w:rsidR="00C14BFF" w:rsidRPr="00742A04">
        <w:t xml:space="preserve"> </w:t>
      </w:r>
      <w:r w:rsidR="003E4840" w:rsidRPr="00742A04">
        <w:t xml:space="preserve">en la </w:t>
      </w:r>
      <w:r w:rsidR="00242371" w:rsidRPr="00742A04">
        <w:t>promo</w:t>
      </w:r>
      <w:r w:rsidR="003E4840" w:rsidRPr="00742A04">
        <w:t xml:space="preserve">ción </w:t>
      </w:r>
      <w:r w:rsidR="00C076F2" w:rsidRPr="00742A04">
        <w:t xml:space="preserve">de los </w:t>
      </w:r>
      <w:r w:rsidR="003E4840" w:rsidRPr="00742A04">
        <w:t>derechos profesionales</w:t>
      </w:r>
      <w:r w:rsidR="00545D1B" w:rsidRPr="00742A04">
        <w:t xml:space="preserve">, </w:t>
      </w:r>
      <w:r w:rsidR="0030626A" w:rsidRPr="00742A04">
        <w:t>ta</w:t>
      </w:r>
      <w:r w:rsidR="0030626A" w:rsidRPr="00742A04">
        <w:t>m</w:t>
      </w:r>
      <w:r w:rsidR="0030626A" w:rsidRPr="00742A04">
        <w:t>bién</w:t>
      </w:r>
      <w:r w:rsidR="009A1B99">
        <w:t xml:space="preserve"> desde</w:t>
      </w:r>
      <w:r w:rsidR="00545D1B" w:rsidRPr="00742A04">
        <w:t xml:space="preserve"> </w:t>
      </w:r>
      <w:r w:rsidR="003E4840" w:rsidRPr="00742A04">
        <w:t>un</w:t>
      </w:r>
      <w:r w:rsidR="00545D1B" w:rsidRPr="00742A04">
        <w:t xml:space="preserve">a </w:t>
      </w:r>
      <w:r w:rsidR="00587443" w:rsidRPr="00742A04">
        <w:t>perspectiva de género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3E4840" w:rsidRPr="00742A04">
        <w:t>en el futuro</w:t>
      </w:r>
      <w:r w:rsidR="00545D1B" w:rsidRPr="00742A04">
        <w:t xml:space="preserve"> </w:t>
      </w:r>
      <w:r w:rsidR="003E4840" w:rsidRPr="00742A04">
        <w:t>prestará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3E4840" w:rsidRPr="00742A04">
        <w:t>al Fondo Asociativo para la Igualdad de Género de la OIT</w:t>
      </w:r>
      <w:r w:rsidR="00545D1B" w:rsidRPr="00742A04">
        <w:t>.</w:t>
      </w:r>
    </w:p>
    <w:p w:rsidR="00EE22AA" w:rsidRPr="00742A04" w:rsidRDefault="00EE22AA" w:rsidP="00EE22AA">
      <w:pPr>
        <w:pStyle w:val="H23"/>
        <w:spacing w:line="120" w:lineRule="exact"/>
        <w:ind w:left="1267"/>
        <w:rPr>
          <w:bCs/>
          <w:sz w:val="10"/>
        </w:rPr>
      </w:pPr>
    </w:p>
    <w:p w:rsidR="00545D1B" w:rsidRPr="00742A04" w:rsidRDefault="00B83FEB" w:rsidP="00EE22AA">
      <w:pPr>
        <w:pStyle w:val="H23"/>
        <w:ind w:left="1267"/>
        <w:rPr>
          <w:bCs/>
        </w:rPr>
      </w:pPr>
      <w:r w:rsidRPr="00742A04">
        <w:rPr>
          <w:bCs/>
        </w:rPr>
        <w:t>Salud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CF2F77" w:rsidRPr="00742A04">
        <w:rPr>
          <w:bCs/>
        </w:rPr>
        <w:t>derechos reproductivos</w:t>
      </w:r>
    </w:p>
    <w:p w:rsidR="00EE22AA" w:rsidRPr="00742A04" w:rsidRDefault="00EE22AA" w:rsidP="00EE22AA">
      <w:pPr>
        <w:pStyle w:val="SingleTxt"/>
        <w:spacing w:after="0" w:line="120" w:lineRule="exact"/>
        <w:rPr>
          <w:sz w:val="10"/>
        </w:rPr>
      </w:pPr>
    </w:p>
    <w:p w:rsidR="00545D1B" w:rsidRPr="00742A04" w:rsidRDefault="00CF2F77" w:rsidP="001C6426">
      <w:pPr>
        <w:pStyle w:val="SingleTxt"/>
        <w:ind w:firstLine="475"/>
      </w:pPr>
      <w:r w:rsidRPr="00742A04">
        <w:t>Es</w:t>
      </w:r>
      <w:r w:rsidR="00545D1B" w:rsidRPr="00742A04">
        <w:t xml:space="preserve"> </w:t>
      </w:r>
      <w:r w:rsidRPr="00742A04">
        <w:t>particularmente importante</w:t>
      </w:r>
      <w:r w:rsidR="00545D1B" w:rsidRPr="00742A04">
        <w:t xml:space="preserve"> </w:t>
      </w:r>
      <w:r w:rsidRPr="00742A04">
        <w:t>asegurar una perspectiva</w:t>
      </w:r>
      <w:r w:rsidR="0058744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2E16" w:rsidRPr="00742A04">
        <w:t>los e</w:t>
      </w:r>
      <w:r w:rsidR="00502E16" w:rsidRPr="00742A04">
        <w:t>s</w:t>
      </w:r>
      <w:r w:rsidR="00502E16" w:rsidRPr="00742A04">
        <w:t>fuerzos</w:t>
      </w:r>
      <w:r w:rsidR="00545D1B" w:rsidRPr="00742A04">
        <w:t xml:space="preserve"> </w:t>
      </w:r>
      <w:r w:rsidR="007C341F" w:rsidRPr="00742A04">
        <w:t xml:space="preserve">de lucha contra </w:t>
      </w:r>
      <w:r w:rsidRPr="00742A04">
        <w:t>la difusión</w:t>
      </w:r>
      <w:r w:rsidR="00545D1B" w:rsidRPr="00742A04">
        <w:t xml:space="preserve"> </w:t>
      </w:r>
      <w:r w:rsidR="00F650FB" w:rsidRPr="00742A04">
        <w:t>del VIH/SIDA</w:t>
      </w:r>
      <w:r w:rsidR="00545D1B" w:rsidRPr="00742A04">
        <w:t xml:space="preserve">. </w:t>
      </w:r>
      <w:r w:rsidRPr="00742A04">
        <w:t>Un p</w:t>
      </w:r>
      <w:r w:rsidR="005909B9" w:rsidRPr="00742A04">
        <w:t>orcentaje</w:t>
      </w:r>
      <w:r w:rsidR="00545D1B" w:rsidRPr="00742A04">
        <w:t xml:space="preserve"> </w:t>
      </w:r>
      <w:r w:rsidRPr="00742A04">
        <w:t>cada vez mayor de las personas</w:t>
      </w:r>
      <w:r w:rsidR="00545D1B" w:rsidRPr="00742A04">
        <w:t xml:space="preserve"> infect</w:t>
      </w:r>
      <w:r w:rsidRPr="00742A04">
        <w:t>adas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Pr="00742A04">
        <w:t xml:space="preserve">a las </w:t>
      </w:r>
      <w:r w:rsidR="003E5775" w:rsidRPr="00742A04">
        <w:t>que</w:t>
      </w:r>
      <w:r w:rsidR="00545D1B" w:rsidRPr="00742A04">
        <w:t xml:space="preserve"> </w:t>
      </w:r>
      <w:r w:rsidRPr="00742A04">
        <w:t>se debe dar la</w:t>
      </w:r>
      <w:r w:rsidR="00545D1B" w:rsidRPr="00742A04">
        <w:t xml:space="preserve"> </w:t>
      </w:r>
      <w:r w:rsidR="002F3238" w:rsidRPr="00742A04">
        <w:t>oport</w:t>
      </w:r>
      <w:r w:rsidR="00545D1B" w:rsidRPr="00742A04">
        <w:t>un</w:t>
      </w:r>
      <w:r w:rsidR="00502E16" w:rsidRPr="00742A04">
        <w:t>idad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influ</w:t>
      </w:r>
      <w:r w:rsidRPr="00742A04">
        <w:t xml:space="preserve">ir </w:t>
      </w:r>
      <w:r w:rsidR="00FF575F" w:rsidRPr="00742A04">
        <w:t>en</w:t>
      </w:r>
      <w:r w:rsidRPr="00742A04">
        <w:t xml:space="preserve"> su propia</w:t>
      </w:r>
      <w:r w:rsidR="00545D1B" w:rsidRPr="00742A04">
        <w:t xml:space="preserve"> situa</w:t>
      </w:r>
      <w:r w:rsidR="00C14BFF" w:rsidRPr="00742A04">
        <w:t xml:space="preserve">ción </w:t>
      </w:r>
      <w:r w:rsidRPr="00742A04">
        <w:t>de vida de modo que puedan</w:t>
      </w:r>
      <w:r w:rsidR="00545D1B" w:rsidRPr="00742A04">
        <w:t xml:space="preserve"> </w:t>
      </w:r>
      <w:r w:rsidRPr="00742A04">
        <w:t>protegerse a sí mismas</w:t>
      </w:r>
      <w:r w:rsidR="00545D1B" w:rsidRPr="00742A04">
        <w:t xml:space="preserve">. </w:t>
      </w:r>
      <w:r w:rsidRPr="00742A04">
        <w:t>Des</w:t>
      </w:r>
      <w:r w:rsidR="00B34971" w:rsidRPr="00742A04">
        <w:t>de</w:t>
      </w:r>
      <w:r w:rsidR="00545D1B" w:rsidRPr="00742A04">
        <w:t xml:space="preserve"> 2002, </w:t>
      </w:r>
      <w:r w:rsidR="00EA26AB" w:rsidRPr="00742A04">
        <w:t>Noruega</w:t>
      </w:r>
      <w:r w:rsidR="00545D1B" w:rsidRPr="00742A04">
        <w:t xml:space="preserve"> ha </w:t>
      </w:r>
      <w:r w:rsidR="00935A90" w:rsidRPr="00742A04">
        <w:t>apoy</w:t>
      </w:r>
      <w:r w:rsidRPr="00742A04">
        <w:t>ado una</w:t>
      </w:r>
      <w:r w:rsidR="00545D1B" w:rsidRPr="00742A04">
        <w:t xml:space="preserve"> </w:t>
      </w:r>
      <w:r w:rsidR="00614C7D" w:rsidRPr="00742A04">
        <w:t>iniciativa</w:t>
      </w:r>
      <w:r w:rsidR="00545D1B" w:rsidRPr="00742A04">
        <w:t xml:space="preserve"> </w:t>
      </w:r>
      <w:r w:rsidRPr="00742A04">
        <w:t>encaminada a desarrollar</w:t>
      </w:r>
      <w:r w:rsidR="00545D1B" w:rsidRPr="00742A04">
        <w:t xml:space="preserve"> </w:t>
      </w:r>
      <w:r w:rsidRPr="00742A04">
        <w:t>productos</w:t>
      </w:r>
      <w:r w:rsidR="00545D1B" w:rsidRPr="00742A04">
        <w:t xml:space="preserve"> (</w:t>
      </w:r>
      <w:r w:rsidRPr="00742A04">
        <w:t>m</w:t>
      </w:r>
      <w:r w:rsidRPr="00742A04">
        <w:t>i</w:t>
      </w:r>
      <w:r w:rsidRPr="00742A04">
        <w:t>crobicidas</w:t>
      </w:r>
      <w:r w:rsidR="00545D1B" w:rsidRPr="00742A04">
        <w:t xml:space="preserve">) </w:t>
      </w:r>
      <w:r w:rsidRPr="00742A04">
        <w:t>que brindan</w:t>
      </w:r>
      <w:r w:rsidR="00545D1B" w:rsidRPr="00742A04">
        <w:t xml:space="preserve"> protec</w:t>
      </w:r>
      <w:r w:rsidR="00C14BFF" w:rsidRPr="00742A04">
        <w:t xml:space="preserve">ción </w:t>
      </w:r>
      <w:r w:rsidR="00F650FB" w:rsidRPr="00742A04">
        <w:t>contra</w:t>
      </w:r>
      <w:r w:rsidR="00545D1B" w:rsidRPr="00742A04">
        <w:t xml:space="preserve"> </w:t>
      </w:r>
      <w:r w:rsidRPr="00742A04">
        <w:t>la infección con el VIH</w:t>
      </w:r>
      <w:r w:rsidR="00C14BFF" w:rsidRPr="00742A04">
        <w:t xml:space="preserve"> </w:t>
      </w:r>
      <w:r w:rsidR="00024DBC" w:rsidRPr="00742A04">
        <w:t>y que</w:t>
      </w:r>
      <w:r w:rsidR="00545D1B" w:rsidRPr="00742A04">
        <w:t xml:space="preserve"> </w:t>
      </w:r>
      <w:r w:rsidRPr="00742A04">
        <w:t>pueden ser</w:t>
      </w:r>
      <w:r w:rsidR="00545D1B" w:rsidRPr="00742A04">
        <w:t xml:space="preserve"> </w:t>
      </w:r>
      <w:r w:rsidRPr="00742A04">
        <w:t>por las propias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EA26AB" w:rsidRPr="00742A04">
        <w:t>Noruega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Pr="00742A04">
        <w:t xml:space="preserve">ha </w:t>
      </w:r>
      <w:r w:rsidR="00935A90" w:rsidRPr="00742A04">
        <w:t>apoy</w:t>
      </w:r>
      <w:r w:rsidRPr="00742A04">
        <w:t>ado</w:t>
      </w:r>
      <w:r w:rsidR="00545D1B" w:rsidRPr="00742A04">
        <w:t xml:space="preserve"> </w:t>
      </w:r>
      <w:r w:rsidR="00F650FB" w:rsidRPr="00742A04">
        <w:t>la Iniciativa internaci</w:t>
      </w:r>
      <w:r w:rsidR="00F650FB" w:rsidRPr="00742A04">
        <w:t>o</w:t>
      </w:r>
      <w:r w:rsidR="00F650FB" w:rsidRPr="00742A04">
        <w:t>nal en pro de una vacuna contra el SIDA</w:t>
      </w:r>
      <w:r w:rsidR="00545D1B" w:rsidRPr="00742A04">
        <w:t xml:space="preserve">. </w:t>
      </w:r>
      <w:r w:rsidRPr="00742A04">
        <w:t>Se asigna una elevada</w:t>
      </w:r>
      <w:r w:rsidR="00545D1B" w:rsidRPr="00742A04">
        <w:t xml:space="preserve"> prior</w:t>
      </w:r>
      <w:r w:rsidR="00502E16" w:rsidRPr="00742A04">
        <w:t>idad</w:t>
      </w:r>
      <w:r w:rsidR="00545D1B" w:rsidRPr="00742A04">
        <w:t xml:space="preserve"> </w:t>
      </w:r>
      <w:r w:rsidR="00A80F26">
        <w:t>a la</w:t>
      </w:r>
      <w:r w:rsidR="001E30D6" w:rsidRPr="00742A04">
        <w:t xml:space="preserve"> </w:t>
      </w:r>
      <w:r w:rsidR="002F64CE" w:rsidRPr="00742A04">
        <w:t xml:space="preserve">Alianza Mundial para el Fomento </w:t>
      </w:r>
      <w:r w:rsidR="00F43124" w:rsidRPr="00742A04">
        <w:t xml:space="preserve">de la </w:t>
      </w:r>
      <w:r w:rsidR="002F64CE" w:rsidRPr="00742A04">
        <w:t>Vacunación y la Inmunización</w:t>
      </w:r>
      <w:r w:rsidR="00C14BFF" w:rsidRPr="00742A04">
        <w:t xml:space="preserve"> </w:t>
      </w:r>
      <w:r w:rsidR="00545D1B" w:rsidRPr="00742A04">
        <w:t xml:space="preserve">(GAVI) </w:t>
      </w:r>
      <w:r w:rsidR="00230F13" w:rsidRPr="00742A04">
        <w:t>con miras a</w:t>
      </w:r>
      <w:r w:rsidR="00545D1B" w:rsidRPr="00742A04">
        <w:t xml:space="preserve"> </w:t>
      </w:r>
      <w:r w:rsidR="0073499D" w:rsidRPr="00742A04">
        <w:t>reducir</w:t>
      </w:r>
      <w:r w:rsidR="00545D1B" w:rsidRPr="00742A04">
        <w:t xml:space="preserve"> </w:t>
      </w:r>
      <w:r w:rsidR="002F64CE" w:rsidRPr="00742A04">
        <w:t>la mortalidad i</w:t>
      </w:r>
      <w:r w:rsidR="002F64CE" w:rsidRPr="00742A04">
        <w:t>n</w:t>
      </w:r>
      <w:r w:rsidR="002F64CE" w:rsidRPr="00742A04">
        <w:t>fantil</w:t>
      </w:r>
      <w:r w:rsidR="00545D1B" w:rsidRPr="00742A04">
        <w:t>.</w:t>
      </w:r>
    </w:p>
    <w:p w:rsidR="00545D1B" w:rsidRPr="00742A04" w:rsidRDefault="001633F4" w:rsidP="001C6426">
      <w:pPr>
        <w:pStyle w:val="SingleTxt"/>
        <w:ind w:firstLine="475"/>
      </w:pPr>
      <w:r w:rsidRPr="00742A04">
        <w:t>La política de Noruega</w:t>
      </w:r>
      <w:r w:rsidR="00545D1B" w:rsidRPr="00742A04">
        <w:t xml:space="preserve"> </w:t>
      </w:r>
      <w:r w:rsidR="0073499D">
        <w:t>sobre</w:t>
      </w:r>
      <w:r w:rsidR="00545D1B" w:rsidRPr="00742A04">
        <w:t xml:space="preserve"> </w:t>
      </w:r>
      <w:r w:rsidR="00CF2F77" w:rsidRPr="00742A04">
        <w:t>el derecho de las mujeres</w:t>
      </w:r>
      <w:r w:rsidR="00545D1B" w:rsidRPr="00742A04">
        <w:t xml:space="preserve"> </w:t>
      </w:r>
      <w:r w:rsidR="0030626A" w:rsidRPr="00742A04">
        <w:t>a</w:t>
      </w:r>
      <w:r w:rsidR="00CF2F77" w:rsidRPr="00742A04">
        <w:t xml:space="preserve"> un</w:t>
      </w:r>
      <w:r w:rsidR="00545D1B" w:rsidRPr="00742A04">
        <w:t xml:space="preserve"> </w:t>
      </w:r>
      <w:r w:rsidR="00CF2F77" w:rsidRPr="00742A04">
        <w:t>aborto seguro y</w:t>
      </w:r>
      <w:r w:rsidR="00545D1B" w:rsidRPr="00742A04">
        <w:t xml:space="preserve"> </w:t>
      </w:r>
      <w:r w:rsidR="00CF2F77" w:rsidRPr="00742A04">
        <w:t>autodeterminado</w:t>
      </w:r>
      <w:r w:rsidR="00545D1B" w:rsidRPr="00742A04">
        <w:t xml:space="preserve"> </w:t>
      </w:r>
      <w:r w:rsidR="00CF2F77" w:rsidRPr="00742A04">
        <w:t>sigue incambiada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CF2F77" w:rsidRPr="00742A04">
        <w:t>plataforma política</w:t>
      </w:r>
      <w:r w:rsidR="00545D1B" w:rsidRPr="00742A04">
        <w:t xml:space="preserve">, </w:t>
      </w:r>
      <w:r w:rsidR="008F0C8E" w:rsidRPr="00742A04">
        <w:t>el Gobierno</w:t>
      </w:r>
      <w:r w:rsidR="00545D1B" w:rsidRPr="00742A04">
        <w:t xml:space="preserve"> </w:t>
      </w:r>
      <w:r w:rsidR="00CF2F77" w:rsidRPr="00742A04">
        <w:t>se co</w:t>
      </w:r>
      <w:r w:rsidR="00CF2F77" w:rsidRPr="00742A04">
        <w:t>m</w:t>
      </w:r>
      <w:r w:rsidR="00CF2F77" w:rsidRPr="00742A04">
        <w:t>prometió a trabajar</w:t>
      </w:r>
      <w:r w:rsidR="00545D1B" w:rsidRPr="00742A04">
        <w:t xml:space="preserve"> </w:t>
      </w:r>
      <w:r w:rsidR="00CF2F77" w:rsidRPr="00742A04">
        <w:t>a nivel internacional</w:t>
      </w:r>
      <w:r w:rsidR="00545D1B" w:rsidRPr="00742A04">
        <w:t xml:space="preserve"> </w:t>
      </w:r>
      <w:r w:rsidR="00CF2F77" w:rsidRPr="00742A04">
        <w:t>para despenalizar</w:t>
      </w:r>
      <w:r w:rsidR="00545D1B" w:rsidRPr="00742A04">
        <w:t xml:space="preserve"> </w:t>
      </w:r>
      <w:r w:rsidR="00CB2022" w:rsidRPr="00742A04">
        <w:t>el aborto</w:t>
      </w:r>
      <w:r w:rsidR="00C27C42" w:rsidRPr="00742A04">
        <w:t>.</w:t>
      </w:r>
      <w:r w:rsidR="00545D1B" w:rsidRPr="00742A04">
        <w:t xml:space="preserve"> </w:t>
      </w:r>
      <w:r w:rsidR="00CF2F77" w:rsidRPr="00742A04">
        <w:t>P</w:t>
      </w:r>
      <w:r w:rsidR="00F05119" w:rsidRPr="00742A04">
        <w:t>or consiguie</w:t>
      </w:r>
      <w:r w:rsidR="00F05119" w:rsidRPr="00742A04">
        <w:t>n</w:t>
      </w:r>
      <w:r w:rsidR="00F05119" w:rsidRPr="00742A04">
        <w:t>te</w:t>
      </w:r>
      <w:r w:rsidR="00CF2F77" w:rsidRPr="00742A04">
        <w:t>,</w:t>
      </w:r>
      <w:r w:rsidR="00545D1B" w:rsidRPr="00742A04">
        <w:t xml:space="preserve"> </w:t>
      </w:r>
      <w:r w:rsidR="00CF2F77" w:rsidRPr="00742A04">
        <w:t>Noruega apoyará</w:t>
      </w:r>
      <w:r w:rsidR="00545D1B" w:rsidRPr="00742A04">
        <w:t xml:space="preserve"> </w:t>
      </w:r>
      <w:r w:rsidR="006B65CD" w:rsidRPr="00742A04">
        <w:t>el fondo internacional para el aborto seguro</w:t>
      </w:r>
      <w:r w:rsidR="00545D1B" w:rsidRPr="00742A04">
        <w:t xml:space="preserve"> establ</w:t>
      </w:r>
      <w:r w:rsidR="006B65CD" w:rsidRPr="00742A04">
        <w:t>ecido</w:t>
      </w:r>
      <w:r w:rsidR="00545D1B" w:rsidRPr="00742A04">
        <w:t xml:space="preserve"> </w:t>
      </w:r>
      <w:r w:rsidR="00614C7D" w:rsidRPr="00742A04">
        <w:t xml:space="preserve">por la </w:t>
      </w:r>
      <w:r w:rsidR="00040B78" w:rsidRPr="00742A04">
        <w:t xml:space="preserve">Federación Internacional de Planificación </w:t>
      </w:r>
      <w:r w:rsidR="00F43124" w:rsidRPr="00742A04">
        <w:t xml:space="preserve">de la </w:t>
      </w:r>
      <w:r w:rsidR="00040B78" w:rsidRPr="00742A04">
        <w:t>Familia</w:t>
      </w:r>
      <w:r w:rsidR="00545D1B" w:rsidRPr="00742A04">
        <w:t xml:space="preserve">. </w:t>
      </w:r>
      <w:r w:rsidR="006B65CD" w:rsidRPr="00742A04">
        <w:t>La finalidad</w:t>
      </w:r>
      <w:r w:rsidR="00545D1B" w:rsidRPr="00742A04">
        <w:t xml:space="preserve"> </w:t>
      </w:r>
      <w:r w:rsidR="006B65CD" w:rsidRPr="00742A04">
        <w:t>del fondo</w:t>
      </w:r>
      <w:r w:rsidR="00545D1B" w:rsidRPr="00742A04">
        <w:t xml:space="preserve"> </w:t>
      </w:r>
      <w:r w:rsidR="006B65CD" w:rsidRPr="00742A04">
        <w:t>co</w:t>
      </w:r>
      <w:r w:rsidR="006B65CD" w:rsidRPr="00742A04">
        <w:t>n</w:t>
      </w:r>
      <w:r w:rsidR="006B65CD" w:rsidRPr="00742A04">
        <w:t>siste en prestar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F43124" w:rsidRPr="00742A04">
        <w:t>a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s </w:t>
      </w:r>
      <w:r w:rsidR="006B65CD" w:rsidRPr="00742A04">
        <w:t>que han perdido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6B65CD" w:rsidRPr="00742A04">
        <w:t>financiación</w:t>
      </w:r>
      <w:r w:rsidR="00545D1B" w:rsidRPr="00742A04">
        <w:t xml:space="preserve"> </w:t>
      </w:r>
      <w:r w:rsidR="006B65CD" w:rsidRPr="00742A04">
        <w:t>como resultado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B65CD" w:rsidRPr="00742A04">
        <w:t>las políticas antiabortivas</w:t>
      </w:r>
      <w:r w:rsidR="00545D1B" w:rsidRPr="00742A04">
        <w:t xml:space="preserve"> </w:t>
      </w:r>
      <w:r w:rsidR="006B65CD" w:rsidRPr="00742A04">
        <w:t>de otros países</w:t>
      </w:r>
      <w:r w:rsidR="00545D1B" w:rsidRPr="00742A04">
        <w:t>.</w:t>
      </w:r>
    </w:p>
    <w:p w:rsidR="00545D1B" w:rsidRPr="00742A04" w:rsidRDefault="006B65CD" w:rsidP="002C4922">
      <w:pPr>
        <w:pStyle w:val="SingleTxt"/>
        <w:rPr>
          <w:i/>
        </w:rPr>
      </w:pPr>
      <w:r w:rsidRPr="00742A04">
        <w:rPr>
          <w:i/>
        </w:rPr>
        <w:t>Aplic</w:t>
      </w:r>
      <w:r w:rsidR="00545D1B" w:rsidRPr="00742A04">
        <w:rPr>
          <w:i/>
        </w:rPr>
        <w:t>a</w:t>
      </w:r>
      <w:r w:rsidR="00C14BFF" w:rsidRPr="00742A04">
        <w:rPr>
          <w:i/>
        </w:rPr>
        <w:t xml:space="preserve">ción </w:t>
      </w:r>
      <w:r w:rsidR="00F43124" w:rsidRPr="00742A04">
        <w:rPr>
          <w:i/>
        </w:rPr>
        <w:t xml:space="preserve">de la </w:t>
      </w:r>
      <w:r w:rsidR="00040B78" w:rsidRPr="00742A04">
        <w:rPr>
          <w:i/>
        </w:rPr>
        <w:t>resolución 1325 (2000) del Consejo de Seguridad</w:t>
      </w:r>
    </w:p>
    <w:p w:rsidR="00545D1B" w:rsidRPr="00742A04" w:rsidRDefault="006B65CD" w:rsidP="001633F4">
      <w:pPr>
        <w:pStyle w:val="SingleTxt"/>
        <w:ind w:firstLine="475"/>
      </w:pPr>
      <w:r w:rsidRPr="00742A04">
        <w:t>En el Ministerio de Relaciones Exteriores se ha establecido</w:t>
      </w:r>
      <w:r w:rsidR="00545D1B" w:rsidRPr="00742A04">
        <w:t xml:space="preserve"> </w:t>
      </w:r>
      <w:r w:rsidRPr="00742A04">
        <w:t>un grupo esp</w:t>
      </w:r>
      <w:r w:rsidRPr="00742A04">
        <w:t>e</w:t>
      </w:r>
      <w:r w:rsidRPr="00742A04">
        <w:t>cial de proyectos con el fin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coordina</w:t>
      </w:r>
      <w:r w:rsidRPr="00742A04">
        <w:t>r la</w:t>
      </w:r>
      <w:r w:rsidR="00545D1B" w:rsidRPr="00742A04">
        <w:t xml:space="preserve"> </w:t>
      </w:r>
      <w:r w:rsidRPr="00742A04">
        <w:t>aplic</w:t>
      </w:r>
      <w:r w:rsidR="00545D1B" w:rsidRPr="00742A04">
        <w:t>a</w:t>
      </w:r>
      <w:r w:rsidR="00C14BFF" w:rsidRPr="00742A04">
        <w:t xml:space="preserve">ción </w:t>
      </w:r>
      <w:r w:rsidRPr="00742A04">
        <w:t>del plan</w:t>
      </w:r>
      <w:r w:rsidR="003E4840" w:rsidRPr="00742A04">
        <w:t xml:space="preserve"> de </w:t>
      </w:r>
      <w:r w:rsidRPr="00742A04">
        <w:t>acción</w:t>
      </w:r>
      <w:r w:rsidR="00545D1B" w:rsidRPr="00742A04">
        <w:t xml:space="preserve"> </w:t>
      </w:r>
      <w:r w:rsidR="00072AD7" w:rsidRPr="00742A04">
        <w:t>relativ</w:t>
      </w:r>
      <w:r w:rsidRPr="00742A04">
        <w:t>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040B78" w:rsidRPr="00742A04">
        <w:t>r</w:t>
      </w:r>
      <w:r w:rsidR="00040B78" w:rsidRPr="00742A04">
        <w:t>e</w:t>
      </w:r>
      <w:r w:rsidR="00040B78" w:rsidRPr="00742A04">
        <w:t>solución 1325 (2000) del Consejo de Seguridad de las Naciones Unidas</w:t>
      </w:r>
      <w:r w:rsidR="00545D1B" w:rsidRPr="00742A04">
        <w:t xml:space="preserve">. </w:t>
      </w:r>
      <w:r w:rsidRPr="00742A04">
        <w:t>También participa en ese proceso un grupo interministerial conjunto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un órgano cooperativo de amplia base</w:t>
      </w:r>
      <w:r w:rsidR="00545D1B" w:rsidRPr="00742A04">
        <w:t xml:space="preserve"> </w:t>
      </w:r>
      <w:r w:rsidRPr="00742A04">
        <w:t>integrado por representantes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AE7B93" w:rsidRPr="00742A04">
        <w:t>organizaciones no gubernamentales</w:t>
      </w:r>
      <w:r w:rsidR="00545D1B" w:rsidRPr="00742A04">
        <w:t xml:space="preserve"> </w:t>
      </w:r>
      <w:r w:rsidRPr="00742A04">
        <w:t>e</w:t>
      </w:r>
      <w:r w:rsidR="00545D1B" w:rsidRPr="00742A04">
        <w:t xml:space="preserve"> </w:t>
      </w:r>
      <w:r w:rsidRPr="00742A04">
        <w:t>instituciones de investigación</w:t>
      </w:r>
      <w:r w:rsidR="00545D1B" w:rsidRPr="00742A04">
        <w:t>.</w:t>
      </w:r>
    </w:p>
    <w:p w:rsidR="00545D1B" w:rsidRPr="00742A04" w:rsidRDefault="006B65CD" w:rsidP="001633F4">
      <w:pPr>
        <w:pStyle w:val="SingleTxt"/>
        <w:ind w:firstLine="475"/>
      </w:pPr>
      <w:r w:rsidRPr="00742A04">
        <w:t>La aplicación de</w:t>
      </w:r>
      <w:r w:rsidR="00545D1B" w:rsidRPr="00742A04">
        <w:t xml:space="preserve"> </w:t>
      </w:r>
      <w:r w:rsidR="00040B78" w:rsidRPr="00742A04">
        <w:t>la resolución 1325 (2000) del Consejo de Seguridad de las Naciones Unidas</w:t>
      </w:r>
      <w:r w:rsidR="00F650FB" w:rsidRPr="00742A04">
        <w:t xml:space="preserve"> </w:t>
      </w:r>
      <w:r w:rsidR="00072AD7" w:rsidRPr="00742A04">
        <w:t>relativa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E6919" w:rsidRPr="00742A04">
        <w:t>participación de las mujeres</w:t>
      </w:r>
      <w:r w:rsidR="00C14BFF" w:rsidRPr="00742A04">
        <w:t xml:space="preserve"> en</w:t>
      </w:r>
      <w:r w:rsidR="00545D1B" w:rsidRPr="00742A04">
        <w:t xml:space="preserve"> </w:t>
      </w:r>
      <w:r w:rsidRPr="00742A04">
        <w:t xml:space="preserve">los </w:t>
      </w:r>
      <w:r w:rsidR="005E6919" w:rsidRPr="00742A04">
        <w:t>procesos</w:t>
      </w:r>
      <w:r w:rsidR="00545D1B" w:rsidRPr="00742A04">
        <w:t xml:space="preserve"> </w:t>
      </w:r>
      <w:r w:rsidRPr="00742A04">
        <w:t xml:space="preserve">de paz </w:t>
      </w:r>
      <w:r w:rsidR="00877AA0" w:rsidRPr="00742A04">
        <w:t>y</w:t>
      </w:r>
      <w:r w:rsidR="00545D1B" w:rsidRPr="00742A04">
        <w:t xml:space="preserve"> reconstruc</w:t>
      </w:r>
      <w:r w:rsidR="00C14BFF" w:rsidRPr="00742A04">
        <w:t xml:space="preserve">ción </w:t>
      </w:r>
      <w:r w:rsidR="00BB4DB1" w:rsidRPr="00742A04">
        <w:t>es</w:t>
      </w:r>
      <w:r w:rsidRPr="00742A04">
        <w:t xml:space="preserve"> u</w:t>
      </w:r>
      <w:r w:rsidR="00545D1B" w:rsidRPr="00742A04">
        <w:t xml:space="preserve">n </w:t>
      </w:r>
      <w:r w:rsidR="00AE7B93" w:rsidRPr="00742A04">
        <w:t>importante</w:t>
      </w:r>
      <w:r w:rsidR="00545D1B" w:rsidRPr="00742A04">
        <w:t xml:space="preserve"> aspect</w:t>
      </w:r>
      <w:r w:rsidRPr="00742A04">
        <w:t>o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Pr="00742A04">
        <w:t>de Noruega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D62786" w:rsidRPr="00742A04">
        <w:t>paz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reconc</w:t>
      </w:r>
      <w:r w:rsidR="00545D1B" w:rsidRPr="00742A04">
        <w:t>i</w:t>
      </w:r>
      <w:r w:rsidR="00545D1B" w:rsidRPr="00742A04">
        <w:t>lia</w:t>
      </w:r>
      <w:r w:rsidR="00C14BFF" w:rsidRPr="00742A04">
        <w:t>ción en</w:t>
      </w:r>
      <w:r w:rsidR="00545D1B" w:rsidRPr="00742A04">
        <w:t xml:space="preserve"> </w:t>
      </w:r>
      <w:r w:rsidR="00587443" w:rsidRPr="00742A04">
        <w:t>divers</w:t>
      </w:r>
      <w:r w:rsidRPr="00742A04">
        <w:t>a</w:t>
      </w:r>
      <w:r w:rsidR="00587443" w:rsidRPr="00742A04">
        <w:t>s</w:t>
      </w:r>
      <w:r w:rsidR="00545D1B" w:rsidRPr="00742A04">
        <w:t xml:space="preserve"> </w:t>
      </w:r>
      <w:r w:rsidRPr="00742A04">
        <w:t>zonas de conflicto</w:t>
      </w:r>
      <w:r w:rsidR="00545D1B" w:rsidRPr="00742A04">
        <w:t xml:space="preserve">. </w:t>
      </w:r>
      <w:r w:rsidR="00EA26AB" w:rsidRPr="00742A04">
        <w:t>Noruega</w:t>
      </w:r>
      <w:r w:rsidR="00545D1B" w:rsidRPr="00742A04">
        <w:t xml:space="preserve"> </w:t>
      </w:r>
      <w:r w:rsidRPr="00742A04">
        <w:t>trabaja por intermedio de</w:t>
      </w:r>
      <w:r w:rsidR="00545D1B" w:rsidRPr="00742A04">
        <w:t xml:space="preserve"> institu</w:t>
      </w:r>
      <w:r w:rsidR="008907B8" w:rsidRPr="00742A04">
        <w:t>ci</w:t>
      </w:r>
      <w:r w:rsidR="008907B8" w:rsidRPr="00742A04">
        <w:t>o</w:t>
      </w:r>
      <w:r w:rsidR="008907B8" w:rsidRPr="00742A04">
        <w:t>nes</w:t>
      </w:r>
      <w:r w:rsidR="00EA6AC2" w:rsidRPr="00742A04">
        <w:t xml:space="preserve"> </w:t>
      </w:r>
      <w:r w:rsidRPr="00742A04">
        <w:t xml:space="preserve">multilaterales </w:t>
      </w:r>
      <w:r w:rsidR="00EA6AC2" w:rsidRPr="00742A04">
        <w:t>p</w:t>
      </w:r>
      <w:r w:rsidRPr="00742A04">
        <w:t>ara</w:t>
      </w:r>
      <w:r w:rsidR="00EA6AC2" w:rsidRPr="00742A04">
        <w:t xml:space="preserve"> promover </w:t>
      </w:r>
      <w:r w:rsidR="00E542AA" w:rsidRPr="00742A04">
        <w:t>la participación</w:t>
      </w:r>
      <w:r w:rsidR="00C14BFF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62786" w:rsidRPr="00742A04">
        <w:t>l</w:t>
      </w:r>
      <w:r w:rsidRPr="00742A04">
        <w:t>os</w:t>
      </w:r>
      <w:r w:rsidR="00D62786" w:rsidRPr="00742A04">
        <w:t xml:space="preserve"> </w:t>
      </w:r>
      <w:r w:rsidRPr="00742A04">
        <w:t xml:space="preserve">procesos de </w:t>
      </w:r>
      <w:r w:rsidR="00D62786" w:rsidRPr="00742A04">
        <w:t>paz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desarrollo</w:t>
      </w:r>
      <w:r w:rsidR="00545D1B" w:rsidRPr="00742A04">
        <w:t xml:space="preserve">, </w:t>
      </w:r>
      <w:r w:rsidRPr="00742A04">
        <w:t>así como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87443" w:rsidRPr="00742A04">
        <w:t>diversos</w:t>
      </w:r>
      <w:r w:rsidR="00545D1B" w:rsidRPr="00742A04">
        <w:t xml:space="preserve"> </w:t>
      </w:r>
      <w:r w:rsidRPr="00742A04">
        <w:t>procesos de paz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los que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Pr="00742A04">
        <w:t>tiene el</w:t>
      </w:r>
      <w:r w:rsidR="00545D1B" w:rsidRPr="00742A04">
        <w:t xml:space="preserve"> </w:t>
      </w:r>
      <w:r w:rsidRPr="00742A04">
        <w:t>rol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facilitadora</w:t>
      </w:r>
      <w:r w:rsidR="00545D1B" w:rsidRPr="00742A04">
        <w:t>.</w:t>
      </w:r>
    </w:p>
    <w:p w:rsidR="00545D1B" w:rsidRPr="00742A04" w:rsidRDefault="004A0730" w:rsidP="001633F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893DF9" w:rsidRPr="00742A04">
        <w:t>el Sudán meridional</w:t>
      </w:r>
      <w:r w:rsidR="00545D1B" w:rsidRPr="00742A04">
        <w:t xml:space="preserve">, </w:t>
      </w:r>
      <w:r w:rsidR="00893DF9" w:rsidRPr="00742A04">
        <w:t>más del</w:t>
      </w:r>
      <w:r w:rsidR="00545D1B" w:rsidRPr="00742A04">
        <w:t xml:space="preserve"> 60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893DF9" w:rsidRPr="00742A04">
        <w:t>habitantes</w:t>
      </w:r>
      <w:r w:rsidR="00C14BFF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893DF9" w:rsidRPr="00742A04">
        <w:t>p</w:t>
      </w:r>
      <w:r w:rsidR="00893DF9" w:rsidRPr="00742A04">
        <w:t>o</w:t>
      </w:r>
      <w:r w:rsidR="00893DF9" w:rsidRPr="00742A04">
        <w:t>cas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93DF9" w:rsidRPr="00742A04">
        <w:t>tienen la</w:t>
      </w:r>
      <w:r w:rsidR="00545D1B" w:rsidRPr="00742A04">
        <w:t xml:space="preserve"> </w:t>
      </w:r>
      <w:r w:rsidR="002F3238" w:rsidRPr="00742A04">
        <w:t>oport</w:t>
      </w:r>
      <w:r w:rsidR="00545D1B" w:rsidRPr="00742A04">
        <w:t>un</w:t>
      </w:r>
      <w:r w:rsidR="00502E16" w:rsidRPr="00742A04">
        <w:t>idad</w:t>
      </w:r>
      <w:r w:rsidR="00545D1B" w:rsidRPr="00742A04">
        <w:t xml:space="preserve"> </w:t>
      </w:r>
      <w:r w:rsidR="00893DF9" w:rsidRPr="00742A04">
        <w:t>de participar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62786" w:rsidRPr="00742A04">
        <w:t>la</w:t>
      </w:r>
      <w:r w:rsidR="00893DF9" w:rsidRPr="00742A04">
        <w:t>s negociaciones</w:t>
      </w:r>
      <w:r w:rsidR="00545D1B" w:rsidRPr="00742A04">
        <w:t xml:space="preserve"> </w:t>
      </w:r>
      <w:r w:rsidR="00893DF9" w:rsidRPr="00742A04">
        <w:t xml:space="preserve">de paz </w:t>
      </w:r>
      <w:r w:rsidR="00C14BFF" w:rsidRPr="00742A04">
        <w:t>en</w:t>
      </w:r>
      <w:r w:rsidR="00545D1B" w:rsidRPr="00742A04">
        <w:t xml:space="preserve"> </w:t>
      </w:r>
      <w:r w:rsidR="00893DF9" w:rsidRPr="00742A04">
        <w:t>dicho país</w:t>
      </w:r>
      <w:r w:rsidR="00545D1B" w:rsidRPr="00742A04">
        <w:t xml:space="preserve">. </w:t>
      </w:r>
      <w:r w:rsidR="00893DF9" w:rsidRPr="00742A04">
        <w:t>Por conducto de</w:t>
      </w:r>
      <w:r w:rsidR="00545D1B" w:rsidRPr="00742A04">
        <w:t xml:space="preserve"> </w:t>
      </w:r>
      <w:r w:rsidR="00893DF9" w:rsidRPr="00742A04">
        <w:t>varia</w:t>
      </w:r>
      <w:r w:rsidR="00550986" w:rsidRPr="00742A04">
        <w:t>s</w:t>
      </w:r>
      <w:r w:rsidR="00545D1B" w:rsidRPr="00742A04">
        <w:t xml:space="preserve"> </w:t>
      </w:r>
      <w:r w:rsidR="00893DF9" w:rsidRPr="00742A04">
        <w:t>medidas específicas</w:t>
      </w:r>
      <w:r w:rsidR="00545D1B" w:rsidRPr="00742A04">
        <w:t xml:space="preserve">, </w:t>
      </w:r>
      <w:r w:rsidR="00EA26AB" w:rsidRPr="00742A04">
        <w:t>Noruega</w:t>
      </w:r>
      <w:r w:rsidR="00545D1B" w:rsidRPr="00742A04">
        <w:t xml:space="preserve"> </w:t>
      </w:r>
      <w:r w:rsidR="00550986" w:rsidRPr="00742A04">
        <w:t>ha procurado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="00893DF9" w:rsidRPr="00742A04">
        <w:t>que</w:t>
      </w:r>
      <w:r w:rsidR="00545D1B" w:rsidRPr="00742A04">
        <w:t xml:space="preserve"> </w:t>
      </w:r>
      <w:r w:rsidR="00893DF9" w:rsidRPr="00742A04">
        <w:t>se incluya a las mujeres sudanesas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3DF9" w:rsidRPr="00742A04">
        <w:t>los</w:t>
      </w:r>
      <w:r w:rsidR="00545D1B" w:rsidRPr="00742A04">
        <w:t xml:space="preserve"> </w:t>
      </w:r>
      <w:r w:rsidR="00AE7B93" w:rsidRPr="00742A04">
        <w:t>importante</w:t>
      </w:r>
      <w:r w:rsidR="00893DF9" w:rsidRPr="00742A04">
        <w:t>s</w:t>
      </w:r>
      <w:r w:rsidR="00545D1B" w:rsidRPr="00742A04">
        <w:t xml:space="preserve"> </w:t>
      </w:r>
      <w:r w:rsidR="005E6919" w:rsidRPr="00742A04">
        <w:t>procesos</w:t>
      </w:r>
      <w:r w:rsidR="00545D1B" w:rsidRPr="00742A04">
        <w:t xml:space="preserve"> </w:t>
      </w:r>
      <w:r w:rsidR="00893DF9" w:rsidRPr="00742A04">
        <w:t>que se están ll</w:t>
      </w:r>
      <w:r w:rsidR="00893DF9" w:rsidRPr="00742A04">
        <w:t>e</w:t>
      </w:r>
      <w:r w:rsidR="00893DF9" w:rsidRPr="00742A04">
        <w:t>vando a cabo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3DF9" w:rsidRPr="00742A04">
        <w:t>la fase de</w:t>
      </w:r>
      <w:r w:rsidR="00545D1B" w:rsidRPr="00742A04">
        <w:t xml:space="preserve"> reconstruc</w:t>
      </w:r>
      <w:r w:rsidR="00C14BFF" w:rsidRPr="00742A04">
        <w:t xml:space="preserve">ción </w:t>
      </w:r>
      <w:r w:rsidR="00893DF9" w:rsidRPr="00742A04">
        <w:t>en que se encuentra actualmente el</w:t>
      </w:r>
      <w:r w:rsidR="00545D1B" w:rsidRPr="00742A04">
        <w:t xml:space="preserve"> </w:t>
      </w:r>
      <w:r w:rsidR="00893DF9" w:rsidRPr="00742A04">
        <w:t>país</w:t>
      </w:r>
      <w:r w:rsidR="00545D1B" w:rsidRPr="00742A04">
        <w:t xml:space="preserve">. </w:t>
      </w:r>
      <w:r w:rsidR="006137EC" w:rsidRPr="00742A04">
        <w:t xml:space="preserve">Por </w:t>
      </w:r>
      <w:r w:rsidR="00040B78" w:rsidRPr="00742A04">
        <w:t>ejemplo</w:t>
      </w:r>
      <w:r w:rsidR="00545D1B" w:rsidRPr="00742A04">
        <w:t xml:space="preserve">, </w:t>
      </w:r>
      <w:r w:rsidR="00EA26AB" w:rsidRPr="00742A04">
        <w:t>Noruega</w:t>
      </w:r>
      <w:r w:rsidR="00545D1B" w:rsidRPr="00742A04">
        <w:t xml:space="preserve"> </w:t>
      </w:r>
      <w:r w:rsidR="00BB4DB1" w:rsidRPr="00742A04">
        <w:t xml:space="preserve">y el </w:t>
      </w:r>
      <w:r w:rsidR="00040B78" w:rsidRPr="00742A04">
        <w:t>Fondo de Desarrollo de las Naciones Unidas para la M</w:t>
      </w:r>
      <w:r w:rsidR="00040B78" w:rsidRPr="00742A04">
        <w:t>u</w:t>
      </w:r>
      <w:r w:rsidR="00040B78" w:rsidRPr="00742A04">
        <w:t>jer</w:t>
      </w:r>
      <w:r w:rsidR="00545D1B" w:rsidRPr="00742A04">
        <w:t xml:space="preserve"> (UNIFEM) </w:t>
      </w:r>
      <w:r w:rsidR="00893DF9" w:rsidRPr="00742A04">
        <w:t>organizaron conjuntamente un</w:t>
      </w:r>
      <w:r w:rsidR="00545D1B" w:rsidRPr="00742A04">
        <w:t xml:space="preserve"> </w:t>
      </w:r>
      <w:r w:rsidR="00893DF9" w:rsidRPr="00742A04">
        <w:t>simposio de mujeres</w:t>
      </w:r>
      <w:r w:rsidR="00545D1B" w:rsidRPr="00742A04">
        <w:t xml:space="preserve"> </w:t>
      </w:r>
      <w:r w:rsidR="00893DF9" w:rsidRPr="00742A04">
        <w:t>antes de</w:t>
      </w:r>
      <w:r w:rsidR="00545D1B" w:rsidRPr="00742A04">
        <w:t xml:space="preserve"> </w:t>
      </w:r>
      <w:r w:rsidR="00893DF9" w:rsidRPr="00742A04">
        <w:t>la</w:t>
      </w:r>
      <w:r w:rsidR="00545D1B" w:rsidRPr="00742A04">
        <w:t xml:space="preserve"> </w:t>
      </w:r>
      <w:r w:rsidR="00893DF9" w:rsidRPr="00742A04">
        <w:t>Co</w:t>
      </w:r>
      <w:r w:rsidR="00893DF9" w:rsidRPr="00742A04">
        <w:t>n</w:t>
      </w:r>
      <w:r w:rsidR="00893DF9" w:rsidRPr="00742A04">
        <w:t>ferencia de Donantes de Oslo</w:t>
      </w:r>
      <w:r w:rsidR="00FF575F" w:rsidRPr="00742A04">
        <w:t xml:space="preserve"> </w:t>
      </w:r>
      <w:r w:rsidR="00893DF9" w:rsidRPr="00742A04">
        <w:t>sobre el</w:t>
      </w:r>
      <w:r w:rsidR="00545D1B" w:rsidRPr="00742A04">
        <w:t xml:space="preserve"> </w:t>
      </w:r>
      <w:r w:rsidR="00893DF9" w:rsidRPr="00742A04">
        <w:t>Sudán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3DF9" w:rsidRPr="00742A04">
        <w:t>abril de</w:t>
      </w:r>
      <w:r w:rsidR="00545D1B" w:rsidRPr="00742A04">
        <w:t xml:space="preserve"> 2005. </w:t>
      </w:r>
      <w:r w:rsidR="00893DF9" w:rsidRPr="00742A04">
        <w:t>Asistieron al simp</w:t>
      </w:r>
      <w:r w:rsidR="00893DF9" w:rsidRPr="00742A04">
        <w:t>o</w:t>
      </w:r>
      <w:r w:rsidR="00893DF9" w:rsidRPr="00742A04">
        <w:t>sio m</w:t>
      </w:r>
      <w:r w:rsidR="00072AD7" w:rsidRPr="00742A04">
        <w:t>ujeres</w:t>
      </w:r>
      <w:r w:rsidR="00545D1B" w:rsidRPr="00742A04">
        <w:t xml:space="preserve"> </w:t>
      </w:r>
      <w:r w:rsidR="008F0C8E" w:rsidRPr="00742A04">
        <w:t>de</w:t>
      </w:r>
      <w:r w:rsidR="00893DF9" w:rsidRPr="00742A04">
        <w:t>l Sudán</w:t>
      </w:r>
      <w:r w:rsidR="00545D1B" w:rsidRPr="00742A04">
        <w:t xml:space="preserve"> </w:t>
      </w:r>
      <w:r w:rsidR="00893DF9" w:rsidRPr="00742A04">
        <w:t>septentrional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93DF9" w:rsidRPr="00742A04">
        <w:t>del Sudán meridional</w:t>
      </w:r>
      <w:r w:rsidR="00545D1B" w:rsidRPr="00742A04">
        <w:t xml:space="preserve">, </w:t>
      </w:r>
      <w:r w:rsidR="00893DF9" w:rsidRPr="00742A04">
        <w:t>que llegaron a un</w:t>
      </w:r>
      <w:r w:rsidR="00545D1B" w:rsidRPr="00742A04">
        <w:t xml:space="preserve"> </w:t>
      </w:r>
      <w:r w:rsidR="00893DF9" w:rsidRPr="00742A04">
        <w:t>acuerdo</w:t>
      </w:r>
      <w:r w:rsidR="00545D1B" w:rsidRPr="00742A04">
        <w:t xml:space="preserve"> </w:t>
      </w:r>
      <w:r w:rsidR="00893DF9" w:rsidRPr="00742A04">
        <w:t>sobre un</w:t>
      </w:r>
      <w:r w:rsidR="00545D1B" w:rsidRPr="00742A04">
        <w:t xml:space="preserve"> </w:t>
      </w:r>
      <w:r w:rsidR="00893DF9" w:rsidRPr="00742A04">
        <w:t>memorando conjunto en el que se establecían</w:t>
      </w:r>
      <w:r w:rsidR="00545D1B" w:rsidRPr="00742A04">
        <w:t xml:space="preserve"> </w:t>
      </w:r>
      <w:r w:rsidR="00F43124" w:rsidRPr="00742A04">
        <w:t>prioridades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93DF9" w:rsidRPr="00742A04">
        <w:t xml:space="preserve">los </w:t>
      </w:r>
      <w:r w:rsidR="005E6919" w:rsidRPr="00742A04">
        <w:t>procesos</w:t>
      </w:r>
      <w:r w:rsidR="00893DF9" w:rsidRPr="00742A04">
        <w:t xml:space="preserve"> de paz y reconciliación</w:t>
      </w:r>
      <w:r w:rsidR="00545D1B" w:rsidRPr="00742A04">
        <w:t xml:space="preserve">. </w:t>
      </w:r>
      <w:r w:rsidR="00893DF9" w:rsidRPr="00742A04">
        <w:t>El</w:t>
      </w:r>
      <w:r w:rsidR="00545D1B" w:rsidRPr="00742A04">
        <w:t xml:space="preserve"> </w:t>
      </w:r>
      <w:r w:rsidR="00893DF9" w:rsidRPr="00742A04">
        <w:t>memorando</w:t>
      </w:r>
      <w:r w:rsidR="00545D1B" w:rsidRPr="00742A04">
        <w:t xml:space="preserve"> </w:t>
      </w:r>
      <w:r w:rsidR="00893DF9" w:rsidRPr="00742A04">
        <w:t>fue</w:t>
      </w:r>
      <w:r w:rsidR="00545D1B" w:rsidRPr="00742A04">
        <w:t xml:space="preserve"> present</w:t>
      </w:r>
      <w:r w:rsidR="00893DF9" w:rsidRPr="00742A04">
        <w:t>ado posteriormente en</w:t>
      </w:r>
      <w:r w:rsidR="00545D1B" w:rsidRPr="00742A04">
        <w:t xml:space="preserve"> </w:t>
      </w:r>
      <w:r w:rsidR="00893DF9" w:rsidRPr="00742A04">
        <w:t>la Conferencia de Donantes</w:t>
      </w:r>
      <w:r w:rsidR="00545D1B" w:rsidRPr="00742A04">
        <w:t>.</w:t>
      </w:r>
    </w:p>
    <w:p w:rsidR="00545D1B" w:rsidRPr="00742A04" w:rsidRDefault="00EA26AB" w:rsidP="001633F4">
      <w:pPr>
        <w:pStyle w:val="SingleTxt"/>
        <w:ind w:firstLine="475"/>
      </w:pPr>
      <w:r w:rsidRPr="00742A04">
        <w:t>Noruega</w:t>
      </w:r>
      <w:r w:rsidR="00545D1B" w:rsidRPr="00742A04">
        <w:t xml:space="preserve"> </w:t>
      </w:r>
      <w:r w:rsidR="00893DF9" w:rsidRPr="00742A04">
        <w:t>también ha apoyado el</w:t>
      </w:r>
      <w:r w:rsidR="00545D1B" w:rsidRPr="00742A04">
        <w:t xml:space="preserve"> </w:t>
      </w:r>
      <w:r w:rsidR="00100BD0" w:rsidRPr="00742A04">
        <w:t>proyecto</w:t>
      </w:r>
      <w:r w:rsidR="00545D1B" w:rsidRPr="00742A04">
        <w:t xml:space="preserve"> </w:t>
      </w:r>
      <w:r w:rsidR="00893DF9" w:rsidRPr="00742A04">
        <w:t xml:space="preserve">del UNIFEM </w:t>
      </w:r>
      <w:r w:rsidR="00545D1B" w:rsidRPr="00742A04">
        <w:t>“</w:t>
      </w:r>
      <w:r w:rsidR="00242371" w:rsidRPr="00742A04">
        <w:t>Promover</w:t>
      </w:r>
      <w:r w:rsidR="00545D1B" w:rsidRPr="00742A04">
        <w:t xml:space="preserve"> </w:t>
      </w:r>
      <w:r w:rsidR="00F13355" w:rsidRPr="00742A04">
        <w:t>la partic</w:t>
      </w:r>
      <w:r w:rsidR="00F13355" w:rsidRPr="00742A04">
        <w:t>i</w:t>
      </w:r>
      <w:r w:rsidR="00F13355" w:rsidRPr="00742A04">
        <w:t xml:space="preserve">pación </w:t>
      </w:r>
      <w:r w:rsidR="00210DB1" w:rsidRPr="00742A04">
        <w:t>de las mujeres</w:t>
      </w:r>
      <w:r w:rsidR="00545D1B" w:rsidRPr="00742A04">
        <w:t xml:space="preserve"> </w:t>
      </w:r>
      <w:r w:rsidR="00F13355" w:rsidRPr="00742A04">
        <w:t>y la</w:t>
      </w:r>
      <w:r w:rsidR="002E5047" w:rsidRPr="00742A04">
        <w:t xml:space="preserve"> i</w:t>
      </w:r>
      <w:r w:rsidR="00A05847" w:rsidRPr="00742A04">
        <w:t>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13355" w:rsidRPr="00742A04">
        <w:t>la r</w:t>
      </w:r>
      <w:r w:rsidR="00545D1B" w:rsidRPr="00742A04">
        <w:t>econstruc</w:t>
      </w:r>
      <w:r w:rsidR="00C14BFF" w:rsidRPr="00742A04">
        <w:t xml:space="preserve">ción </w:t>
      </w:r>
      <w:r w:rsidR="00F13355" w:rsidRPr="00742A04">
        <w:t>posterior al co</w:t>
      </w:r>
      <w:r w:rsidR="00F13355" w:rsidRPr="00742A04">
        <w:t>n</w:t>
      </w:r>
      <w:r w:rsidR="00F13355" w:rsidRPr="00742A04">
        <w:t xml:space="preserve">flicto </w:t>
      </w:r>
      <w:r w:rsidR="00877AA0" w:rsidRPr="00742A04">
        <w:t>y</w:t>
      </w:r>
      <w:r w:rsidR="00545D1B" w:rsidRPr="00742A04">
        <w:t xml:space="preserve"> </w:t>
      </w:r>
      <w:r w:rsidR="00F13355" w:rsidRPr="00742A04">
        <w:t xml:space="preserve">la consolidación de la </w:t>
      </w:r>
      <w:r w:rsidR="00D62786" w:rsidRPr="00742A04">
        <w:t>paz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3DF9" w:rsidRPr="00742A04">
        <w:t>el Sudán meridional</w:t>
      </w:r>
      <w:r w:rsidR="00545D1B" w:rsidRPr="00742A04">
        <w:t xml:space="preserve">”, </w:t>
      </w:r>
      <w:r w:rsidR="00C14BFF" w:rsidRPr="00742A04">
        <w:t>en</w:t>
      </w:r>
      <w:r w:rsidR="00545D1B" w:rsidRPr="00742A04">
        <w:t xml:space="preserve"> </w:t>
      </w:r>
      <w:r w:rsidR="00F13355" w:rsidRPr="00742A04">
        <w:t>el que se utilizan</w:t>
      </w:r>
      <w:r w:rsidR="00545D1B" w:rsidRPr="00742A04">
        <w:t xml:space="preserve"> </w:t>
      </w:r>
      <w:r w:rsidR="00F43124" w:rsidRPr="00742A04">
        <w:t>fondos</w:t>
      </w:r>
      <w:r w:rsidR="00545D1B" w:rsidRPr="00742A04">
        <w:t xml:space="preserve"> </w:t>
      </w:r>
      <w:r w:rsidR="00F13355" w:rsidRPr="00742A04">
        <w:t>para la organización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>el seguimiento</w:t>
      </w:r>
      <w:r w:rsidR="00F13355" w:rsidRPr="00742A04">
        <w:t xml:space="preserve"> de</w:t>
      </w:r>
      <w:r w:rsidR="00545D1B" w:rsidRPr="00742A04">
        <w:t xml:space="preserve"> </w:t>
      </w:r>
      <w:r w:rsidR="00F13355" w:rsidRPr="00742A04">
        <w:t xml:space="preserve">conferencias </w:t>
      </w:r>
      <w:r w:rsidR="00545D1B" w:rsidRPr="00742A04">
        <w:t>regional</w:t>
      </w:r>
      <w:r w:rsidR="00F13355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13355" w:rsidRPr="00742A04">
        <w:t>nacion</w:t>
      </w:r>
      <w:r w:rsidR="00F13355" w:rsidRPr="00742A04">
        <w:t>a</w:t>
      </w:r>
      <w:r w:rsidR="00F13355" w:rsidRPr="00742A04">
        <w:t>les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13355" w:rsidRPr="00742A04">
        <w:t xml:space="preserve">el </w:t>
      </w:r>
      <w:r w:rsidR="00893DF9" w:rsidRPr="00742A04">
        <w:t>Sudán</w:t>
      </w:r>
      <w:r w:rsidR="00545D1B" w:rsidRPr="00742A04">
        <w:t xml:space="preserve">. </w:t>
      </w:r>
      <w:r w:rsidR="001C6426" w:rsidRPr="00742A04">
        <w:t xml:space="preserve">Como parte </w:t>
      </w:r>
      <w:r w:rsidR="004A0730" w:rsidRPr="00742A04">
        <w:t>de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coopera</w:t>
      </w:r>
      <w:r w:rsidR="00C14BFF" w:rsidRPr="00742A04">
        <w:t xml:space="preserve">ción </w:t>
      </w:r>
      <w:r w:rsidR="004A0730" w:rsidRPr="00742A04">
        <w:t>con</w:t>
      </w:r>
      <w:r w:rsidR="00F13355" w:rsidRPr="00742A04">
        <w:t xml:space="preserve"> el</w:t>
      </w:r>
      <w:r w:rsidR="00545D1B" w:rsidRPr="00742A04">
        <w:t xml:space="preserve"> UNIFEM, </w:t>
      </w:r>
      <w:r w:rsidRPr="00742A04">
        <w:t>Noruega</w:t>
      </w:r>
      <w:r w:rsidR="00545D1B" w:rsidRPr="00742A04">
        <w:t xml:space="preserve"> ha</w:t>
      </w:r>
      <w:r w:rsidR="00F13355" w:rsidRPr="00742A04">
        <w:t xml:space="preserve"> aportado</w:t>
      </w:r>
      <w:r w:rsidR="00545D1B" w:rsidRPr="00742A04">
        <w:t xml:space="preserve"> </w:t>
      </w:r>
      <w:r w:rsidR="006B65CD" w:rsidRPr="00742A04">
        <w:t>financiación</w:t>
      </w:r>
      <w:r w:rsidR="00545D1B" w:rsidRPr="00742A04">
        <w:t xml:space="preserve"> </w:t>
      </w:r>
      <w:r w:rsidR="00F13355" w:rsidRPr="00742A04">
        <w:t>para permitir que</w:t>
      </w:r>
      <w:r w:rsidR="00545D1B" w:rsidRPr="00742A04">
        <w:t xml:space="preserve"> 20 </w:t>
      </w:r>
      <w:r w:rsidR="00072AD7" w:rsidRPr="00742A04">
        <w:t>mujeres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Darfur </w:t>
      </w:r>
      <w:r w:rsidR="00F13355" w:rsidRPr="00742A04">
        <w:t>viajaran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Abuja </w:t>
      </w:r>
      <w:r w:rsidR="00F13355" w:rsidRPr="00742A04">
        <w:t>par</w:t>
      </w:r>
      <w:r w:rsidR="0030626A" w:rsidRPr="00742A04">
        <w:t>a</w:t>
      </w:r>
      <w:r w:rsidR="00545D1B" w:rsidRPr="00742A04">
        <w:t xml:space="preserve"> </w:t>
      </w:r>
      <w:r w:rsidR="001633F4" w:rsidRPr="00742A04">
        <w:t>participar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13355" w:rsidRPr="00742A04">
        <w:t>las negociaciones d</w:t>
      </w:r>
      <w:r w:rsidR="00545D1B" w:rsidRPr="00742A04">
        <w:t xml:space="preserve">e </w:t>
      </w:r>
      <w:r w:rsidR="00D62786" w:rsidRPr="00742A04">
        <w:t>paz</w:t>
      </w:r>
      <w:r w:rsidR="00545D1B" w:rsidRPr="00742A04">
        <w:t xml:space="preserve"> </w:t>
      </w:r>
      <w:r w:rsidR="00C14BFF" w:rsidRPr="00742A04">
        <w:t>en</w:t>
      </w:r>
      <w:r w:rsidR="00CE1CFC" w:rsidRPr="00742A04">
        <w:t xml:space="preserve"> d</w:t>
      </w:r>
      <w:r w:rsidR="00CE1CFC" w:rsidRPr="00742A04">
        <w:t>i</w:t>
      </w:r>
      <w:r w:rsidR="00CE1CFC" w:rsidRPr="00742A04">
        <w:t>ciembre de</w:t>
      </w:r>
      <w:r w:rsidR="00545D1B" w:rsidRPr="00742A04">
        <w:t xml:space="preserve"> 2005.</w:t>
      </w:r>
    </w:p>
    <w:p w:rsidR="00545D1B" w:rsidRPr="00742A04" w:rsidRDefault="00F13355" w:rsidP="001633F4">
      <w:pPr>
        <w:pStyle w:val="SingleTxt"/>
        <w:ind w:firstLine="475"/>
      </w:pPr>
      <w:r w:rsidRPr="00742A04">
        <w:t xml:space="preserve">Asimismo, </w:t>
      </w:r>
      <w:r w:rsidR="00EA26AB" w:rsidRPr="00742A04">
        <w:t>Noruega</w:t>
      </w:r>
      <w:r w:rsidR="00545D1B" w:rsidRPr="00742A04">
        <w:t xml:space="preserve"> ha</w:t>
      </w:r>
      <w:r w:rsidRPr="00742A04">
        <w:t xml:space="preserve"> procurado contribuir a </w:t>
      </w:r>
      <w:r w:rsidR="00242371" w:rsidRPr="00742A04">
        <w:t>incrementar</w:t>
      </w:r>
      <w:r w:rsidR="00545D1B" w:rsidRPr="00742A04">
        <w:t xml:space="preserve"> </w:t>
      </w:r>
      <w:r w:rsidRPr="00742A04">
        <w:t>la capacidad</w:t>
      </w:r>
      <w:r w:rsidR="00545D1B" w:rsidRPr="00742A04">
        <w:t xml:space="preserve"> </w:t>
      </w:r>
      <w:r w:rsidR="00C076F2" w:rsidRPr="00742A04">
        <w:t xml:space="preserve">de los </w:t>
      </w:r>
      <w:r w:rsidRPr="00742A04">
        <w:t>organismos del sistema de las Naciones Unidas</w:t>
      </w:r>
      <w:r w:rsidR="00EA6AC2" w:rsidRPr="00742A04">
        <w:t xml:space="preserve"> </w:t>
      </w:r>
      <w:r w:rsidRPr="00742A04">
        <w:t>para</w:t>
      </w:r>
      <w:r w:rsidR="00EA6AC2" w:rsidRPr="00742A04">
        <w:t xml:space="preserve"> promover</w:t>
      </w:r>
      <w:r w:rsidR="00CF2F77" w:rsidRPr="00742A04">
        <w:t xml:space="preserve"> una perspectiva</w:t>
      </w:r>
      <w:r w:rsidR="0058744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las </w:t>
      </w:r>
      <w:r w:rsidR="006B65CD" w:rsidRPr="00742A04">
        <w:t>zonas de conflicto</w:t>
      </w:r>
      <w:r w:rsidR="00545D1B" w:rsidRPr="00742A04">
        <w:t xml:space="preserve">. </w:t>
      </w:r>
      <w:r w:rsidRPr="00742A04">
        <w:t>Sobre la b</w:t>
      </w:r>
      <w:r w:rsidR="006137EC" w:rsidRPr="00742A04">
        <w:t>as</w:t>
      </w:r>
      <w:r w:rsidRPr="00742A04">
        <w:t>e de la</w:t>
      </w:r>
      <w:r w:rsidR="006137EC" w:rsidRPr="00742A04">
        <w:t xml:space="preserve"> </w:t>
      </w:r>
      <w:r w:rsidR="006B65CD" w:rsidRPr="00742A04">
        <w:t>financiación</w:t>
      </w:r>
      <w:r w:rsidR="00545D1B" w:rsidRPr="00742A04">
        <w:t xml:space="preserve"> </w:t>
      </w:r>
      <w:r w:rsidRPr="00742A04">
        <w:t>proporcionada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, </w:t>
      </w:r>
      <w:r w:rsidRPr="00742A04">
        <w:t>el ACNUR</w:t>
      </w:r>
      <w:r w:rsidR="00545D1B" w:rsidRPr="00742A04">
        <w:t xml:space="preserve"> establ</w:t>
      </w:r>
      <w:r w:rsidRPr="00742A04">
        <w:t>eció un puesto e</w:t>
      </w:r>
      <w:r w:rsidR="00545D1B" w:rsidRPr="00742A04">
        <w:t xml:space="preserve">special </w:t>
      </w:r>
      <w:r w:rsidRPr="00742A04">
        <w:t>de asesor especial</w:t>
      </w:r>
      <w:r w:rsidR="00545D1B" w:rsidRPr="00742A04">
        <w:t xml:space="preserve"> </w:t>
      </w:r>
      <w:r w:rsidRPr="00742A04">
        <w:t>sobre</w:t>
      </w:r>
      <w:r w:rsidR="00545D1B" w:rsidRPr="00742A04">
        <w:t xml:space="preserve"> </w:t>
      </w:r>
      <w:r w:rsidRPr="00742A04">
        <w:t>cuesti</w:t>
      </w:r>
      <w:r w:rsidRPr="00742A04">
        <w:t>o</w:t>
      </w:r>
      <w:r w:rsidRPr="00742A04">
        <w:t>nes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42371" w:rsidRPr="00742A04">
        <w:t>adelanto</w:t>
      </w:r>
      <w:r w:rsidR="00545D1B" w:rsidRPr="00742A04">
        <w:t xml:space="preserve"> </w:t>
      </w:r>
      <w:r w:rsidR="004D313C" w:rsidRPr="00742A04">
        <w:t>de la mujer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destacó para dicho puesto a</w:t>
      </w:r>
      <w:r w:rsidR="00545D1B" w:rsidRPr="00742A04">
        <w:t xml:space="preserve"> </w:t>
      </w:r>
      <w:r w:rsidRPr="00742A04">
        <w:t>una mujer n</w:t>
      </w:r>
      <w:r w:rsidRPr="00742A04">
        <w:t>o</w:t>
      </w:r>
      <w:r w:rsidRPr="00742A04">
        <w:t>ruega</w:t>
      </w:r>
      <w:r w:rsidR="00545D1B" w:rsidRPr="00742A04">
        <w:t xml:space="preserve">. </w:t>
      </w:r>
      <w:r w:rsidR="00EA26AB" w:rsidRPr="00742A04">
        <w:t>Noruega</w:t>
      </w:r>
      <w:r w:rsidR="00545D1B" w:rsidRPr="00742A04">
        <w:t xml:space="preserve"> </w:t>
      </w:r>
      <w:r w:rsidR="0030626A" w:rsidRPr="00742A04">
        <w:t>también</w:t>
      </w:r>
      <w:r w:rsidRPr="00742A04">
        <w:t xml:space="preserve"> está</w:t>
      </w:r>
      <w:r w:rsidR="00545D1B" w:rsidRPr="00742A04">
        <w:t xml:space="preserve"> financi</w:t>
      </w:r>
      <w:r w:rsidRPr="00742A04">
        <w:t>ando</w:t>
      </w:r>
      <w:r w:rsidR="00545D1B" w:rsidRPr="00742A04">
        <w:t xml:space="preserve"> </w:t>
      </w:r>
      <w:r w:rsidRPr="00742A04">
        <w:t>un puesto de</w:t>
      </w:r>
      <w:r w:rsidR="00545D1B" w:rsidRPr="00742A04">
        <w:t xml:space="preserve"> expert</w:t>
      </w:r>
      <w:r w:rsidRPr="00742A04">
        <w:t>o subalterno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 d</w:t>
      </w:r>
      <w:r w:rsidRPr="00742A04">
        <w:t>e</w:t>
      </w:r>
      <w:r w:rsidRPr="00742A04">
        <w:t>pendencia de</w:t>
      </w:r>
      <w:r w:rsidR="00545D1B" w:rsidRPr="00742A04">
        <w:t xml:space="preserve"> </w:t>
      </w:r>
      <w:r w:rsidRPr="00742A04">
        <w:t>cuestiones de género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Pr="00742A04">
        <w:t>Departamento de Operaciones de Manten</w:t>
      </w:r>
      <w:r w:rsidRPr="00742A04">
        <w:t>i</w:t>
      </w:r>
      <w:r w:rsidRPr="00742A04">
        <w:t>miento de la Paz (DOMP) de las Naciones Unidas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D653A" w:rsidRPr="00742A04">
        <w:t>las negociaci</w:t>
      </w:r>
      <w:r w:rsidR="007D653A" w:rsidRPr="00742A04">
        <w:t>o</w:t>
      </w:r>
      <w:r w:rsidR="007D653A" w:rsidRPr="00742A04">
        <w:t>nes</w:t>
      </w:r>
      <w:r w:rsidR="005F4425">
        <w:t xml:space="preserve"> sobre el</w:t>
      </w:r>
      <w:r w:rsidR="007D653A" w:rsidRPr="00742A04">
        <w:t xml:space="preserve"> establecimiento</w:t>
      </w:r>
      <w:r w:rsidR="00545D1B" w:rsidRPr="00742A04">
        <w:t xml:space="preserve"> </w:t>
      </w:r>
      <w:r w:rsidR="000B1D12" w:rsidRPr="00742A04">
        <w:t>de la</w:t>
      </w:r>
      <w:r w:rsidR="00545D1B" w:rsidRPr="00742A04">
        <w:t xml:space="preserve"> </w:t>
      </w:r>
      <w:r w:rsidR="000B1D12" w:rsidRPr="00742A04">
        <w:t xml:space="preserve">Oficina de </w:t>
      </w:r>
      <w:r w:rsidR="00935A90" w:rsidRPr="00742A04">
        <w:t>Apoyo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0B1D12" w:rsidRPr="00742A04">
        <w:t>Consolidación de la Paz de las N</w:t>
      </w:r>
      <w:r w:rsidR="000B1D12" w:rsidRPr="00742A04">
        <w:t>a</w:t>
      </w:r>
      <w:r w:rsidR="000B1D12" w:rsidRPr="00742A04">
        <w:t>ciones Unidas</w:t>
      </w:r>
      <w:r w:rsidR="00545D1B" w:rsidRPr="00742A04">
        <w:t xml:space="preserve">, </w:t>
      </w:r>
      <w:r w:rsidR="00EA26AB" w:rsidRPr="00742A04">
        <w:t>Noruega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="000B1D12" w:rsidRPr="00742A04">
        <w:t>el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C076F2" w:rsidRPr="00742A04">
        <w:t xml:space="preserve">de los </w:t>
      </w:r>
      <w:r w:rsidR="00FF30D9" w:rsidRPr="00742A04">
        <w:t xml:space="preserve">países del Grupo </w:t>
      </w:r>
      <w:r w:rsidR="00C076F2" w:rsidRPr="00742A04">
        <w:t xml:space="preserve">de los </w:t>
      </w:r>
      <w:r w:rsidR="00FF30D9" w:rsidRPr="00742A04">
        <w:t>77</w:t>
      </w:r>
      <w:r w:rsidR="00545D1B" w:rsidRPr="00742A04">
        <w:t xml:space="preserve">, </w:t>
      </w:r>
      <w:r w:rsidR="00EB2474" w:rsidRPr="00742A04">
        <w:t xml:space="preserve">logró </w:t>
      </w:r>
      <w:r w:rsidR="000B1D12" w:rsidRPr="00742A04">
        <w:t>que se</w:t>
      </w:r>
      <w:r w:rsidR="00545D1B" w:rsidRPr="00742A04">
        <w:t xml:space="preserve"> inclu</w:t>
      </w:r>
      <w:r w:rsidR="000B1D12" w:rsidRPr="00742A04">
        <w:t>yera</w:t>
      </w:r>
      <w:r w:rsidR="00545D1B" w:rsidRPr="00742A04">
        <w:t xml:space="preserve"> </w:t>
      </w:r>
      <w:r w:rsidR="000B1D12" w:rsidRPr="00742A04">
        <w:t>un párrafo</w:t>
      </w:r>
      <w:r w:rsidR="00545D1B" w:rsidRPr="00742A04">
        <w:t xml:space="preserve"> </w:t>
      </w:r>
      <w:r w:rsidR="002F3238" w:rsidRPr="00742A04">
        <w:t>relativo a</w:t>
      </w:r>
      <w:r w:rsidR="00545D1B" w:rsidRPr="00742A04">
        <w:t xml:space="preserve"> </w:t>
      </w:r>
      <w:r w:rsidR="000B1D12" w:rsidRPr="00742A04">
        <w:t>mujeres expertas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B1D12" w:rsidRPr="00742A04">
        <w:t>la</w:t>
      </w:r>
      <w:r w:rsidR="00545D1B" w:rsidRPr="00742A04">
        <w:t xml:space="preserve"> </w:t>
      </w:r>
      <w:r w:rsidR="000B1D12" w:rsidRPr="00742A04">
        <w:t>Oficina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="000B1D12" w:rsidRPr="00742A04">
        <w:t>un</w:t>
      </w:r>
      <w:r w:rsidR="00545D1B" w:rsidRPr="00742A04">
        <w:t xml:space="preserve">a </w:t>
      </w:r>
      <w:r w:rsidR="00C07ED9" w:rsidRPr="00742A04">
        <w:t>clara</w:t>
      </w:r>
      <w:r w:rsidR="00545D1B" w:rsidRPr="00742A04">
        <w:t xml:space="preserve"> refer</w:t>
      </w:r>
      <w:r w:rsidR="00FF575F" w:rsidRPr="00742A04">
        <w:t>encia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040B78" w:rsidRPr="00742A04">
        <w:t>resolución 1325 (2000) del Consejo de Seguridad</w:t>
      </w:r>
      <w:r w:rsidR="00545D1B" w:rsidRPr="00742A04">
        <w:t xml:space="preserve">. </w:t>
      </w:r>
      <w:r w:rsidR="00985D03" w:rsidRPr="00742A04">
        <w:t>Éste es un</w:t>
      </w:r>
      <w:r w:rsidR="00545D1B" w:rsidRPr="00742A04">
        <w:t xml:space="preserve"> </w:t>
      </w:r>
      <w:r w:rsidR="00AE7B93" w:rsidRPr="00742A04">
        <w:t>impo</w:t>
      </w:r>
      <w:r w:rsidR="00AE7B93" w:rsidRPr="00742A04">
        <w:t>r</w:t>
      </w:r>
      <w:r w:rsidR="00AE7B93" w:rsidRPr="00742A04">
        <w:t>tante</w:t>
      </w:r>
      <w:r w:rsidR="00545D1B" w:rsidRPr="00742A04">
        <w:t xml:space="preserve"> </w:t>
      </w:r>
      <w:r w:rsidR="00985D03" w:rsidRPr="00742A04">
        <w:t>avance hacia la</w:t>
      </w:r>
      <w:r w:rsidR="00545D1B" w:rsidRPr="00742A04">
        <w:t xml:space="preserve"> in</w:t>
      </w:r>
      <w:r w:rsidR="00985D03" w:rsidRPr="00742A04">
        <w:t>corporación de</w:t>
      </w:r>
      <w:r w:rsidR="00545D1B" w:rsidRPr="00742A04">
        <w:t xml:space="preserve"> </w:t>
      </w:r>
      <w:r w:rsidR="00985D03" w:rsidRPr="00742A04">
        <w:t>referencia</w:t>
      </w:r>
      <w:r w:rsidR="00545D1B" w:rsidRPr="00742A04">
        <w:t>s</w:t>
      </w:r>
      <w:r w:rsidR="00985D03" w:rsidRPr="00742A04">
        <w:t xml:space="preserve"> análogas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85D03" w:rsidRPr="00742A04">
        <w:t xml:space="preserve">las </w:t>
      </w:r>
      <w:r w:rsidR="00545D1B" w:rsidRPr="00742A04">
        <w:t>resolu</w:t>
      </w:r>
      <w:r w:rsidR="008907B8" w:rsidRPr="00742A04">
        <w:t>ciones</w:t>
      </w:r>
      <w:r w:rsidR="00545D1B" w:rsidRPr="00742A04">
        <w:t xml:space="preserve"> </w:t>
      </w:r>
      <w:r w:rsidR="00985D03" w:rsidRPr="00742A04">
        <w:t>rel</w:t>
      </w:r>
      <w:r w:rsidR="00985D03" w:rsidRPr="00742A04">
        <w:t>a</w:t>
      </w:r>
      <w:r w:rsidR="00985D03" w:rsidRPr="00742A04">
        <w:t xml:space="preserve">tivas </w:t>
      </w:r>
      <w:r w:rsidR="00F43124" w:rsidRPr="00742A04">
        <w:t>a</w:t>
      </w:r>
      <w:r w:rsidR="00545D1B" w:rsidRPr="00742A04">
        <w:t xml:space="preserve"> futur</w:t>
      </w:r>
      <w:r w:rsidR="00985D03" w:rsidRPr="00742A04">
        <w:t>as</w:t>
      </w:r>
      <w:r w:rsidR="00D62786" w:rsidRPr="00742A04">
        <w:t xml:space="preserve"> </w:t>
      </w:r>
      <w:r w:rsidR="00985D03" w:rsidRPr="00742A04">
        <w:t>operaciones integradas de mantenimiento de la paz</w:t>
      </w:r>
      <w:r w:rsidR="00545D1B" w:rsidRPr="00742A04">
        <w:t>.</w:t>
      </w:r>
    </w:p>
    <w:p w:rsidR="00545D1B" w:rsidRPr="00742A04" w:rsidRDefault="00985D03" w:rsidP="00C52942">
      <w:pPr>
        <w:pStyle w:val="SingleTxt"/>
        <w:jc w:val="left"/>
        <w:rPr>
          <w:i/>
        </w:rPr>
      </w:pPr>
      <w:r w:rsidRPr="00742A04">
        <w:rPr>
          <w:i/>
        </w:rPr>
        <w:t>Inversiones internacionales</w:t>
      </w:r>
      <w:r w:rsidR="00545D1B" w:rsidRPr="00742A04">
        <w:rPr>
          <w:i/>
        </w:rPr>
        <w:t xml:space="preserve">: </w:t>
      </w:r>
      <w:r w:rsidRPr="00742A04">
        <w:rPr>
          <w:i/>
        </w:rPr>
        <w:t>Directrices Éticas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>para</w:t>
      </w:r>
      <w:r w:rsidR="00C52942" w:rsidRPr="00742A04">
        <w:rPr>
          <w:i/>
        </w:rPr>
        <w:br/>
        <w:t>el Fondo de Pensiones del G</w:t>
      </w:r>
      <w:r w:rsidR="00C52942" w:rsidRPr="00742A04">
        <w:rPr>
          <w:i/>
        </w:rPr>
        <w:t>o</w:t>
      </w:r>
      <w:r w:rsidR="00C52942" w:rsidRPr="00742A04">
        <w:rPr>
          <w:i/>
        </w:rPr>
        <w:t xml:space="preserve">bierno – </w:t>
      </w:r>
      <w:r w:rsidR="003C5A2B" w:rsidRPr="00742A04">
        <w:rPr>
          <w:i/>
        </w:rPr>
        <w:t>Global</w:t>
      </w:r>
    </w:p>
    <w:p w:rsidR="00545D1B" w:rsidRPr="00742A04" w:rsidRDefault="00C52942" w:rsidP="000B48A7">
      <w:pPr>
        <w:pStyle w:val="SingleTxt"/>
        <w:ind w:firstLine="475"/>
      </w:pPr>
      <w:r w:rsidRPr="00742A04">
        <w:t>Las</w:t>
      </w:r>
      <w:r w:rsidR="00545D1B" w:rsidRPr="00742A04">
        <w:t xml:space="preserve"> </w:t>
      </w:r>
      <w:r w:rsidR="00985D03" w:rsidRPr="00742A04">
        <w:t>Directrices Éticas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F0C8E" w:rsidRPr="00742A04">
        <w:t xml:space="preserve">el </w:t>
      </w:r>
      <w:r w:rsidRPr="00742A04">
        <w:t>Fondo de Pensiones del Gobierno – Global</w:t>
      </w:r>
      <w:r w:rsidR="00545D1B" w:rsidRPr="00742A04">
        <w:t xml:space="preserve"> </w:t>
      </w:r>
      <w:r w:rsidR="003C5A2B" w:rsidRPr="00742A04">
        <w:t>se basan</w:t>
      </w:r>
      <w:r w:rsidR="006137EC" w:rsidRPr="00742A04">
        <w:t xml:space="preserve"> en</w:t>
      </w:r>
      <w:r w:rsidR="00545D1B" w:rsidRPr="00742A04">
        <w:t xml:space="preserve"> </w:t>
      </w:r>
      <w:r w:rsidR="003C5A2B" w:rsidRPr="00742A04">
        <w:t>la premisa de que</w:t>
      </w:r>
      <w:r w:rsidR="00545D1B" w:rsidRPr="00742A04">
        <w:t xml:space="preserve"> </w:t>
      </w:r>
      <w:r w:rsidR="003C5A2B" w:rsidRPr="00742A04">
        <w:t>las empresas</w:t>
      </w:r>
      <w:r w:rsidR="00545D1B" w:rsidRPr="00742A04">
        <w:t xml:space="preserve"> </w:t>
      </w:r>
      <w:r w:rsidR="003C5A2B" w:rsidRPr="00742A04">
        <w:t>en las que invierta</w:t>
      </w:r>
      <w:r w:rsidR="00545D1B" w:rsidRPr="00742A04">
        <w:t xml:space="preserve"> </w:t>
      </w:r>
      <w:r w:rsidR="006B65CD" w:rsidRPr="00742A04">
        <w:t>el fondo</w:t>
      </w:r>
      <w:r w:rsidR="00545D1B" w:rsidRPr="00742A04">
        <w:t xml:space="preserve"> </w:t>
      </w:r>
      <w:r w:rsidR="003C5A2B" w:rsidRPr="00742A04">
        <w:t>deben respetar</w:t>
      </w:r>
      <w:r w:rsidR="00545D1B" w:rsidRPr="00742A04">
        <w:t xml:space="preserve"> </w:t>
      </w:r>
      <w:r w:rsidR="003B0A50">
        <w:t xml:space="preserve">los </w:t>
      </w:r>
      <w:r w:rsidR="00A05847" w:rsidRPr="00742A04">
        <w:t>derechos humanos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62786" w:rsidRPr="00742A04">
        <w:t>el medio ambiente</w:t>
      </w:r>
      <w:r w:rsidR="00545D1B" w:rsidRPr="00742A04">
        <w:t xml:space="preserve">. </w:t>
      </w:r>
      <w:r w:rsidR="005E603B" w:rsidRPr="00742A04">
        <w:t>Las directrices</w:t>
      </w:r>
      <w:r w:rsidR="00545D1B" w:rsidRPr="00742A04">
        <w:t xml:space="preserve"> prescribe</w:t>
      </w:r>
      <w:r w:rsidR="003C5A2B" w:rsidRPr="00742A04">
        <w:t>n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3C5A2B" w:rsidRPr="00742A04">
        <w:t>instr</w:t>
      </w:r>
      <w:r w:rsidR="003C5A2B" w:rsidRPr="00742A04">
        <w:t>u</w:t>
      </w:r>
      <w:r w:rsidR="003C5A2B" w:rsidRPr="00742A04">
        <w:t>mentos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C5A2B" w:rsidRPr="00742A04">
        <w:t>asegurar que se observe esa</w:t>
      </w:r>
      <w:r w:rsidR="00545D1B" w:rsidRPr="00742A04">
        <w:t xml:space="preserve"> </w:t>
      </w:r>
      <w:r w:rsidR="003C5A2B" w:rsidRPr="00742A04">
        <w:t>premisa</w:t>
      </w:r>
      <w:r w:rsidR="00545D1B" w:rsidRPr="00742A04">
        <w:t xml:space="preserve">: </w:t>
      </w:r>
      <w:r w:rsidR="003C5A2B" w:rsidRPr="00742A04">
        <w:t xml:space="preserve">el </w:t>
      </w:r>
      <w:r w:rsidR="003C5A2B" w:rsidRPr="00742A04">
        <w:rPr>
          <w:i/>
        </w:rPr>
        <w:t>ejercicio de derechos de pr</w:t>
      </w:r>
      <w:r w:rsidR="003C5A2B" w:rsidRPr="00742A04">
        <w:rPr>
          <w:i/>
        </w:rPr>
        <w:t>o</w:t>
      </w:r>
      <w:r w:rsidR="003C5A2B" w:rsidRPr="00742A04">
        <w:rPr>
          <w:i/>
        </w:rPr>
        <w:t>piedad</w:t>
      </w:r>
      <w:r w:rsidR="00545D1B" w:rsidRPr="00742A04">
        <w:t xml:space="preserve"> </w:t>
      </w:r>
      <w:r w:rsidR="00877AA0" w:rsidRPr="00742A04">
        <w:t>y</w:t>
      </w:r>
      <w:r w:rsidR="003C5A2B" w:rsidRPr="00742A04">
        <w:t xml:space="preserve"> la</w:t>
      </w:r>
      <w:r w:rsidR="00545D1B" w:rsidRPr="00742A04">
        <w:t xml:space="preserve"> </w:t>
      </w:r>
      <w:r w:rsidR="00545D1B" w:rsidRPr="00742A04">
        <w:rPr>
          <w:i/>
        </w:rPr>
        <w:t>exclus</w:t>
      </w:r>
      <w:r w:rsidR="005E6919" w:rsidRPr="00742A04">
        <w:rPr>
          <w:i/>
        </w:rPr>
        <w:t xml:space="preserve">ión </w:t>
      </w:r>
      <w:r w:rsidR="004A0730" w:rsidRPr="00742A04">
        <w:t>de</w:t>
      </w:r>
      <w:r w:rsidR="00545D1B" w:rsidRPr="00742A04">
        <w:t xml:space="preserve"> </w:t>
      </w:r>
      <w:r w:rsidR="003C5A2B" w:rsidRPr="00742A04">
        <w:t>empresas</w:t>
      </w:r>
      <w:r w:rsidR="00545D1B" w:rsidRPr="00742A04">
        <w:t xml:space="preserve"> </w:t>
      </w:r>
      <w:r w:rsidR="003C5A2B" w:rsidRPr="00742A04">
        <w:t>del universo de inversiones del fondo</w:t>
      </w:r>
      <w:r w:rsidR="00545D1B" w:rsidRPr="00742A04">
        <w:t>.</w:t>
      </w:r>
    </w:p>
    <w:p w:rsidR="00545D1B" w:rsidRPr="00742A04" w:rsidRDefault="003C5A2B" w:rsidP="000B48A7">
      <w:pPr>
        <w:pStyle w:val="SingleTxt"/>
        <w:ind w:firstLine="475"/>
      </w:pPr>
      <w:r w:rsidRPr="00742A04">
        <w:t xml:space="preserve">Por </w:t>
      </w:r>
      <w:r w:rsidRPr="00742A04">
        <w:rPr>
          <w:i/>
        </w:rPr>
        <w:t>“ejercicio de derechos de propiedad”</w:t>
      </w:r>
      <w:r w:rsidR="00545D1B" w:rsidRPr="00742A04">
        <w:t xml:space="preserve"> </w:t>
      </w:r>
      <w:r w:rsidRPr="00742A04">
        <w:t>se entiende tratar de</w:t>
      </w:r>
      <w:r w:rsidR="00545D1B" w:rsidRPr="00742A04">
        <w:t xml:space="preserve"> influ</w:t>
      </w:r>
      <w:r w:rsidRPr="00742A04">
        <w:t>ir en el</w:t>
      </w:r>
      <w:r w:rsidR="00FF575F" w:rsidRPr="00742A04">
        <w:t xml:space="preserve"> </w:t>
      </w:r>
      <w:r w:rsidR="00935A90" w:rsidRPr="00742A04">
        <w:t>comportamiento</w:t>
      </w:r>
      <w:r w:rsidR="00545D1B" w:rsidRPr="00742A04">
        <w:t xml:space="preserve"> </w:t>
      </w:r>
      <w:r w:rsidRPr="00742A04">
        <w:t>siendo un activo</w:t>
      </w:r>
      <w:r w:rsidR="00545D1B" w:rsidRPr="00742A04">
        <w:t xml:space="preserve"> </w:t>
      </w:r>
      <w:r w:rsidRPr="00742A04">
        <w:t>accionista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las empresas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que haya invertido</w:t>
      </w:r>
      <w:r w:rsidR="00545D1B" w:rsidRPr="00742A04">
        <w:t xml:space="preserve"> </w:t>
      </w:r>
      <w:r w:rsidR="006B65CD" w:rsidRPr="00742A04">
        <w:t>el fondo</w:t>
      </w:r>
      <w:r w:rsidR="00545D1B" w:rsidRPr="00742A04">
        <w:t xml:space="preserve">. </w:t>
      </w:r>
      <w:r w:rsidR="008A25D7" w:rsidRPr="00742A04">
        <w:t xml:space="preserve">El </w:t>
      </w:r>
      <w:r w:rsidR="00545D1B" w:rsidRPr="00742A04">
        <w:t xml:space="preserve">Norges Bank </w:t>
      </w:r>
      <w:r w:rsidR="008A25D7" w:rsidRPr="00742A04">
        <w:t>tiene el cometido</w:t>
      </w:r>
      <w:r w:rsidR="00545D1B" w:rsidRPr="00742A04">
        <w:t xml:space="preserve"> </w:t>
      </w:r>
      <w:r w:rsidR="004A0730" w:rsidRPr="00742A04">
        <w:t>de</w:t>
      </w:r>
      <w:r w:rsidR="008A25D7" w:rsidRPr="00742A04">
        <w:t xml:space="preserve"> ej</w:t>
      </w:r>
      <w:r w:rsidR="00545D1B" w:rsidRPr="00742A04">
        <w:t>erc</w:t>
      </w:r>
      <w:r w:rsidR="008A25D7" w:rsidRPr="00742A04">
        <w:t>er los derechos de propiedad</w:t>
      </w:r>
      <w:r w:rsidR="00545D1B" w:rsidRPr="00742A04">
        <w:t xml:space="preserve">. </w:t>
      </w:r>
      <w:r w:rsidR="008A25D7" w:rsidRPr="00742A04">
        <w:t>P</w:t>
      </w:r>
      <w:r w:rsidR="00F43124" w:rsidRPr="00742A04">
        <w:t>ara</w:t>
      </w:r>
      <w:r w:rsidR="00545D1B" w:rsidRPr="00742A04">
        <w:t xml:space="preserve"> </w:t>
      </w:r>
      <w:r w:rsidR="008A25D7" w:rsidRPr="00742A04">
        <w:t xml:space="preserve">la gestión </w:t>
      </w:r>
      <w:r w:rsidR="00C076F2" w:rsidRPr="00742A04">
        <w:t xml:space="preserve">de los </w:t>
      </w:r>
      <w:r w:rsidR="008A25D7" w:rsidRPr="00742A04">
        <w:t>derechos de propiedad</w:t>
      </w:r>
      <w:r w:rsidR="00545D1B" w:rsidRPr="00742A04">
        <w:t xml:space="preserve"> </w:t>
      </w:r>
      <w:r w:rsidR="008A25D7" w:rsidRPr="00742A04">
        <w:t xml:space="preserve">se han elaborado directrices </w:t>
      </w:r>
      <w:r w:rsidR="00D3378F" w:rsidRPr="00742A04">
        <w:t>en cons</w:t>
      </w:r>
      <w:r w:rsidR="00D3378F" w:rsidRPr="00742A04">
        <w:t>o</w:t>
      </w:r>
      <w:r w:rsidR="00D3378F" w:rsidRPr="00742A04">
        <w:t>nancia con</w:t>
      </w:r>
      <w:r w:rsidR="00545D1B" w:rsidRPr="00742A04">
        <w:t xml:space="preserve"> </w:t>
      </w:r>
      <w:r w:rsidR="00040B78" w:rsidRPr="00742A04">
        <w:t>el Pacto Mundial de las Naciones Unidas</w:t>
      </w:r>
      <w:r w:rsidR="00545D1B" w:rsidRPr="00742A04">
        <w:t xml:space="preserve">. </w:t>
      </w:r>
      <w:r w:rsidR="008A25D7" w:rsidRPr="00742A04">
        <w:t>No es de esperar que los resu</w:t>
      </w:r>
      <w:r w:rsidR="008A25D7" w:rsidRPr="00742A04">
        <w:t>l</w:t>
      </w:r>
      <w:r w:rsidR="008A25D7" w:rsidRPr="00742A04">
        <w:t>tados de e</w:t>
      </w:r>
      <w:r w:rsidR="008A25D7" w:rsidRPr="00742A04">
        <w:t>s</w:t>
      </w:r>
      <w:r w:rsidR="00F43124" w:rsidRPr="00742A04">
        <w:t>os</w:t>
      </w:r>
      <w:r w:rsidR="00502E16" w:rsidRPr="00742A04">
        <w:t xml:space="preserve"> esfuerzos</w:t>
      </w:r>
      <w:r w:rsidR="00545D1B" w:rsidRPr="00742A04">
        <w:t xml:space="preserve"> </w:t>
      </w:r>
      <w:r w:rsidR="008A25D7" w:rsidRPr="00742A04">
        <w:t>sean rápidos</w:t>
      </w:r>
      <w:r w:rsidR="00545D1B" w:rsidRPr="00742A04">
        <w:t xml:space="preserve">, </w:t>
      </w:r>
      <w:r w:rsidR="008A25D7" w:rsidRPr="00742A04">
        <w:t>ni</w:t>
      </w:r>
      <w:r w:rsidR="00545D1B" w:rsidRPr="00742A04">
        <w:t xml:space="preserve"> </w:t>
      </w:r>
      <w:r w:rsidR="00980475" w:rsidRPr="00742A04">
        <w:t>necesariamente</w:t>
      </w:r>
      <w:r w:rsidR="008A25D7" w:rsidRPr="00742A04">
        <w:t xml:space="preserve"> mensurables</w:t>
      </w:r>
      <w:r w:rsidR="00545D1B" w:rsidRPr="00742A04">
        <w:t>.</w:t>
      </w:r>
    </w:p>
    <w:p w:rsidR="000A08D8" w:rsidRPr="00742A04" w:rsidRDefault="00EF71C9" w:rsidP="000B48A7">
      <w:pPr>
        <w:pStyle w:val="SingleTxt"/>
        <w:ind w:firstLine="475"/>
      </w:pPr>
      <w:r w:rsidRPr="00742A04">
        <w:t>La</w:t>
      </w:r>
      <w:r w:rsidRPr="00742A04">
        <w:rPr>
          <w:i/>
        </w:rPr>
        <w:t xml:space="preserve"> e</w:t>
      </w:r>
      <w:r w:rsidR="00545D1B" w:rsidRPr="00742A04">
        <w:rPr>
          <w:i/>
        </w:rPr>
        <w:t>xclus</w:t>
      </w:r>
      <w:r w:rsidR="005E6919" w:rsidRPr="00742A04">
        <w:rPr>
          <w:i/>
        </w:rPr>
        <w:t xml:space="preserve">ión </w:t>
      </w:r>
      <w:r w:rsidR="004A0730" w:rsidRPr="00742A04">
        <w:t>de</w:t>
      </w:r>
      <w:r w:rsidR="00545D1B" w:rsidRPr="00742A04">
        <w:t xml:space="preserve"> </w:t>
      </w:r>
      <w:r w:rsidRPr="00742A04">
        <w:t>empresas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7D4688" w:rsidRPr="00742A04">
        <w:t>un</w:t>
      </w:r>
      <w:r w:rsidR="00545D1B" w:rsidRPr="00742A04">
        <w:t xml:space="preserve"> </w:t>
      </w:r>
      <w:r w:rsidR="007D4688" w:rsidRPr="00742A04">
        <w:t>instrumento</w:t>
      </w:r>
      <w:r w:rsidR="00545D1B" w:rsidRPr="00742A04">
        <w:t xml:space="preserve"> </w:t>
      </w:r>
      <w:r w:rsidR="007D4688" w:rsidRPr="00742A04">
        <w:t>cuyo fin es</w:t>
      </w:r>
      <w:r w:rsidR="00545D1B" w:rsidRPr="00742A04">
        <w:t xml:space="preserve"> </w:t>
      </w:r>
      <w:r w:rsidR="007D4688" w:rsidRPr="00742A04">
        <w:t>evitar que</w:t>
      </w:r>
      <w:r w:rsidR="00545D1B" w:rsidRPr="00742A04">
        <w:t xml:space="preserve"> </w:t>
      </w:r>
      <w:r w:rsidR="006B65CD" w:rsidRPr="00742A04">
        <w:t>el fondo</w:t>
      </w:r>
      <w:r w:rsidR="00545D1B" w:rsidRPr="00742A04">
        <w:t xml:space="preserve"> contribu</w:t>
      </w:r>
      <w:r w:rsidR="007D4688" w:rsidRPr="00742A04">
        <w:t>ya a que se produzcan graves violaciones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E603B" w:rsidRPr="00742A04">
        <w:t>normas éticas</w:t>
      </w:r>
      <w:r w:rsidR="007D4688" w:rsidRPr="00742A04">
        <w:t xml:space="preserve"> u omisiones</w:t>
      </w:r>
      <w:r w:rsidR="00545D1B" w:rsidRPr="00742A04">
        <w:t xml:space="preserve">. </w:t>
      </w:r>
      <w:r w:rsidR="005E603B" w:rsidRPr="00742A04">
        <w:t>Las directrices</w:t>
      </w:r>
      <w:r w:rsidR="002E5047" w:rsidRPr="00742A04">
        <w:t xml:space="preserve"> e </w:t>
      </w:r>
      <w:r w:rsidR="003C5A2B" w:rsidRPr="00742A04">
        <w:t>instrumentos</w:t>
      </w:r>
      <w:r w:rsidR="00545D1B" w:rsidRPr="00742A04">
        <w:t xml:space="preserve"> </w:t>
      </w:r>
      <w:r w:rsidR="007D4688" w:rsidRPr="00742A04">
        <w:t>abarcan</w:t>
      </w:r>
      <w:r w:rsidR="00545D1B" w:rsidRPr="00742A04">
        <w:t xml:space="preserve"> </w:t>
      </w:r>
      <w:r w:rsidR="007D4688" w:rsidRPr="00742A04">
        <w:t>una amplia gama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E5047" w:rsidRPr="00742A04">
        <w:t>cuestiones</w:t>
      </w:r>
      <w:r w:rsidR="007D4688" w:rsidRPr="00742A04">
        <w:t>, entre ellas,</w:t>
      </w:r>
      <w:r w:rsidR="00545D1B" w:rsidRPr="00742A04">
        <w:t xml:space="preserve"> </w:t>
      </w:r>
      <w:r w:rsidR="004D313C" w:rsidRPr="00742A04">
        <w:rPr>
          <w:i/>
        </w:rPr>
        <w:t>los derechos</w:t>
      </w:r>
      <w:r w:rsidR="00545D1B" w:rsidRPr="00742A04">
        <w:rPr>
          <w:i/>
        </w:rPr>
        <w:t xml:space="preserve"> </w:t>
      </w:r>
      <w:r w:rsidR="004D313C" w:rsidRPr="00742A04">
        <w:rPr>
          <w:i/>
        </w:rPr>
        <w:t>de las mujeres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</w:t>
      </w:r>
      <w:r w:rsidR="002F3238" w:rsidRPr="00742A04">
        <w:rPr>
          <w:i/>
        </w:rPr>
        <w:t>los niños</w:t>
      </w:r>
      <w:r w:rsidR="00545D1B" w:rsidRPr="00742A04">
        <w:t xml:space="preserve">. </w:t>
      </w:r>
      <w:r w:rsidR="00CF2F77" w:rsidRPr="00742A04">
        <w:t>Es</w:t>
      </w:r>
      <w:r w:rsidR="00545D1B" w:rsidRPr="00742A04">
        <w:t xml:space="preserve"> </w:t>
      </w:r>
      <w:r w:rsidR="008E5EBF" w:rsidRPr="00742A04">
        <w:t>responsabilidad</w:t>
      </w:r>
      <w:r w:rsidR="0030626A" w:rsidRPr="00742A04">
        <w:t xml:space="preserve"> del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D4688" w:rsidRPr="00742A04">
        <w:t>Finanzas</w:t>
      </w:r>
      <w:r w:rsidR="00545D1B" w:rsidRPr="00742A04">
        <w:t xml:space="preserve"> </w:t>
      </w:r>
      <w:r w:rsidR="007D4688" w:rsidRPr="00742A04">
        <w:t>disponer la exclusión de</w:t>
      </w:r>
      <w:r w:rsidR="00545D1B" w:rsidRPr="00742A04">
        <w:t xml:space="preserve"> </w:t>
      </w:r>
      <w:r w:rsidRPr="00742A04">
        <w:t>empresas</w:t>
      </w:r>
      <w:r w:rsidR="00545D1B" w:rsidRPr="00742A04">
        <w:t xml:space="preserve"> </w:t>
      </w:r>
      <w:r w:rsidR="003C5A2B" w:rsidRPr="00742A04">
        <w:t>del universo de inversiones del fondo</w:t>
      </w:r>
      <w:r w:rsidR="00545D1B" w:rsidRPr="00742A04">
        <w:t>.</w:t>
      </w:r>
      <w:r w:rsidR="001167D2" w:rsidRPr="00742A04">
        <w:t xml:space="preserve"> </w:t>
      </w:r>
      <w:r w:rsidR="0073499D" w:rsidRPr="00742A04">
        <w:t>El Mini</w:t>
      </w:r>
      <w:r w:rsidR="0073499D" w:rsidRPr="00742A04">
        <w:t>s</w:t>
      </w:r>
      <w:r w:rsidR="0073499D" w:rsidRPr="00742A04">
        <w:t>terio toma esas decision</w:t>
      </w:r>
      <w:r w:rsidR="0073499D">
        <w:t>es sobre la</w:t>
      </w:r>
      <w:r w:rsidR="0073499D" w:rsidRPr="00742A04">
        <w:t xml:space="preserve"> bas</w:t>
      </w:r>
      <w:r w:rsidR="0073499D">
        <w:t>e de</w:t>
      </w:r>
      <w:r w:rsidR="0073499D" w:rsidRPr="00742A04">
        <w:t xml:space="preserve"> las recomendaciones del Consejo de Ét</w:t>
      </w:r>
      <w:r w:rsidR="0073499D" w:rsidRPr="00742A04">
        <w:t>i</w:t>
      </w:r>
      <w:r w:rsidR="0073499D" w:rsidRPr="00742A04">
        <w:t>ca para el Fondo de Pensiones del Gobierno – Global, que evalúa cada caso para d</w:t>
      </w:r>
      <w:r w:rsidR="0073499D" w:rsidRPr="00742A04">
        <w:t>e</w:t>
      </w:r>
      <w:r w:rsidR="0073499D" w:rsidRPr="00742A04">
        <w:t xml:space="preserve">terminar si una inversión es contraria a las Directrices Éticas. </w:t>
      </w:r>
      <w:r w:rsidR="005E603B" w:rsidRPr="00742A04">
        <w:t>El Consejo</w:t>
      </w:r>
      <w:r w:rsidR="00545D1B" w:rsidRPr="00742A04">
        <w:t xml:space="preserve"> </w:t>
      </w:r>
      <w:r w:rsidR="007D4688" w:rsidRPr="00742A04">
        <w:t>debe</w:t>
      </w:r>
      <w:r w:rsidR="00545D1B" w:rsidRPr="00742A04">
        <w:t xml:space="preserve"> </w:t>
      </w:r>
      <w:r w:rsidR="00CE1CFC" w:rsidRPr="00742A04">
        <w:t>r</w:t>
      </w:r>
      <w:r w:rsidR="00CE1CFC" w:rsidRPr="00742A04">
        <w:t>e</w:t>
      </w:r>
      <w:r w:rsidR="00CE1CFC" w:rsidRPr="00742A04">
        <w:t>com</w:t>
      </w:r>
      <w:r w:rsidR="00545D1B" w:rsidRPr="00742A04">
        <w:t>end</w:t>
      </w:r>
      <w:r w:rsidR="007D4688" w:rsidRPr="00742A04">
        <w:t>ar la</w:t>
      </w:r>
      <w:r w:rsidR="00545D1B" w:rsidRPr="00742A04">
        <w:t xml:space="preserve"> exclus</w:t>
      </w:r>
      <w:r w:rsidR="005E6919" w:rsidRPr="00742A04">
        <w:t xml:space="preserve">ión </w:t>
      </w:r>
      <w:r w:rsidR="00232DF9" w:rsidRPr="00742A04">
        <w:t>si</w:t>
      </w:r>
      <w:r w:rsidR="00545D1B" w:rsidRPr="00742A04">
        <w:t xml:space="preserve"> </w:t>
      </w:r>
      <w:r w:rsidR="00F43124" w:rsidRPr="00742A04">
        <w:t>hay</w:t>
      </w:r>
      <w:r w:rsidR="00545D1B" w:rsidRPr="00742A04">
        <w:t xml:space="preserve"> </w:t>
      </w:r>
      <w:r w:rsidR="007D4688" w:rsidRPr="00742A04">
        <w:t>u</w:t>
      </w:r>
      <w:r w:rsidR="00545D1B" w:rsidRPr="00742A04">
        <w:t xml:space="preserve">n </w:t>
      </w:r>
      <w:r w:rsidR="007D4688" w:rsidRPr="00742A04">
        <w:t xml:space="preserve">riesgo </w:t>
      </w:r>
      <w:r w:rsidR="00032136" w:rsidRPr="00742A04">
        <w:t>inaceptable</w:t>
      </w:r>
      <w:r w:rsidR="00545D1B" w:rsidRPr="00742A04">
        <w:t xml:space="preserve"> </w:t>
      </w:r>
      <w:r w:rsidR="007D4688" w:rsidRPr="00742A04">
        <w:t>de que</w:t>
      </w:r>
      <w:r w:rsidR="00545D1B" w:rsidRPr="00742A04">
        <w:t xml:space="preserve"> </w:t>
      </w:r>
      <w:r w:rsidR="006B65CD" w:rsidRPr="00742A04">
        <w:t>el fondo</w:t>
      </w:r>
      <w:r w:rsidR="00545D1B" w:rsidRPr="00742A04">
        <w:t xml:space="preserve"> </w:t>
      </w:r>
      <w:r w:rsidR="00BB4DB1" w:rsidRPr="00742A04">
        <w:t>es</w:t>
      </w:r>
      <w:r w:rsidR="007D4688" w:rsidRPr="00742A04">
        <w:t>té</w:t>
      </w:r>
      <w:r w:rsidR="00545D1B" w:rsidRPr="00742A04">
        <w:t xml:space="preserve"> contrib</w:t>
      </w:r>
      <w:r w:rsidR="00545D1B" w:rsidRPr="00742A04">
        <w:t>u</w:t>
      </w:r>
      <w:r w:rsidR="007D4688" w:rsidRPr="00742A04">
        <w:t>yendo a un</w:t>
      </w:r>
      <w:r w:rsidR="0030626A" w:rsidRPr="00742A04">
        <w:t>a</w:t>
      </w:r>
      <w:r w:rsidR="00545D1B" w:rsidRPr="00742A04">
        <w:t xml:space="preserve"> viola</w:t>
      </w:r>
      <w:r w:rsidR="00C14BFF" w:rsidRPr="00742A04">
        <w:t xml:space="preserve">ción </w:t>
      </w:r>
      <w:r w:rsidR="004A0730" w:rsidRPr="00742A04">
        <w:t>de</w:t>
      </w:r>
      <w:r w:rsidR="00A45C39">
        <w:t xml:space="preserve"> los</w:t>
      </w:r>
      <w:r w:rsidR="00545D1B" w:rsidRPr="00742A04">
        <w:t xml:space="preserve"> </w:t>
      </w:r>
      <w:r w:rsidR="00A05847" w:rsidRPr="00742A04">
        <w:t>derechos humanos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45C39">
        <w:t xml:space="preserve">los </w:t>
      </w:r>
      <w:r w:rsidR="007D4688" w:rsidRPr="00742A04">
        <w:t xml:space="preserve">derechos </w:t>
      </w:r>
      <w:r w:rsidR="00C076F2" w:rsidRPr="00742A04">
        <w:t xml:space="preserve">de los </w:t>
      </w:r>
      <w:r w:rsidR="007D4688" w:rsidRPr="00742A04">
        <w:t xml:space="preserve">trabajadores </w:t>
      </w:r>
      <w:r w:rsidR="0073499D" w:rsidRPr="00742A04">
        <w:t>intern</w:t>
      </w:r>
      <w:r w:rsidR="0073499D">
        <w:t>a</w:t>
      </w:r>
      <w:r w:rsidR="0073499D" w:rsidRPr="00742A04">
        <w:t>cionalmente</w:t>
      </w:r>
      <w:r w:rsidR="007D4688" w:rsidRPr="00742A04">
        <w:t xml:space="preserve"> reconocidos</w:t>
      </w:r>
      <w:r w:rsidR="000A08D8" w:rsidRPr="00742A04">
        <w:t>.</w:t>
      </w:r>
    </w:p>
    <w:p w:rsidR="00545D1B" w:rsidRPr="00742A04" w:rsidRDefault="007D4688" w:rsidP="000B48A7">
      <w:pPr>
        <w:pStyle w:val="SingleTxt"/>
        <w:ind w:firstLine="475"/>
      </w:pPr>
      <w:r w:rsidRPr="00742A04">
        <w:t>Hasta la fecha se ha</w:t>
      </w:r>
      <w:r w:rsidR="00545D1B" w:rsidRPr="00742A04">
        <w:t xml:space="preserve"> exclu</w:t>
      </w:r>
      <w:r w:rsidRPr="00742A04">
        <w:t>ido a una empresa</w:t>
      </w:r>
      <w:r w:rsidR="0030626A" w:rsidRPr="00742A04">
        <w:t xml:space="preserve"> del </w:t>
      </w:r>
      <w:r w:rsidR="00C52942" w:rsidRPr="00742A04">
        <w:t>Fondo de Pensiones del G</w:t>
      </w:r>
      <w:r w:rsidR="00C52942" w:rsidRPr="00742A04">
        <w:t>o</w:t>
      </w:r>
      <w:r w:rsidR="00C52942" w:rsidRPr="00742A04">
        <w:t>bierno – Global</w:t>
      </w:r>
      <w:r w:rsidR="00545D1B" w:rsidRPr="00742A04">
        <w:t xml:space="preserve"> </w:t>
      </w:r>
      <w:r w:rsidRPr="00742A04">
        <w:t>sobre la base de</w:t>
      </w:r>
      <w:r w:rsidR="00545D1B" w:rsidRPr="00742A04">
        <w:t xml:space="preserve"> </w:t>
      </w:r>
      <w:r w:rsidR="00024DBC" w:rsidRPr="00742A04">
        <w:t>la evaluación</w:t>
      </w:r>
      <w:r w:rsidR="00545D1B" w:rsidRPr="00742A04">
        <w:t xml:space="preserve"> </w:t>
      </w:r>
      <w:r w:rsidRPr="00742A04">
        <w:t>de que había un riesgo</w:t>
      </w:r>
      <w:r w:rsidR="00545D1B" w:rsidRPr="00742A04">
        <w:t xml:space="preserve"> </w:t>
      </w:r>
      <w:r w:rsidR="00032136" w:rsidRPr="00742A04">
        <w:t>inaceptable</w:t>
      </w:r>
      <w:r w:rsidR="00545D1B" w:rsidRPr="00742A04">
        <w:t xml:space="preserve"> </w:t>
      </w:r>
      <w:r w:rsidR="00A45C39">
        <w:t>de que el F</w:t>
      </w:r>
      <w:r w:rsidR="00FF24A3" w:rsidRPr="00742A04">
        <w:t>ondo estuviera contribuyendo a una violación de derechos humanos y der</w:t>
      </w:r>
      <w:r w:rsidR="00FF24A3" w:rsidRPr="00742A04">
        <w:t>e</w:t>
      </w:r>
      <w:r w:rsidR="00FF24A3" w:rsidRPr="00742A04">
        <w:t xml:space="preserve">chos </w:t>
      </w:r>
      <w:r w:rsidR="00C076F2" w:rsidRPr="00742A04">
        <w:t xml:space="preserve">de los </w:t>
      </w:r>
      <w:r w:rsidR="00FF24A3" w:rsidRPr="00742A04">
        <w:t>trabajadores</w:t>
      </w:r>
      <w:r w:rsidR="00545D1B" w:rsidRPr="00742A04">
        <w:t xml:space="preserve"> </w:t>
      </w:r>
      <w:r w:rsidR="00FF24A3" w:rsidRPr="00742A04">
        <w:t>en caso de seguir teniendo</w:t>
      </w:r>
      <w:r w:rsidR="00545D1B" w:rsidRPr="00742A04">
        <w:t xml:space="preserve"> </w:t>
      </w:r>
      <w:r w:rsidR="00FF24A3" w:rsidRPr="00742A04">
        <w:t>inversiones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F24A3" w:rsidRPr="00742A04">
        <w:t>la empresa</w:t>
      </w:r>
      <w:r w:rsidR="00545D1B" w:rsidRPr="00742A04">
        <w:t xml:space="preserve">. </w:t>
      </w:r>
      <w:r w:rsidR="00FF24A3" w:rsidRPr="00742A04">
        <w:t>La d</w:t>
      </w:r>
      <w:r w:rsidR="00545D1B" w:rsidRPr="00742A04">
        <w:t>iscrimina</w:t>
      </w:r>
      <w:r w:rsidR="00C14BFF" w:rsidRPr="00742A04">
        <w:t xml:space="preserve">ción </w:t>
      </w:r>
      <w:r w:rsidR="00FF24A3" w:rsidRPr="00742A04">
        <w:t>contra</w:t>
      </w:r>
      <w:r w:rsidR="004D313C" w:rsidRPr="00742A04">
        <w:t xml:space="preserve"> las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F24A3" w:rsidRPr="00742A04">
        <w:t>el</w:t>
      </w:r>
      <w:r w:rsidR="00545D1B" w:rsidRPr="00742A04">
        <w:t xml:space="preserve"> </w:t>
      </w:r>
      <w:r w:rsidR="00AE0831" w:rsidRPr="00742A04">
        <w:t>lugar de trabajo</w:t>
      </w:r>
      <w:r w:rsidR="00545D1B" w:rsidRPr="00742A04">
        <w:t xml:space="preserve"> </w:t>
      </w:r>
      <w:r w:rsidR="00FF24A3" w:rsidRPr="00742A04">
        <w:t xml:space="preserve">fue uno </w:t>
      </w:r>
      <w:r w:rsidR="00C076F2" w:rsidRPr="00742A04">
        <w:t xml:space="preserve">de los </w:t>
      </w:r>
      <w:r w:rsidR="00FF24A3" w:rsidRPr="00742A04">
        <w:t>muchos</w:t>
      </w:r>
      <w:r w:rsidR="00545D1B" w:rsidRPr="00742A04">
        <w:t xml:space="preserve"> </w:t>
      </w:r>
      <w:r w:rsidR="00FF24A3" w:rsidRPr="00742A04">
        <w:t>el</w:t>
      </w:r>
      <w:r w:rsidR="00FF24A3" w:rsidRPr="00742A04">
        <w:t>e</w:t>
      </w:r>
      <w:r w:rsidR="00FF24A3" w:rsidRPr="00742A04">
        <w:t>mentos</w:t>
      </w:r>
      <w:r w:rsidR="00545D1B" w:rsidRPr="00742A04">
        <w:t xml:space="preserve"> </w:t>
      </w:r>
      <w:r w:rsidR="00FF24A3" w:rsidRPr="00742A04">
        <w:t xml:space="preserve">que se </w:t>
      </w:r>
      <w:r w:rsidR="00545D1B" w:rsidRPr="00742A04">
        <w:t>inclu</w:t>
      </w:r>
      <w:r w:rsidR="00FF24A3" w:rsidRPr="00742A04">
        <w:t>yeron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24DBC" w:rsidRPr="00742A04">
        <w:t>la evalu</w:t>
      </w:r>
      <w:r w:rsidR="00024DBC" w:rsidRPr="00742A04">
        <w:t>a</w:t>
      </w:r>
      <w:r w:rsidR="00024DBC" w:rsidRPr="00742A04">
        <w:t>ción</w:t>
      </w:r>
      <w:r w:rsidR="00545D1B" w:rsidRPr="00742A04">
        <w:t>.</w:t>
      </w:r>
    </w:p>
    <w:p w:rsidR="00EE22AA" w:rsidRPr="00742A04" w:rsidRDefault="00EE22AA" w:rsidP="00EE22AA">
      <w:pPr>
        <w:pStyle w:val="H23"/>
        <w:spacing w:line="120" w:lineRule="exact"/>
        <w:ind w:left="1267"/>
        <w:rPr>
          <w:bCs/>
          <w:sz w:val="10"/>
        </w:rPr>
      </w:pPr>
      <w:bookmarkStart w:id="13" w:name="_Toc147129454"/>
    </w:p>
    <w:p w:rsidR="00545D1B" w:rsidRPr="00742A04" w:rsidRDefault="00814B5D" w:rsidP="00F53AEF">
      <w:pPr>
        <w:pStyle w:val="H1"/>
        <w:ind w:left="1267"/>
      </w:pPr>
      <w:r w:rsidRPr="00742A04">
        <w:t>Artículo</w:t>
      </w:r>
      <w:r w:rsidR="00545D1B" w:rsidRPr="00742A04">
        <w:t xml:space="preserve"> 4</w:t>
      </w:r>
      <w:bookmarkEnd w:id="13"/>
    </w:p>
    <w:p w:rsidR="003A41A0" w:rsidRPr="00742A04" w:rsidRDefault="003A41A0" w:rsidP="003A41A0">
      <w:pPr>
        <w:pStyle w:val="H1"/>
        <w:spacing w:line="120" w:lineRule="exact"/>
        <w:ind w:left="1267"/>
        <w:rPr>
          <w:sz w:val="10"/>
        </w:rPr>
      </w:pPr>
      <w:bookmarkStart w:id="14" w:name="_Toc131924666"/>
      <w:bookmarkStart w:id="15" w:name="_Toc147129455"/>
    </w:p>
    <w:p w:rsidR="00EE22AA" w:rsidRPr="00742A04" w:rsidRDefault="00814B5D" w:rsidP="003A41A0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EE22AA" w:rsidRPr="00742A04">
        <w:rPr>
          <w:bCs/>
        </w:rPr>
        <w:t xml:space="preserve"> 4.1</w:t>
      </w:r>
    </w:p>
    <w:p w:rsidR="00545D1B" w:rsidRPr="00742A04" w:rsidRDefault="00A05847" w:rsidP="003A41A0">
      <w:pPr>
        <w:pStyle w:val="H23"/>
        <w:ind w:left="1267"/>
        <w:rPr>
          <w:bCs/>
        </w:rPr>
      </w:pPr>
      <w:r w:rsidRPr="00742A04">
        <w:rPr>
          <w:bCs/>
        </w:rPr>
        <w:t>Medidas especiales para promover la igualdad de género</w:t>
      </w:r>
      <w:bookmarkEnd w:id="14"/>
      <w:bookmarkEnd w:id="15"/>
    </w:p>
    <w:p w:rsidR="00EE22AA" w:rsidRPr="00742A04" w:rsidRDefault="00EE22AA" w:rsidP="00EE22AA">
      <w:pPr>
        <w:pStyle w:val="SingleTxt"/>
        <w:spacing w:after="0" w:line="120" w:lineRule="exact"/>
        <w:rPr>
          <w:sz w:val="10"/>
        </w:rPr>
      </w:pPr>
    </w:p>
    <w:p w:rsidR="00545D1B" w:rsidRPr="00742A04" w:rsidRDefault="005E08DF" w:rsidP="000B48A7">
      <w:pPr>
        <w:pStyle w:val="SingleTxt"/>
        <w:ind w:firstLine="475"/>
      </w:pPr>
      <w:r w:rsidRPr="00742A04">
        <w:t>Corresponde remitirse</w:t>
      </w:r>
      <w:r w:rsidR="00545D1B" w:rsidRPr="00742A04">
        <w:t xml:space="preserve"> </w:t>
      </w:r>
      <w:r w:rsidR="0030626A" w:rsidRPr="00742A04">
        <w:t>a</w:t>
      </w:r>
      <w:r w:rsidRPr="00742A04">
        <w:t>l</w:t>
      </w:r>
      <w:r w:rsidR="00FF575F" w:rsidRPr="00742A04">
        <w:t xml:space="preserve"> artículo</w:t>
      </w:r>
      <w:r w:rsidR="00545D1B" w:rsidRPr="00742A04">
        <w:t xml:space="preserve"> 7 </w:t>
      </w:r>
      <w:r w:rsidR="00F43124" w:rsidRPr="00742A04">
        <w:t>para</w:t>
      </w:r>
      <w:r w:rsidRPr="00742A04">
        <w:t xml:space="preserve"> la</w:t>
      </w:r>
      <w:r w:rsidR="00545D1B" w:rsidRPr="00742A04">
        <w:t xml:space="preserve"> informa</w:t>
      </w:r>
      <w:r w:rsidR="00C14BFF" w:rsidRPr="00742A04">
        <w:t xml:space="preserve">ción </w:t>
      </w:r>
      <w:r w:rsidRPr="00742A04">
        <w:t>relativa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represe</w:t>
      </w:r>
      <w:r w:rsidRPr="00742A04">
        <w:t>n</w:t>
      </w:r>
      <w:r w:rsidRPr="00742A04">
        <w:t>tación política</w:t>
      </w:r>
      <w:r w:rsidR="00935A90" w:rsidRPr="00742A04">
        <w:t>,</w:t>
      </w:r>
      <w:r w:rsidR="00FF575F" w:rsidRPr="00742A04">
        <w:t xml:space="preserve"> </w:t>
      </w:r>
      <w:r w:rsidRPr="00742A04">
        <w:t xml:space="preserve">al </w:t>
      </w:r>
      <w:r w:rsidR="00FF575F" w:rsidRPr="00742A04">
        <w:t>artículo</w:t>
      </w:r>
      <w:r w:rsidR="00545D1B" w:rsidRPr="00742A04">
        <w:t xml:space="preserve"> 10 </w:t>
      </w:r>
      <w:r w:rsidRPr="00742A04">
        <w:t>en relación con</w:t>
      </w:r>
      <w:r w:rsidR="00545D1B" w:rsidRPr="00742A04">
        <w:t xml:space="preserve"> </w:t>
      </w:r>
      <w:r w:rsidR="00D620D0">
        <w:t xml:space="preserve">la </w:t>
      </w:r>
      <w:r w:rsidR="00A05847" w:rsidRPr="00742A04">
        <w:t>educación</w:t>
      </w:r>
      <w:r w:rsidR="00545D1B" w:rsidRPr="00742A04">
        <w:t xml:space="preserve"> </w:t>
      </w:r>
      <w:r w:rsidR="00877AA0" w:rsidRPr="00742A04">
        <w:t>y</w:t>
      </w:r>
      <w:r w:rsidR="00FF575F" w:rsidRPr="00742A04">
        <w:t xml:space="preserve"> </w:t>
      </w:r>
      <w:r w:rsidR="00D620D0">
        <w:t xml:space="preserve">al </w:t>
      </w:r>
      <w:r w:rsidR="00FF575F" w:rsidRPr="00742A04">
        <w:t>artículo</w:t>
      </w:r>
      <w:r w:rsidR="00545D1B" w:rsidRPr="00742A04">
        <w:t xml:space="preserve"> 11 </w:t>
      </w:r>
      <w:r w:rsidRPr="00742A04">
        <w:t>en rel</w:t>
      </w:r>
      <w:r w:rsidRPr="00742A04">
        <w:t>a</w:t>
      </w:r>
      <w:r w:rsidRPr="00742A04">
        <w:t>ción con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>.</w:t>
      </w:r>
    </w:p>
    <w:p w:rsidR="00545D1B" w:rsidRPr="00742A04" w:rsidRDefault="005E603B" w:rsidP="000B48A7">
      <w:pPr>
        <w:pStyle w:val="SingleTxt"/>
        <w:ind w:firstLine="475"/>
      </w:pPr>
      <w:r w:rsidRPr="00742A04">
        <w:t xml:space="preserve">Con arreglo al artículo </w:t>
      </w:r>
      <w:r w:rsidR="00545D1B" w:rsidRPr="00742A04">
        <w:t xml:space="preserve">1 </w:t>
      </w:r>
      <w:r w:rsidR="00F43124" w:rsidRPr="00742A04">
        <w:t xml:space="preserve">de la </w:t>
      </w:r>
      <w:r w:rsidR="00A05847" w:rsidRPr="00742A04">
        <w:t>Ley sobre la Igualdad de Género</w:t>
      </w:r>
      <w:r w:rsidR="00545D1B" w:rsidRPr="00742A04">
        <w:t xml:space="preserve">, </w:t>
      </w:r>
      <w:r w:rsidR="00552048" w:rsidRPr="00742A04">
        <w:t>las autorid</w:t>
      </w:r>
      <w:r w:rsidR="00552048" w:rsidRPr="00742A04">
        <w:t>a</w:t>
      </w:r>
      <w:r w:rsidR="00552048" w:rsidRPr="00742A04">
        <w:t>des públicas</w:t>
      </w:r>
      <w:r w:rsidR="00545D1B" w:rsidRPr="00742A04">
        <w:t xml:space="preserve"> </w:t>
      </w:r>
      <w:r w:rsidR="007D4688" w:rsidRPr="00742A04">
        <w:t>debe</w:t>
      </w:r>
      <w:r w:rsidR="00C923A8" w:rsidRPr="00742A04">
        <w:t>n hacer esfuerzos sistemáticos y claramente enfocados por prom</w:t>
      </w:r>
      <w:r w:rsidR="00C923A8" w:rsidRPr="00742A04">
        <w:t>o</w:t>
      </w:r>
      <w:r w:rsidR="00C923A8" w:rsidRPr="00742A04">
        <w:t>ver la igualdad entre mujeres y hombres en todas las esferas de la sociedad</w:t>
      </w:r>
      <w:r w:rsidR="00545D1B" w:rsidRPr="00742A04">
        <w:t xml:space="preserve">. </w:t>
      </w:r>
      <w:r w:rsidR="00C923A8" w:rsidRPr="00742A04">
        <w:t>Sobre la b</w:t>
      </w:r>
      <w:r w:rsidR="006137EC" w:rsidRPr="00742A04">
        <w:t>as</w:t>
      </w:r>
      <w:r w:rsidR="00C923A8" w:rsidRPr="00742A04">
        <w:t>e de esa</w:t>
      </w:r>
      <w:r w:rsidR="00545D1B" w:rsidRPr="00742A04">
        <w:t xml:space="preserve"> </w:t>
      </w:r>
      <w:r w:rsidR="00C923A8" w:rsidRPr="00742A04">
        <w:t>disposición</w:t>
      </w:r>
      <w:r w:rsidR="00545D1B" w:rsidRPr="00742A04">
        <w:t xml:space="preserve">, </w:t>
      </w:r>
      <w:r w:rsidR="00C923A8" w:rsidRPr="00742A04">
        <w:t>se ha adoptado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52048" w:rsidRPr="00742A04">
        <w:t xml:space="preserve">incorporación </w:t>
      </w:r>
      <w:r w:rsidR="00F43124" w:rsidRPr="00742A04">
        <w:t xml:space="preserve">de la </w:t>
      </w:r>
      <w:r w:rsidR="00552048" w:rsidRPr="00742A04">
        <w:t>perspectiva de gén</w:t>
      </w:r>
      <w:r w:rsidR="00552048" w:rsidRPr="00742A04">
        <w:t>e</w:t>
      </w:r>
      <w:r w:rsidR="00552048" w:rsidRPr="00742A04">
        <w:t>ro</w:t>
      </w:r>
      <w:r w:rsidR="00545D1B" w:rsidRPr="00742A04">
        <w:t xml:space="preserve"> </w:t>
      </w:r>
      <w:r w:rsidR="00C923A8" w:rsidRPr="00742A04">
        <w:t>como</w:t>
      </w:r>
      <w:r w:rsidR="00545D1B" w:rsidRPr="00742A04">
        <w:t xml:space="preserve"> </w:t>
      </w:r>
      <w:r w:rsidR="00C923A8" w:rsidRPr="00742A04">
        <w:t>estrategia</w:t>
      </w:r>
      <w:r w:rsidR="00545D1B" w:rsidRPr="00742A04">
        <w:t xml:space="preserve"> </w:t>
      </w:r>
      <w:r w:rsidR="00F43124" w:rsidRPr="00742A04">
        <w:t>para</w:t>
      </w:r>
      <w:r w:rsidR="00C923A8" w:rsidRPr="00742A04">
        <w:t xml:space="preserve">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. </w:t>
      </w:r>
      <w:r w:rsidR="00C923A8" w:rsidRPr="00742A04">
        <w:t>Dicha estrategia fue</w:t>
      </w:r>
      <w:r w:rsidR="00545D1B" w:rsidRPr="00742A04">
        <w:t xml:space="preserve"> descri</w:t>
      </w:r>
      <w:r w:rsidR="00C923A8" w:rsidRPr="00742A04">
        <w:t>ta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923A8" w:rsidRPr="00742A04">
        <w:t>det</w:t>
      </w:r>
      <w:r w:rsidR="00C923A8" w:rsidRPr="00742A04">
        <w:t>a</w:t>
      </w:r>
      <w:r w:rsidR="00C923A8" w:rsidRPr="00742A04">
        <w:t>lle</w:t>
      </w:r>
      <w:r w:rsidR="00545D1B" w:rsidRPr="00742A04">
        <w:t xml:space="preserve"> </w:t>
      </w:r>
      <w:r w:rsidR="00C14BFF" w:rsidRPr="00742A04">
        <w:t>en informes anteriores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923A8" w:rsidRPr="00742A04">
        <w:t>la labor actualmente en curso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52048" w:rsidRPr="00742A04">
        <w:t xml:space="preserve">incorporación </w:t>
      </w:r>
      <w:r w:rsidR="00F43124" w:rsidRPr="00742A04">
        <w:t xml:space="preserve">de la </w:t>
      </w:r>
      <w:r w:rsidR="00552048" w:rsidRPr="00742A04">
        <w:t>perspectiva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923A8" w:rsidRPr="00742A04">
        <w:t>los trabajos relac</w:t>
      </w:r>
      <w:r w:rsidR="00FE0B76">
        <w:t>ionados con el presupuesto del E</w:t>
      </w:r>
      <w:r w:rsidR="00C923A8" w:rsidRPr="00742A04">
        <w:t>stado</w:t>
      </w:r>
      <w:r w:rsidR="00545D1B" w:rsidRPr="00742A04">
        <w:t xml:space="preserve"> </w:t>
      </w:r>
      <w:r w:rsidR="00C923A8" w:rsidRPr="00742A04">
        <w:t>se ha</w:t>
      </w:r>
      <w:r w:rsidR="00545D1B" w:rsidRPr="00742A04">
        <w:t xml:space="preserve"> descri</w:t>
      </w:r>
      <w:r w:rsidR="00C923A8" w:rsidRPr="00742A04">
        <w:t>to</w:t>
      </w:r>
      <w:r w:rsidR="00545D1B" w:rsidRPr="00742A04">
        <w:t xml:space="preserve"> </w:t>
      </w:r>
      <w:r w:rsidR="00552048" w:rsidRPr="00742A04">
        <w:t>en relación con el artíc</w:t>
      </w:r>
      <w:r w:rsidR="00552048" w:rsidRPr="00742A04">
        <w:t>u</w:t>
      </w:r>
      <w:r w:rsidR="00552048" w:rsidRPr="00742A04">
        <w:t>lo</w:t>
      </w:r>
      <w:r w:rsidR="00545D1B" w:rsidRPr="00742A04">
        <w:t xml:space="preserve"> 2</w:t>
      </w:r>
      <w:r w:rsidR="00C923A8" w:rsidRPr="00742A04">
        <w:t xml:space="preserve"> </w:t>
      </w:r>
      <w:r w:rsidR="00545D1B" w:rsidRPr="00742A04">
        <w:rPr>
          <w:i/>
        </w:rPr>
        <w:t>d</w:t>
      </w:r>
      <w:r w:rsidR="00545D1B" w:rsidRPr="00742A04">
        <w:t>.</w:t>
      </w:r>
    </w:p>
    <w:p w:rsidR="00545D1B" w:rsidRPr="00742A04" w:rsidRDefault="00831F07" w:rsidP="000B48A7">
      <w:pPr>
        <w:pStyle w:val="SingleTxt"/>
        <w:ind w:firstLine="475"/>
      </w:pPr>
      <w:r w:rsidRPr="00742A04">
        <w:t xml:space="preserve">El artículo </w:t>
      </w:r>
      <w:r w:rsidR="00545D1B" w:rsidRPr="00742A04">
        <w:t xml:space="preserve">3 </w:t>
      </w:r>
      <w:r w:rsidR="00F43124" w:rsidRPr="00742A04">
        <w:t xml:space="preserve">de la </w:t>
      </w:r>
      <w:r w:rsidR="00A05847" w:rsidRPr="00742A04">
        <w:t>Ley sobre la Igualdad de Género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C923A8" w:rsidRPr="00742A04">
        <w:t>autoriza</w:t>
      </w:r>
      <w:r w:rsidR="00545D1B" w:rsidRPr="00742A04">
        <w:t xml:space="preserve"> </w:t>
      </w:r>
      <w:r w:rsidR="00C923A8" w:rsidRPr="00742A04">
        <w:t xml:space="preserve">el </w:t>
      </w:r>
      <w:r w:rsidR="008E5EBF" w:rsidRPr="00742A04">
        <w:t>trato diferencial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923A8" w:rsidRPr="00742A04">
        <w:t>uno</w:t>
      </w:r>
      <w:r w:rsidR="00545D1B" w:rsidRPr="00742A04">
        <w:t xml:space="preserve"> </w:t>
      </w:r>
      <w:r w:rsidR="00C076F2" w:rsidRPr="00742A04">
        <w:t xml:space="preserve">de los </w:t>
      </w:r>
      <w:r w:rsidR="00072AD7" w:rsidRPr="00742A04">
        <w:t>sexos</w:t>
      </w:r>
      <w:r w:rsidR="00545D1B" w:rsidRPr="00742A04">
        <w:t xml:space="preserve">, </w:t>
      </w:r>
      <w:r w:rsidR="00232DF9" w:rsidRPr="00742A04">
        <w:t>si</w:t>
      </w:r>
      <w:r w:rsidR="00545D1B" w:rsidRPr="00742A04">
        <w:t xml:space="preserve"> </w:t>
      </w:r>
      <w:r w:rsidR="00C923A8" w:rsidRPr="00742A04">
        <w:t>ello puede ayudar a</w:t>
      </w:r>
      <w:r w:rsidR="00EA6AC2" w:rsidRPr="00742A04">
        <w:t xml:space="preserve"> </w:t>
      </w:r>
      <w:r w:rsidR="00B146CA" w:rsidRPr="00742A04">
        <w:t>promover la igualdad</w:t>
      </w:r>
      <w:r w:rsidR="00A05847" w:rsidRPr="00742A04">
        <w:t xml:space="preserve"> de g</w:t>
      </w:r>
      <w:r w:rsidR="00A05847" w:rsidRPr="00742A04">
        <w:t>é</w:t>
      </w:r>
      <w:r w:rsidR="00A05847" w:rsidRPr="00742A04">
        <w:t>nero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C923A8" w:rsidRPr="00742A04">
        <w:t xml:space="preserve">rara vez se utiliza el </w:t>
      </w:r>
      <w:r w:rsidR="008E5EBF" w:rsidRPr="00742A04">
        <w:t>trato diferencial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, </w:t>
      </w:r>
      <w:r w:rsidR="00C923A8" w:rsidRPr="00742A04">
        <w:t>la norma es principalmente una forma</w:t>
      </w:r>
      <w:r w:rsidR="00545D1B" w:rsidRPr="00742A04">
        <w:t xml:space="preserve"> modera</w:t>
      </w:r>
      <w:r w:rsidR="00C923A8" w:rsidRPr="00742A04">
        <w:t>da de</w:t>
      </w:r>
      <w:r w:rsidR="0030626A" w:rsidRPr="00742A04">
        <w:t xml:space="preserve"> </w:t>
      </w:r>
      <w:r w:rsidR="00230F13" w:rsidRPr="00742A04">
        <w:t>tratamiento dif</w:t>
      </w:r>
      <w:r w:rsidR="00230F13" w:rsidRPr="00742A04">
        <w:t>e</w:t>
      </w:r>
      <w:r w:rsidR="00230F13" w:rsidRPr="00742A04">
        <w:t>rencial positivo</w:t>
      </w:r>
      <w:r w:rsidR="00545D1B" w:rsidRPr="00742A04">
        <w:t xml:space="preserve">. </w:t>
      </w:r>
      <w:r w:rsidR="00C923A8" w:rsidRPr="00742A04">
        <w:t>Si todas las demás</w:t>
      </w:r>
      <w:r w:rsidR="00545D1B" w:rsidRPr="00742A04">
        <w:t xml:space="preserve"> condi</w:t>
      </w:r>
      <w:r w:rsidR="008907B8" w:rsidRPr="00742A04">
        <w:t>ciones</w:t>
      </w:r>
      <w:r w:rsidR="00545D1B" w:rsidRPr="00742A04">
        <w:t xml:space="preserve"> </w:t>
      </w:r>
      <w:r w:rsidR="00C923A8" w:rsidRPr="00742A04">
        <w:t>son</w:t>
      </w:r>
      <w:r w:rsidR="00545D1B" w:rsidRPr="00742A04">
        <w:t xml:space="preserve"> </w:t>
      </w:r>
      <w:r w:rsidR="00581775" w:rsidRPr="00742A04">
        <w:t>igual</w:t>
      </w:r>
      <w:r w:rsidR="00C923A8" w:rsidRPr="00742A04">
        <w:t>es</w:t>
      </w:r>
      <w:r w:rsidR="00545D1B" w:rsidRPr="00742A04">
        <w:t xml:space="preserve">, </w:t>
      </w:r>
      <w:r w:rsidR="00C923A8" w:rsidRPr="00742A04">
        <w:t>se podrá dar prefere</w:t>
      </w:r>
      <w:r w:rsidR="00C923A8" w:rsidRPr="00742A04">
        <w:t>n</w:t>
      </w:r>
      <w:r w:rsidR="00C923A8" w:rsidRPr="00742A04">
        <w:t>cia al sexo menos representado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C923A8" w:rsidRPr="00742A04">
        <w:t>el sector de la educación</w:t>
      </w:r>
      <w:r w:rsidR="00545D1B" w:rsidRPr="00742A04">
        <w:t xml:space="preserve">, </w:t>
      </w:r>
      <w:r w:rsidR="00C923A8" w:rsidRPr="00742A04">
        <w:t>ha habido casos</w:t>
      </w:r>
      <w:r w:rsidR="00545D1B" w:rsidRPr="00742A04">
        <w:t xml:space="preserve"> </w:t>
      </w:r>
      <w:r w:rsidR="00C923A8" w:rsidRPr="00742A04">
        <w:t>e</w:t>
      </w:r>
      <w:r w:rsidR="00545D1B" w:rsidRPr="00742A04">
        <w:t>sp</w:t>
      </w:r>
      <w:r w:rsidR="00545D1B" w:rsidRPr="00742A04">
        <w:t>o</w:t>
      </w:r>
      <w:r w:rsidR="00545D1B" w:rsidRPr="00742A04">
        <w:t>r</w:t>
      </w:r>
      <w:r w:rsidR="00C923A8" w:rsidRPr="00742A04">
        <w:t>á</w:t>
      </w:r>
      <w:r w:rsidR="00545D1B" w:rsidRPr="00742A04">
        <w:t>dic</w:t>
      </w:r>
      <w:r w:rsidR="008A2682" w:rsidRPr="00742A04">
        <w:t>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923A8" w:rsidRPr="00742A04">
        <w:t xml:space="preserve">un </w:t>
      </w:r>
      <w:r w:rsidR="008E5EBF" w:rsidRPr="00742A04">
        <w:t>trato diferencial</w:t>
      </w:r>
      <w:r w:rsidR="00C923A8" w:rsidRPr="00742A04">
        <w:t xml:space="preserve"> más radical</w:t>
      </w:r>
      <w:r w:rsidR="00545D1B" w:rsidRPr="00742A04">
        <w:t xml:space="preserve">, </w:t>
      </w:r>
      <w:r w:rsidR="00C923A8" w:rsidRPr="00742A04">
        <w:t>por ejemplo, otorgando a</w:t>
      </w:r>
      <w:r w:rsidR="00545D1B" w:rsidRPr="00742A04">
        <w:t xml:space="preserve"> </w:t>
      </w:r>
      <w:r w:rsidR="005E6919" w:rsidRPr="00742A04">
        <w:t>las niñas</w:t>
      </w:r>
      <w:r w:rsidR="00545D1B" w:rsidRPr="00742A04">
        <w:t xml:space="preserve"> </w:t>
      </w:r>
      <w:r w:rsidR="00C923A8" w:rsidRPr="00742A04">
        <w:t>pu</w:t>
      </w:r>
      <w:r w:rsidR="00C923A8" w:rsidRPr="00742A04">
        <w:t>n</w:t>
      </w:r>
      <w:r w:rsidR="00C923A8" w:rsidRPr="00742A04">
        <w:t>tos</w:t>
      </w:r>
      <w:r w:rsidR="00545D1B" w:rsidRPr="00742A04">
        <w:t xml:space="preserve"> </w:t>
      </w:r>
      <w:r w:rsidR="00C923A8" w:rsidRPr="00742A04">
        <w:t xml:space="preserve">adicionales </w:t>
      </w:r>
      <w:r w:rsidR="003C25BF" w:rsidRPr="00742A04">
        <w:t>cuando</w:t>
      </w:r>
      <w:r w:rsidR="00545D1B" w:rsidRPr="00742A04">
        <w:t xml:space="preserve"> </w:t>
      </w:r>
      <w:r w:rsidR="00C923A8" w:rsidRPr="00742A04">
        <w:t>solicitan el ingreso a esferas de estudio</w:t>
      </w:r>
      <w:r w:rsidR="00545D1B" w:rsidRPr="00742A04">
        <w:t xml:space="preserve"> </w:t>
      </w:r>
      <w:r w:rsidR="00056EF1" w:rsidRPr="00742A04">
        <w:t xml:space="preserve">en </w:t>
      </w:r>
      <w:r w:rsidR="00C923A8" w:rsidRPr="00742A04">
        <w:t xml:space="preserve">las </w:t>
      </w:r>
      <w:r w:rsidR="00056EF1" w:rsidRPr="00742A04">
        <w:t>que</w:t>
      </w:r>
      <w:r w:rsidR="00545D1B" w:rsidRPr="00742A04">
        <w:t xml:space="preserve"> </w:t>
      </w:r>
      <w:r w:rsidR="00C923A8" w:rsidRPr="00742A04">
        <w:t>están</w:t>
      </w:r>
      <w:r w:rsidR="00545D1B" w:rsidRPr="00742A04">
        <w:t xml:space="preserve"> </w:t>
      </w:r>
      <w:r w:rsidR="00C923A8" w:rsidRPr="00742A04">
        <w:t>muy subrepresentadas</w:t>
      </w:r>
      <w:r w:rsidR="00545D1B" w:rsidRPr="00742A04">
        <w:t>.</w:t>
      </w:r>
    </w:p>
    <w:p w:rsidR="00545D1B" w:rsidRPr="00742A04" w:rsidRDefault="00831F07" w:rsidP="000B48A7">
      <w:pPr>
        <w:pStyle w:val="SingleTxt"/>
        <w:ind w:firstLine="475"/>
      </w:pPr>
      <w:r w:rsidRPr="00742A04">
        <w:t xml:space="preserve">El artículo </w:t>
      </w:r>
      <w:smartTag w:uri="urn:schemas-microsoft-com:office:smarttags" w:element="metricconverter">
        <w:smartTagPr>
          <w:attr w:name="ProductID" w:val="3 a"/>
        </w:smartTagPr>
        <w:r w:rsidR="00545D1B" w:rsidRPr="00742A04">
          <w:t xml:space="preserve">3 </w:t>
        </w:r>
        <w:r w:rsidR="00545D1B" w:rsidRPr="00742A04">
          <w:rPr>
            <w:i/>
          </w:rPr>
          <w:t>a</w:t>
        </w:r>
      </w:smartTag>
      <w:r w:rsidR="00545D1B" w:rsidRPr="00742A04">
        <w:t xml:space="preserve"> </w:t>
      </w:r>
      <w:r w:rsidR="006D7D2F" w:rsidRPr="00742A04">
        <w:t>ha sido</w:t>
      </w:r>
      <w:r w:rsidR="00545D1B" w:rsidRPr="00742A04">
        <w:t xml:space="preserve"> </w:t>
      </w:r>
      <w:r w:rsidR="006D7D2F" w:rsidRPr="00742A04">
        <w:t>interpretado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6D7D2F" w:rsidRPr="00742A04">
        <w:t>luz</w:t>
      </w:r>
      <w:r w:rsidR="00545D1B" w:rsidRPr="00742A04">
        <w:t xml:space="preserve"> </w:t>
      </w:r>
      <w:r w:rsidR="004A0730" w:rsidRPr="00742A04">
        <w:t>de</w:t>
      </w:r>
      <w:r w:rsidR="006D7D2F" w:rsidRPr="00742A04">
        <w:t xml:space="preserve"> la cláusula relativa a los objet</w:t>
      </w:r>
      <w:r w:rsidR="006D7D2F" w:rsidRPr="00742A04">
        <w:t>i</w:t>
      </w:r>
      <w:r w:rsidR="006D7D2F" w:rsidRPr="00742A04">
        <w:t>vos, que dispone que el objetivo principal</w:t>
      </w:r>
      <w:r w:rsidR="00545D1B" w:rsidRPr="00742A04">
        <w:t xml:space="preserve"> </w:t>
      </w:r>
      <w:r w:rsidR="00F43124" w:rsidRPr="00742A04">
        <w:t xml:space="preserve">de la </w:t>
      </w:r>
      <w:r w:rsidR="00230F13" w:rsidRPr="00742A04">
        <w:t>Ley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6D7D2F" w:rsidRPr="00742A04">
        <w:t>mejorar</w:t>
      </w:r>
      <w:r w:rsidR="00545D1B" w:rsidRPr="00742A04">
        <w:t xml:space="preserve"> </w:t>
      </w:r>
      <w:r w:rsidR="003C25BF" w:rsidRPr="00742A04">
        <w:t xml:space="preserve">la condición </w:t>
      </w:r>
      <w:r w:rsidR="00F43124" w:rsidRPr="00742A04">
        <w:t xml:space="preserve">de la </w:t>
      </w:r>
      <w:r w:rsidR="003C25BF" w:rsidRPr="00742A04">
        <w:t>mujer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1998, </w:t>
      </w:r>
      <w:r w:rsidR="00CB0483" w:rsidRPr="00742A04">
        <w:t>sin embargo</w:t>
      </w:r>
      <w:r w:rsidR="00545D1B" w:rsidRPr="00742A04">
        <w:t xml:space="preserve">, </w:t>
      </w:r>
      <w:r w:rsidR="006D7D2F" w:rsidRPr="00742A04">
        <w:t>se adoptó una reg</w:t>
      </w:r>
      <w:r w:rsidR="00545D1B" w:rsidRPr="00742A04">
        <w:t>la</w:t>
      </w:r>
      <w:r w:rsidR="006D7D2F" w:rsidRPr="00742A04">
        <w:t>mentació</w:t>
      </w:r>
      <w:r w:rsidR="008907B8" w:rsidRPr="00742A04">
        <w:t>n</w:t>
      </w:r>
      <w:r w:rsidR="006D7D2F" w:rsidRPr="00742A04">
        <w:t xml:space="preserve"> de</w:t>
      </w:r>
      <w:r w:rsidR="00545D1B" w:rsidRPr="00742A04">
        <w:t xml:space="preserve"> </w:t>
      </w:r>
      <w:r w:rsidR="00230F13" w:rsidRPr="00742A04">
        <w:t>la Ley</w:t>
      </w:r>
      <w:r w:rsidR="00545D1B" w:rsidRPr="00742A04">
        <w:t xml:space="preserve"> </w:t>
      </w:r>
      <w:r w:rsidR="006D7D2F" w:rsidRPr="00742A04">
        <w:t>que prevé</w:t>
      </w:r>
      <w:r w:rsidR="00545D1B" w:rsidRPr="00742A04">
        <w:t xml:space="preserve"> </w:t>
      </w:r>
      <w:r w:rsidR="006D7D2F" w:rsidRPr="00742A04">
        <w:t>formas moderadas de</w:t>
      </w:r>
      <w:r w:rsidR="0030626A" w:rsidRPr="00742A04">
        <w:t xml:space="preserve"> </w:t>
      </w:r>
      <w:r w:rsidR="00230F13" w:rsidRPr="00742A04">
        <w:t>tratamiento diferencial positivo</w:t>
      </w:r>
      <w:r w:rsidR="00545D1B" w:rsidRPr="00742A04">
        <w:t xml:space="preserve"> </w:t>
      </w:r>
      <w:r w:rsidR="00130F7F" w:rsidRPr="00742A04">
        <w:t>a favor</w:t>
      </w:r>
      <w:r w:rsidR="00545D1B" w:rsidRPr="00742A04">
        <w:t xml:space="preserve"> </w:t>
      </w:r>
      <w:r w:rsidR="00C076F2" w:rsidRPr="00742A04">
        <w:t xml:space="preserve">de los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D7D2F" w:rsidRPr="00742A04">
        <w:t>un</w:t>
      </w:r>
      <w:r w:rsidR="00545D1B" w:rsidRPr="00742A04">
        <w:t xml:space="preserve">a </w:t>
      </w:r>
      <w:r w:rsidR="006D7D2F" w:rsidRPr="00742A04">
        <w:t>serie limitada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2A08" w:rsidRPr="00742A04">
        <w:t>ocup</w:t>
      </w:r>
      <w:r w:rsidR="00545D1B" w:rsidRPr="00742A04">
        <w:t>a</w:t>
      </w:r>
      <w:r w:rsidR="008907B8" w:rsidRPr="00742A04">
        <w:t>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</w:t>
      </w:r>
      <w:r w:rsidR="006D7D2F" w:rsidRPr="00742A04">
        <w:t>uestos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42371" w:rsidRPr="00742A04">
        <w:t>las guarderías</w:t>
      </w:r>
      <w:r w:rsidR="00545D1B" w:rsidRPr="00742A04">
        <w:t xml:space="preserve">, </w:t>
      </w:r>
      <w:r w:rsidR="006D7D2F" w:rsidRPr="00742A04">
        <w:t>las escuelas primarias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D7D2F" w:rsidRPr="00742A04">
        <w:t>secundarias superiores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D7D2F" w:rsidRPr="00742A04">
        <w:t>los servicios de bienestar infantil</w:t>
      </w:r>
      <w:r w:rsidR="00545D1B" w:rsidRPr="00742A04">
        <w:t xml:space="preserve">. </w:t>
      </w:r>
      <w:r w:rsidR="006D7D2F" w:rsidRPr="00742A04">
        <w:t xml:space="preserve">La finalidad era </w:t>
      </w:r>
      <w:r w:rsidR="0073499D" w:rsidRPr="00742A04">
        <w:t>fome</w:t>
      </w:r>
      <w:r w:rsidR="0073499D" w:rsidRPr="00742A04">
        <w:t>n</w:t>
      </w:r>
      <w:r w:rsidR="0073499D" w:rsidRPr="00742A04">
        <w:t>tar</w:t>
      </w:r>
      <w:r w:rsidR="006D7D2F" w:rsidRPr="00742A04">
        <w:t xml:space="preserve"> un mayor grado de</w:t>
      </w:r>
      <w:r w:rsidR="00545D1B" w:rsidRPr="00742A04">
        <w:t xml:space="preserve"> pres</w:t>
      </w:r>
      <w:r w:rsidR="00FF575F" w:rsidRPr="00742A04">
        <w:t xml:space="preserve">encia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44FDB" w:rsidRPr="00742A04">
        <w:t xml:space="preserve">la vida cotidiana </w:t>
      </w:r>
      <w:r w:rsidR="00C076F2" w:rsidRPr="00742A04">
        <w:t xml:space="preserve">de los </w:t>
      </w:r>
      <w:r w:rsidR="00E542AA" w:rsidRPr="00742A04">
        <w:t>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44FDB" w:rsidRPr="00742A04">
        <w:t xml:space="preserve">el cuidado </w:t>
      </w:r>
      <w:r w:rsidR="00C076F2" w:rsidRPr="00742A04">
        <w:t xml:space="preserve">de los </w:t>
      </w:r>
      <w:r w:rsidR="00844FDB" w:rsidRPr="00742A04">
        <w:t>niños</w:t>
      </w:r>
      <w:r w:rsidR="00545D1B" w:rsidRPr="00742A04">
        <w:t xml:space="preserve">. </w:t>
      </w:r>
      <w:r w:rsidRPr="00742A04">
        <w:t xml:space="preserve">El artículo </w:t>
      </w:r>
      <w:smartTag w:uri="urn:schemas-microsoft-com:office:smarttags" w:element="metricconverter">
        <w:smartTagPr>
          <w:attr w:name="ProductID" w:val="3 a"/>
        </w:smartTagPr>
        <w:r w:rsidR="00545D1B" w:rsidRPr="00742A04">
          <w:t xml:space="preserve">3 </w:t>
        </w:r>
        <w:r w:rsidR="00545D1B" w:rsidRPr="00742A04">
          <w:rPr>
            <w:i/>
          </w:rPr>
          <w:t>a</w:t>
        </w:r>
      </w:smartTag>
      <w:r w:rsidR="00545D1B" w:rsidRPr="00742A04">
        <w:t xml:space="preserve"> </w:t>
      </w:r>
      <w:r w:rsidR="006D7D2F" w:rsidRPr="00742A04">
        <w:t>ha sido</w:t>
      </w:r>
      <w:r w:rsidR="00545D1B" w:rsidRPr="00742A04">
        <w:t xml:space="preserve"> </w:t>
      </w:r>
      <w:r w:rsidR="00844FDB" w:rsidRPr="00742A04">
        <w:t>aplicado en la forma más</w:t>
      </w:r>
      <w:r w:rsidR="00545D1B" w:rsidRPr="00742A04">
        <w:t xml:space="preserve"> radical </w:t>
      </w:r>
      <w:r w:rsidR="00C14BFF" w:rsidRPr="00742A04">
        <w:t>en</w:t>
      </w:r>
      <w:r w:rsidR="00545D1B" w:rsidRPr="00742A04">
        <w:t xml:space="preserve"> </w:t>
      </w:r>
      <w:r w:rsidR="00844FDB" w:rsidRPr="00742A04">
        <w:t>la educación superior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44FDB" w:rsidRPr="00742A04">
        <w:t>la investigación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2002, </w:t>
      </w:r>
      <w:r w:rsidR="00CB0483" w:rsidRPr="00742A04">
        <w:t>sin embargo</w:t>
      </w:r>
      <w:r w:rsidR="00545D1B" w:rsidRPr="00742A04">
        <w:t xml:space="preserve">, </w:t>
      </w:r>
      <w:r w:rsidR="00040B78" w:rsidRPr="00742A04">
        <w:t xml:space="preserve">el Tribunal </w:t>
      </w:r>
      <w:r w:rsidR="00F43124" w:rsidRPr="00742A04">
        <w:t xml:space="preserve">de la </w:t>
      </w:r>
      <w:r w:rsidR="00040B78" w:rsidRPr="00742A04">
        <w:t>As</w:t>
      </w:r>
      <w:r w:rsidR="00040B78" w:rsidRPr="00742A04">
        <w:t>o</w:t>
      </w:r>
      <w:r w:rsidR="00040B78" w:rsidRPr="00742A04">
        <w:t>ciación Europea de Libre Comercio (</w:t>
      </w:r>
      <w:r w:rsidR="005E603B" w:rsidRPr="00742A04">
        <w:t>AELC</w:t>
      </w:r>
      <w:r w:rsidR="00040B78" w:rsidRPr="00742A04">
        <w:t>)</w:t>
      </w:r>
      <w:r w:rsidR="00545D1B" w:rsidRPr="00742A04">
        <w:t xml:space="preserve"> </w:t>
      </w:r>
      <w:r w:rsidR="00844FDB" w:rsidRPr="00742A04">
        <w:t>falló en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844FDB" w:rsidRPr="00742A04">
        <w:t xml:space="preserve">de </w:t>
      </w:r>
      <w:r w:rsidR="00EA26AB" w:rsidRPr="00742A04">
        <w:t>Noruega</w:t>
      </w:r>
      <w:r w:rsidR="00545D1B" w:rsidRPr="00742A04">
        <w:t xml:space="preserve"> </w:t>
      </w:r>
      <w:r w:rsidR="00F43124" w:rsidRPr="00742A04">
        <w:t>p</w:t>
      </w:r>
      <w:r w:rsidR="00844FDB" w:rsidRPr="00742A04">
        <w:t>or</w:t>
      </w:r>
      <w:r w:rsidR="00545D1B" w:rsidRPr="00742A04">
        <w:t xml:space="preserve"> </w:t>
      </w:r>
      <w:r w:rsidR="00844FDB" w:rsidRPr="00742A04">
        <w:t>viol</w:t>
      </w:r>
      <w:r w:rsidR="00844FDB" w:rsidRPr="00742A04">
        <w:t>a</w:t>
      </w:r>
      <w:r w:rsidR="00844FDB" w:rsidRPr="00742A04">
        <w:t>ción de la</w:t>
      </w:r>
      <w:r w:rsidR="00545D1B" w:rsidRPr="00742A04">
        <w:t xml:space="preserve"> </w:t>
      </w:r>
      <w:r w:rsidR="00844FDB" w:rsidRPr="00742A04">
        <w:t>directiva de la Unión Europea de 1976 sobre la</w:t>
      </w:r>
      <w:r w:rsidR="00545D1B" w:rsidRPr="00742A04">
        <w:t xml:space="preserve"> </w:t>
      </w:r>
      <w:r w:rsidR="00B82A08" w:rsidRPr="00742A04">
        <w:t>igualdad de trato</w:t>
      </w:r>
      <w:r w:rsidR="00545D1B" w:rsidRPr="00742A04">
        <w:t xml:space="preserve">. </w:t>
      </w:r>
      <w:r w:rsidR="001F2BE6" w:rsidRPr="00742A04">
        <w:t>El Tr</w:t>
      </w:r>
      <w:r w:rsidR="001F2BE6" w:rsidRPr="00742A04">
        <w:t>i</w:t>
      </w:r>
      <w:r w:rsidR="001F2BE6" w:rsidRPr="00742A04">
        <w:t>bunal determinó</w:t>
      </w:r>
      <w:r w:rsidR="00545D1B" w:rsidRPr="00742A04">
        <w:t xml:space="preserve"> </w:t>
      </w:r>
      <w:r w:rsidR="00D52339" w:rsidRPr="00742A04">
        <w:t>que</w:t>
      </w:r>
      <w:r w:rsidR="00545D1B" w:rsidRPr="00742A04">
        <w:t xml:space="preserve"> </w:t>
      </w:r>
      <w:r w:rsidR="00E575DB" w:rsidRPr="00742A04">
        <w:t xml:space="preserve">la </w:t>
      </w:r>
      <w:r w:rsidR="00545D1B" w:rsidRPr="00742A04">
        <w:t>limit</w:t>
      </w:r>
      <w:r w:rsidR="00E575DB" w:rsidRPr="00742A04">
        <w:t>ación de la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575DB" w:rsidRPr="00742A04">
        <w:t>lugares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E575DB" w:rsidRPr="00742A04">
        <w:t>en el nivel acadé</w:t>
      </w:r>
      <w:r w:rsidR="00545D1B" w:rsidRPr="00742A04">
        <w:t>mic</w:t>
      </w:r>
      <w:r w:rsidR="00E575DB" w:rsidRPr="00742A04">
        <w:t>o superior era una</w:t>
      </w:r>
      <w:r w:rsidR="00545D1B" w:rsidRPr="00742A04">
        <w:t xml:space="preserve"> viola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E575DB" w:rsidRPr="00742A04">
        <w:t>las normas de la Unión Europea</w:t>
      </w:r>
      <w:r w:rsidR="00545D1B" w:rsidRPr="00742A04">
        <w:t xml:space="preserve">. </w:t>
      </w:r>
      <w:r w:rsidR="000A5430" w:rsidRPr="00742A04">
        <w:t>El caso</w:t>
      </w:r>
      <w:r w:rsidR="00545D1B" w:rsidRPr="00742A04">
        <w:t xml:space="preserve"> </w:t>
      </w:r>
      <w:r w:rsidR="00E575DB" w:rsidRPr="00742A04">
        <w:t>había sido considerado</w:t>
      </w:r>
      <w:r w:rsidR="00545D1B" w:rsidRPr="00742A04">
        <w:t xml:space="preserve"> </w:t>
      </w:r>
      <w:r w:rsidR="00614C7D" w:rsidRPr="00742A04">
        <w:t xml:space="preserve">por la </w:t>
      </w:r>
      <w:r w:rsidR="005E603B" w:rsidRPr="00742A04">
        <w:t>Ombudsman de Igualdad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603B" w:rsidRPr="00742A04">
        <w:t>la Junta de Ap</w:t>
      </w:r>
      <w:r w:rsidR="005E603B" w:rsidRPr="00742A04">
        <w:t>e</w:t>
      </w:r>
      <w:r w:rsidR="005E603B" w:rsidRPr="00742A04">
        <w:t>laciones de Igualdad de Género</w:t>
      </w:r>
      <w:r w:rsidR="00545D1B" w:rsidRPr="00742A04">
        <w:t>,</w:t>
      </w:r>
      <w:r w:rsidR="00FE0B76">
        <w:t xml:space="preserve"> y se había</w:t>
      </w:r>
      <w:r w:rsidR="00545D1B" w:rsidRPr="00742A04">
        <w:t xml:space="preserve"> </w:t>
      </w:r>
      <w:r w:rsidR="00FE0B76">
        <w:t>determinado</w:t>
      </w:r>
      <w:r w:rsidR="00E575DB" w:rsidRPr="00742A04">
        <w:t xml:space="preserve"> que la medida no era</w:t>
      </w:r>
      <w:r w:rsidR="00545D1B" w:rsidRPr="00742A04">
        <w:t xml:space="preserve"> co</w:t>
      </w:r>
      <w:r w:rsidR="00545D1B" w:rsidRPr="00742A04">
        <w:t>n</w:t>
      </w:r>
      <w:r w:rsidR="00545D1B" w:rsidRPr="00742A04">
        <w:t>trar</w:t>
      </w:r>
      <w:r w:rsidR="00E575DB" w:rsidRPr="00742A04">
        <w:t>ia al principio de igualdad</w:t>
      </w:r>
      <w:r w:rsidR="00B82A08" w:rsidRPr="00742A04">
        <w:t xml:space="preserve"> de trato</w:t>
      </w:r>
      <w:r w:rsidR="00545D1B" w:rsidRPr="00742A04">
        <w:t xml:space="preserve"> </w:t>
      </w:r>
      <w:r w:rsidR="00E575DB" w:rsidRPr="00742A04">
        <w:t>establecido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30F13" w:rsidRPr="00742A04">
        <w:t>la Ley</w:t>
      </w:r>
      <w:r w:rsidR="00545D1B" w:rsidRPr="00742A04">
        <w:t xml:space="preserve">, </w:t>
      </w:r>
      <w:r w:rsidR="007E0DFE" w:rsidRPr="00742A04">
        <w:t>porque</w:t>
      </w:r>
      <w:r w:rsidR="00545D1B" w:rsidRPr="00742A04">
        <w:t xml:space="preserve"> </w:t>
      </w:r>
      <w:r w:rsidR="00E575DB" w:rsidRPr="00742A04">
        <w:t xml:space="preserve">evidentemente </w:t>
      </w:r>
      <w:r w:rsidR="000A5430" w:rsidRPr="00742A04">
        <w:t>contribuir</w:t>
      </w:r>
      <w:r w:rsidR="00E575DB" w:rsidRPr="00742A04">
        <w:t>ía a</w:t>
      </w:r>
      <w:r w:rsidR="00545D1B" w:rsidRPr="00742A04">
        <w:t xml:space="preserve"> </w:t>
      </w:r>
      <w:r w:rsidR="00242371" w:rsidRPr="00742A04">
        <w:t>promover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575DB" w:rsidRPr="00742A04">
        <w:t>una esfera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E575DB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D077E8">
        <w:t>est</w:t>
      </w:r>
      <w:r w:rsidR="00D077E8">
        <w:t>a</w:t>
      </w:r>
      <w:r w:rsidR="00D077E8">
        <w:t>ba</w:t>
      </w:r>
      <w:r w:rsidR="00D52339" w:rsidRPr="00742A04">
        <w:t>n muy subrepresent</w:t>
      </w:r>
      <w:r w:rsidR="00D52339" w:rsidRPr="00742A04">
        <w:t>a</w:t>
      </w:r>
      <w:r w:rsidR="00D52339" w:rsidRPr="00742A04">
        <w:t>das</w:t>
      </w:r>
      <w:r w:rsidR="00545D1B" w:rsidRPr="00742A04">
        <w:t>.</w:t>
      </w:r>
    </w:p>
    <w:p w:rsidR="00545D1B" w:rsidRPr="00742A04" w:rsidRDefault="00D52339" w:rsidP="000B48A7">
      <w:pPr>
        <w:pStyle w:val="SingleTxt"/>
        <w:ind w:firstLine="475"/>
      </w:pPr>
      <w:r w:rsidRPr="00742A04">
        <w:t>El Consejo de Investigaciones de Noruega realizó, por encargo d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6C0744" w:rsidRPr="00742A04">
        <w:t>e Investigación</w:t>
      </w:r>
      <w:r w:rsidRPr="00742A04">
        <w:t>, un estudio</w:t>
      </w:r>
      <w:r w:rsidR="00545D1B" w:rsidRPr="00742A04">
        <w:t xml:space="preserve"> </w:t>
      </w:r>
      <w:r w:rsidR="008A0C75" w:rsidRPr="00742A04">
        <w:t>titulado</w:t>
      </w:r>
      <w:r w:rsidR="00545D1B" w:rsidRPr="00742A04">
        <w:t xml:space="preserve"> </w:t>
      </w:r>
      <w:r w:rsidR="00545D1B" w:rsidRPr="00742A04">
        <w:rPr>
          <w:i/>
        </w:rPr>
        <w:t>Kvinner i forskning – fra kvot</w:t>
      </w:r>
      <w:r w:rsidR="00545D1B" w:rsidRPr="00742A04">
        <w:rPr>
          <w:i/>
        </w:rPr>
        <w:t>e</w:t>
      </w:r>
      <w:r w:rsidR="00545D1B" w:rsidRPr="00742A04">
        <w:rPr>
          <w:i/>
        </w:rPr>
        <w:t xml:space="preserve">ring til integrering </w:t>
      </w:r>
      <w:r w:rsidR="00545D1B" w:rsidRPr="00742A04">
        <w:t>(</w:t>
      </w:r>
      <w:r w:rsidR="001F2BE6" w:rsidRPr="00742A04">
        <w:t>“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F2BE6" w:rsidRPr="00742A04">
        <w:t xml:space="preserve">la </w:t>
      </w:r>
      <w:r w:rsidR="001902F8" w:rsidRPr="00742A04">
        <w:t>Investigación</w:t>
      </w:r>
      <w:r w:rsidR="00545D1B" w:rsidRPr="00742A04">
        <w:t xml:space="preserve"> – </w:t>
      </w:r>
      <w:r w:rsidR="008F0C8E" w:rsidRPr="00742A04">
        <w:t>de</w:t>
      </w:r>
      <w:r w:rsidR="00545D1B" w:rsidRPr="00742A04">
        <w:t xml:space="preserve"> </w:t>
      </w:r>
      <w:r w:rsidR="001F2BE6" w:rsidRPr="00742A04">
        <w:t>las C</w:t>
      </w:r>
      <w:r w:rsidR="00545D1B" w:rsidRPr="00742A04">
        <w:t>uotas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1F2BE6" w:rsidRPr="00742A04">
        <w:t>Integración</w:t>
      </w:r>
      <w:r w:rsidR="00545D1B" w:rsidRPr="00742A04">
        <w:t xml:space="preserve">). </w:t>
      </w:r>
      <w:r w:rsidR="004A0730" w:rsidRPr="00742A04">
        <w:t>En</w:t>
      </w:r>
      <w:r w:rsidR="00545D1B" w:rsidRPr="00742A04">
        <w:t xml:space="preserve"> 2004, </w:t>
      </w:r>
      <w:r w:rsidRPr="00742A04">
        <w:t>sobre la base de</w:t>
      </w:r>
      <w:r w:rsidR="00545D1B" w:rsidRPr="00742A04">
        <w:t xml:space="preserve"> </w:t>
      </w:r>
      <w:r w:rsidRPr="00742A04">
        <w:t>las comprobaciones del estudio</w:t>
      </w:r>
      <w:r w:rsidR="00545D1B" w:rsidRPr="00742A04">
        <w:t xml:space="preserve">, </w:t>
      </w:r>
      <w:r w:rsidR="004A0730" w:rsidRPr="00742A04">
        <w:t>el Ministerio</w:t>
      </w:r>
      <w:r w:rsidR="00545D1B" w:rsidRPr="00742A04">
        <w:t xml:space="preserve"> </w:t>
      </w:r>
      <w:r w:rsidRPr="00742A04">
        <w:t>puso en marcha actividades encaminadas a</w:t>
      </w:r>
      <w:r w:rsidR="00935A90" w:rsidRPr="00742A04">
        <w:t xml:space="preserve"> </w:t>
      </w:r>
      <w:r w:rsidR="00545D1B" w:rsidRPr="00742A04">
        <w:t>establ</w:t>
      </w:r>
      <w:r w:rsidRPr="00742A04">
        <w:t>ecer</w:t>
      </w:r>
      <w:r w:rsidR="00545D1B" w:rsidRPr="00742A04">
        <w:t xml:space="preserve"> </w:t>
      </w:r>
      <w:r w:rsidR="008F0C8E" w:rsidRPr="00742A04">
        <w:t xml:space="preserve">el </w:t>
      </w:r>
      <w:r w:rsidRPr="00742A04">
        <w:t>Comité Gubernamental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Int</w:t>
      </w:r>
      <w:r w:rsidR="00545D1B" w:rsidRPr="00742A04">
        <w:t>e</w:t>
      </w:r>
      <w:r w:rsidR="00545D1B" w:rsidRPr="00742A04">
        <w:t>gra</w:t>
      </w:r>
      <w:r w:rsidR="00C14BFF" w:rsidRPr="00742A04">
        <w:t xml:space="preserve">ción </w:t>
      </w:r>
      <w:r w:rsidRPr="00742A04">
        <w:t>de las M</w:t>
      </w:r>
      <w:r w:rsidR="004D313C" w:rsidRPr="00742A04">
        <w:t>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 </w:t>
      </w:r>
      <w:r w:rsidR="001902F8" w:rsidRPr="00742A04">
        <w:t>Investigación</w:t>
      </w:r>
      <w:r w:rsidR="00545D1B" w:rsidRPr="00742A04">
        <w:t xml:space="preserve">. </w:t>
      </w:r>
      <w:r w:rsidR="00CE1CFC" w:rsidRPr="00742A04">
        <w:t>El Comité</w:t>
      </w:r>
      <w:r w:rsidR="00545D1B" w:rsidRPr="00742A04">
        <w:t xml:space="preserve"> </w:t>
      </w:r>
      <w:r w:rsidRPr="00742A04">
        <w:t>tiene el</w:t>
      </w:r>
      <w:r w:rsidR="00545D1B" w:rsidRPr="00742A04">
        <w:t xml:space="preserve"> </w:t>
      </w:r>
      <w:r w:rsidR="00232DF9" w:rsidRPr="00742A04">
        <w:t>mandato</w:t>
      </w:r>
      <w:r w:rsidRPr="00742A04">
        <w:t xml:space="preserve"> </w:t>
      </w:r>
      <w:r w:rsidR="00545D1B" w:rsidRPr="00742A04">
        <w:t>d</w:t>
      </w:r>
      <w:r w:rsidRPr="00742A04">
        <w:t>e</w:t>
      </w:r>
      <w:r w:rsidR="00EA6AC2" w:rsidRPr="00742A04">
        <w:t xml:space="preserve"> pr</w:t>
      </w:r>
      <w:r w:rsidR="00EA6AC2" w:rsidRPr="00742A04">
        <w:t>o</w:t>
      </w:r>
      <w:r w:rsidR="00EA6AC2" w:rsidRPr="00742A04">
        <w:t xml:space="preserve">mover </w:t>
      </w:r>
      <w:r w:rsidRPr="00742A04">
        <w:t>la</w:t>
      </w:r>
      <w:r w:rsidR="00545D1B" w:rsidRPr="00742A04">
        <w:t xml:space="preserve"> integra</w:t>
      </w:r>
      <w:r w:rsidR="00C14BFF" w:rsidRPr="00742A04">
        <w:t xml:space="preserve">ción </w:t>
      </w:r>
      <w:r w:rsidR="00242371" w:rsidRPr="00742A04">
        <w:t>de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 sector de universidades y colegios</w:t>
      </w:r>
      <w:r w:rsidR="00545D1B" w:rsidRPr="00742A04">
        <w:t xml:space="preserve"> </w:t>
      </w:r>
      <w:r w:rsidRPr="00742A04">
        <w:t>d</w:t>
      </w:r>
      <w:r w:rsidRPr="00742A04">
        <w:t>u</w:t>
      </w:r>
      <w:r w:rsidRPr="00742A04">
        <w:t>rante un período</w:t>
      </w:r>
      <w:r w:rsidR="00545D1B" w:rsidRPr="00742A04">
        <w:t xml:space="preserve"> </w:t>
      </w:r>
      <w:r w:rsidR="0058540F" w:rsidRPr="00742A04">
        <w:t>trienal</w:t>
      </w:r>
      <w:r w:rsidR="00545D1B" w:rsidRPr="00742A04">
        <w:t xml:space="preserve">. </w:t>
      </w:r>
      <w:r w:rsidR="00CE1CFC" w:rsidRPr="00742A04">
        <w:t>El Comité</w:t>
      </w:r>
      <w:r w:rsidR="00545D1B" w:rsidRPr="00742A04">
        <w:t xml:space="preserve"> ha</w:t>
      </w:r>
      <w:r w:rsidR="00FA1C50" w:rsidRPr="00742A04">
        <w:t xml:space="preserve"> llevado a cabo un estudio</w:t>
      </w:r>
      <w:r w:rsidR="00545D1B" w:rsidRPr="00742A04">
        <w:t xml:space="preserve"> </w:t>
      </w:r>
      <w:r w:rsidR="00FA1C50" w:rsidRPr="00742A04">
        <w:t>sobre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FA1C50" w:rsidRPr="00742A04">
        <w:t>a adoptar en dicho</w:t>
      </w:r>
      <w:r w:rsidR="00545D1B" w:rsidRPr="00742A04">
        <w:t xml:space="preserve"> sector </w:t>
      </w:r>
      <w:r w:rsidR="00877AA0" w:rsidRPr="00742A04">
        <w:t>y</w:t>
      </w:r>
      <w:r w:rsidR="00545D1B" w:rsidRPr="00742A04">
        <w:t xml:space="preserve"> </w:t>
      </w:r>
      <w:r w:rsidR="00FA1C50" w:rsidRPr="00742A04">
        <w:t>organizó una importante</w:t>
      </w:r>
      <w:r w:rsidR="00545D1B" w:rsidRPr="00742A04">
        <w:t xml:space="preserve"> confer</w:t>
      </w:r>
      <w:r w:rsidR="00FF575F" w:rsidRPr="00742A04">
        <w:t xml:space="preserve">encia </w:t>
      </w:r>
      <w:r w:rsidR="00FA1C50" w:rsidRPr="00742A04">
        <w:t>para intercambiar</w:t>
      </w:r>
      <w:r w:rsidR="00545D1B" w:rsidRPr="00742A04">
        <w:t xml:space="preserve"> </w:t>
      </w:r>
      <w:r w:rsidR="008F0C8E" w:rsidRPr="00742A04">
        <w:t>experiencia</w:t>
      </w:r>
      <w:r w:rsidR="00FA1C50" w:rsidRPr="00742A04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A1C50" w:rsidRPr="00742A04">
        <w:t>centrar mejor la</w:t>
      </w:r>
      <w:r w:rsidR="00545D1B" w:rsidRPr="00742A04">
        <w:t xml:space="preserve"> </w:t>
      </w:r>
      <w:r w:rsidR="00D66FC2" w:rsidRPr="00742A04">
        <w:t>ate</w:t>
      </w:r>
      <w:r w:rsidR="00545D1B" w:rsidRPr="00742A04">
        <w:t>n</w:t>
      </w:r>
      <w:r w:rsidR="00C14BFF" w:rsidRPr="00742A04">
        <w:t xml:space="preserve">ción </w:t>
      </w:r>
      <w:r w:rsidR="00FA1C50" w:rsidRPr="00742A04">
        <w:t>en la</w:t>
      </w:r>
      <w:r w:rsidR="00545D1B" w:rsidRPr="00742A04">
        <w:t xml:space="preserve"> </w:t>
      </w:r>
      <w:r w:rsidR="00FA1C50" w:rsidRPr="00742A04">
        <w:t>representación de género</w:t>
      </w:r>
      <w:r w:rsidR="00C14BFF" w:rsidRPr="00742A04">
        <w:t xml:space="preserve"> en</w:t>
      </w:r>
      <w:r w:rsidR="00545D1B" w:rsidRPr="00742A04">
        <w:t xml:space="preserve"> </w:t>
      </w:r>
      <w:r w:rsidR="00FA1C50" w:rsidRPr="00742A04">
        <w:t>el mundo</w:t>
      </w:r>
      <w:r w:rsidR="00545D1B" w:rsidRPr="00742A04">
        <w:t xml:space="preserve"> ac</w:t>
      </w:r>
      <w:r w:rsidR="00545D1B" w:rsidRPr="00742A04">
        <w:t>a</w:t>
      </w:r>
      <w:r w:rsidR="00545D1B" w:rsidRPr="00742A04">
        <w:t>d</w:t>
      </w:r>
      <w:r w:rsidR="00FA1C50" w:rsidRPr="00742A04">
        <w:t>é</w:t>
      </w:r>
      <w:r w:rsidR="00545D1B" w:rsidRPr="00742A04">
        <w:t>mic</w:t>
      </w:r>
      <w:r w:rsidR="00FA1C50" w:rsidRPr="00742A04">
        <w:t>o</w:t>
      </w:r>
      <w:r w:rsidR="00545D1B" w:rsidRPr="00742A04">
        <w:t>.</w:t>
      </w:r>
    </w:p>
    <w:p w:rsidR="00EE22AA" w:rsidRPr="00742A04" w:rsidRDefault="00EE22AA" w:rsidP="00EE22AA">
      <w:pPr>
        <w:pStyle w:val="H23"/>
        <w:spacing w:line="120" w:lineRule="exact"/>
        <w:ind w:left="1267"/>
        <w:rPr>
          <w:bCs/>
          <w:sz w:val="10"/>
        </w:rPr>
      </w:pPr>
      <w:bookmarkStart w:id="16" w:name="_Toc131924667"/>
      <w:bookmarkStart w:id="17" w:name="_Toc147129456"/>
    </w:p>
    <w:p w:rsidR="00EE22AA" w:rsidRPr="00742A04" w:rsidRDefault="00814B5D" w:rsidP="003A41A0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EE22AA" w:rsidRPr="00742A04">
        <w:rPr>
          <w:bCs/>
        </w:rPr>
        <w:t xml:space="preserve"> 4.2</w:t>
      </w:r>
    </w:p>
    <w:p w:rsidR="00545D1B" w:rsidRPr="00742A04" w:rsidRDefault="00A05847" w:rsidP="003A41A0">
      <w:pPr>
        <w:pStyle w:val="H23"/>
        <w:ind w:left="1267"/>
        <w:rPr>
          <w:bCs/>
        </w:rPr>
      </w:pPr>
      <w:r w:rsidRPr="00742A04">
        <w:rPr>
          <w:bCs/>
        </w:rPr>
        <w:t xml:space="preserve">Protección del rol reproductivo </w:t>
      </w:r>
      <w:r w:rsidR="00F43124" w:rsidRPr="00742A04">
        <w:rPr>
          <w:bCs/>
        </w:rPr>
        <w:t xml:space="preserve">de la </w:t>
      </w:r>
      <w:r w:rsidRPr="00742A04">
        <w:rPr>
          <w:bCs/>
        </w:rPr>
        <w:t>mujer</w:t>
      </w:r>
      <w:bookmarkEnd w:id="16"/>
      <w:bookmarkEnd w:id="17"/>
    </w:p>
    <w:p w:rsidR="00EE22AA" w:rsidRPr="00742A04" w:rsidRDefault="00EE22AA" w:rsidP="00EE22AA">
      <w:pPr>
        <w:pStyle w:val="SingleTxt"/>
        <w:spacing w:after="0" w:line="120" w:lineRule="exact"/>
        <w:rPr>
          <w:sz w:val="10"/>
        </w:rPr>
      </w:pPr>
    </w:p>
    <w:p w:rsidR="00545D1B" w:rsidRPr="00742A04" w:rsidRDefault="00116976" w:rsidP="000B48A7">
      <w:pPr>
        <w:pStyle w:val="SingleTxt"/>
        <w:ind w:firstLine="475"/>
      </w:pPr>
      <w:r w:rsidRPr="00742A04">
        <w:t>Cabe hacer r</w:t>
      </w:r>
      <w:r w:rsidR="00545D1B" w:rsidRPr="00742A04">
        <w:t>efer</w:t>
      </w:r>
      <w:r w:rsidR="00FF575F" w:rsidRPr="00742A04">
        <w:t xml:space="preserve">encia </w:t>
      </w:r>
      <w:r w:rsidR="00C14BFF" w:rsidRPr="00742A04">
        <w:t xml:space="preserve">a </w:t>
      </w:r>
      <w:r w:rsidRPr="00742A04">
        <w:t xml:space="preserve">los </w:t>
      </w:r>
      <w:r w:rsidR="00C14BFF" w:rsidRPr="00742A04">
        <w:t>informes anteriores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0626A" w:rsidRPr="00742A04">
        <w:t>a</w:t>
      </w:r>
      <w:r w:rsidRPr="00742A04">
        <w:t>l</w:t>
      </w:r>
      <w:r w:rsidR="00FF575F" w:rsidRPr="00742A04">
        <w:t xml:space="preserve"> artículo</w:t>
      </w:r>
      <w:r w:rsidRPr="00742A04">
        <w:t xml:space="preserve"> 2 </w:t>
      </w:r>
      <w:r w:rsidRPr="00742A04">
        <w:rPr>
          <w:i/>
        </w:rPr>
        <w:t>c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73499D" w:rsidRPr="00742A04">
        <w:t>la</w:t>
      </w:r>
      <w:r w:rsidR="00545D1B" w:rsidRPr="00742A04">
        <w:t xml:space="preserve"> de</w:t>
      </w:r>
      <w:r w:rsidR="00545D1B" w:rsidRPr="00742A04">
        <w:t>s</w:t>
      </w:r>
      <w:r w:rsidR="00545D1B" w:rsidRPr="00742A04">
        <w:t>crip</w:t>
      </w:r>
      <w:r w:rsidR="00C14BFF" w:rsidRPr="00742A04">
        <w:t>ción</w:t>
      </w:r>
      <w:r w:rsidR="00C07ED9" w:rsidRPr="00742A04">
        <w:t xml:space="preserve"> del </w:t>
      </w:r>
      <w:r w:rsidR="005E2D7A" w:rsidRPr="00742A04">
        <w:t>trabajo</w:t>
      </w:r>
      <w:r w:rsidR="00494EA8" w:rsidRPr="00742A04">
        <w:t xml:space="preserve"> </w:t>
      </w:r>
      <w:r w:rsidR="00F43124" w:rsidRPr="00742A04">
        <w:t xml:space="preserve">de la </w:t>
      </w:r>
      <w:r w:rsidR="00A836A1" w:rsidRPr="00742A04">
        <w:t>Ombudsman</w:t>
      </w:r>
      <w:r w:rsidR="00640C6D" w:rsidRPr="00742A04">
        <w:t xml:space="preserve"> </w:t>
      </w:r>
      <w:r w:rsidR="00FC59C5" w:rsidRPr="00742A04">
        <w:t xml:space="preserve">de Promoción </w:t>
      </w:r>
      <w:r w:rsidR="00F43124" w:rsidRPr="00742A04">
        <w:t xml:space="preserve">de la </w:t>
      </w:r>
      <w:r w:rsidR="00FC59C5" w:rsidRPr="00742A04">
        <w:t>Igualdad y Lucha</w:t>
      </w:r>
      <w:r w:rsidR="00640C6D" w:rsidRPr="00742A04">
        <w:t xml:space="preserve"> contra la Discriminación</w:t>
      </w:r>
      <w:r w:rsidR="00545D1B" w:rsidRPr="00742A04">
        <w:t xml:space="preserve"> </w:t>
      </w:r>
      <w:r w:rsidR="00F43124" w:rsidRPr="00742A04">
        <w:t>en lo tocante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discriminación por motivos de embarazo</w:t>
      </w:r>
      <w:r w:rsidR="00545D1B" w:rsidRPr="00742A04">
        <w:t xml:space="preserve">. </w:t>
      </w:r>
      <w:r w:rsidRPr="00742A04">
        <w:t>Ésta es</w:t>
      </w:r>
      <w:r w:rsidR="00545D1B" w:rsidRPr="00742A04">
        <w:t xml:space="preserve"> </w:t>
      </w:r>
      <w:r w:rsidR="006137EC" w:rsidRPr="00742A04">
        <w:t>una esfera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 cual </w:t>
      </w:r>
      <w:r w:rsidR="004D313C" w:rsidRPr="00742A04">
        <w:t>constante</w:t>
      </w:r>
      <w:r w:rsidRPr="00742A04">
        <w:t>mente se denuncian casos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discrim</w:t>
      </w:r>
      <w:r w:rsidR="00A05847" w:rsidRPr="00742A04">
        <w:t>i</w:t>
      </w:r>
      <w:r w:rsidR="00A05847" w:rsidRPr="00742A04">
        <w:t>nación</w:t>
      </w:r>
      <w:r w:rsidR="00545D1B" w:rsidRPr="00742A04">
        <w:t>.</w:t>
      </w:r>
    </w:p>
    <w:p w:rsidR="00545D1B" w:rsidRPr="00742A04" w:rsidRDefault="00116976" w:rsidP="000B48A7">
      <w:pPr>
        <w:pStyle w:val="SingleTxt"/>
        <w:ind w:firstLine="475"/>
      </w:pPr>
      <w:r w:rsidRPr="00742A04">
        <w:t>Las mujeres embarazadas</w:t>
      </w:r>
      <w:r w:rsidR="00545D1B" w:rsidRPr="00742A04">
        <w:t xml:space="preserve"> </w:t>
      </w:r>
      <w:r w:rsidRPr="00742A04">
        <w:t>están bien</w:t>
      </w:r>
      <w:r w:rsidR="00545D1B" w:rsidRPr="00742A04">
        <w:t xml:space="preserve"> prote</w:t>
      </w:r>
      <w:r w:rsidRPr="00742A04">
        <w:t>gidas con arreglo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7D66F2" w:rsidRPr="00742A04">
        <w:t>legislación de Noruega</w:t>
      </w:r>
      <w:r w:rsidR="00C27C42" w:rsidRPr="00742A04">
        <w:t>.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</w:t>
      </w:r>
      <w:r w:rsidR="00AF398C" w:rsidRPr="00742A04">
        <w:t>Ley sobre el Ambiente de Trabajo</w:t>
      </w:r>
      <w:r w:rsidR="00545D1B" w:rsidRPr="00742A04">
        <w:t xml:space="preserve">, </w:t>
      </w:r>
      <w:r w:rsidRPr="00742A04">
        <w:t xml:space="preserve">la Ley sobre </w:t>
      </w:r>
      <w:r w:rsidR="00326185" w:rsidRPr="00742A04">
        <w:t>el Sistema Nacional de Seguridad Social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Ley sobre la Igualdad de Género</w:t>
      </w:r>
      <w:r w:rsidR="00545D1B" w:rsidRPr="00742A04">
        <w:t xml:space="preserve"> </w:t>
      </w:r>
      <w:r w:rsidRPr="00742A04">
        <w:t>se suman para salvaguardar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este grupo</w:t>
      </w:r>
      <w:r w:rsidR="00545D1B" w:rsidRPr="00742A04">
        <w:t xml:space="preserve">. </w:t>
      </w:r>
      <w:r w:rsidR="00C01C28" w:rsidRPr="00742A04">
        <w:t>Con arreglo a la Ley sobre el Ambiente</w:t>
      </w:r>
      <w:r w:rsidR="00AF398C" w:rsidRPr="00742A04">
        <w:t xml:space="preserve"> de Trabajo</w:t>
      </w:r>
      <w:r w:rsidR="00545D1B" w:rsidRPr="00742A04">
        <w:t xml:space="preserve">, </w:t>
      </w:r>
      <w:r w:rsidR="00AD0883" w:rsidRPr="00742A04">
        <w:t>los empleadores</w:t>
      </w:r>
      <w:r w:rsidR="00545D1B" w:rsidRPr="00742A04">
        <w:t xml:space="preserve"> </w:t>
      </w:r>
      <w:r w:rsidRPr="00742A04">
        <w:t>tienen el</w:t>
      </w:r>
      <w:r w:rsidR="00545D1B" w:rsidRPr="00742A04">
        <w:t xml:space="preserve"> </w:t>
      </w:r>
      <w:r w:rsidR="00963214" w:rsidRPr="00742A04">
        <w:t>deber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adapt</w:t>
      </w:r>
      <w:r w:rsidRPr="00742A04">
        <w:t>ar</w:t>
      </w:r>
      <w:r w:rsidR="00545D1B" w:rsidRPr="00742A04">
        <w:t xml:space="preserve"> </w:t>
      </w:r>
      <w:r w:rsidRPr="00742A04">
        <w:t>el trabajo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E5775" w:rsidRPr="00742A04">
        <w:t>las necesidades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las mujeres embarazadas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D077E8">
        <w:t>las empleada</w:t>
      </w:r>
      <w:r w:rsidR="00380AC9" w:rsidRPr="00742A04">
        <w:t>s</w:t>
      </w:r>
      <w:r w:rsidR="00545D1B" w:rsidRPr="00742A04">
        <w:t xml:space="preserve"> </w:t>
      </w:r>
      <w:r w:rsidR="00D077E8">
        <w:t>están protegida</w:t>
      </w:r>
      <w:r w:rsidR="00380AC9" w:rsidRPr="00742A04">
        <w:t>s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380AC9" w:rsidRPr="00742A04">
        <w:t>el despido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80AC9" w:rsidRPr="00742A04">
        <w:t>tienen amplios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s </w:t>
      </w:r>
      <w:r w:rsidR="0030626A" w:rsidRPr="00742A04">
        <w:t>a</w:t>
      </w:r>
      <w:r w:rsidR="00545D1B" w:rsidRPr="00742A04">
        <w:t xml:space="preserve"> </w:t>
      </w:r>
      <w:r w:rsidR="00380AC9" w:rsidRPr="00742A04">
        <w:t xml:space="preserve">licencia en </w:t>
      </w:r>
      <w:r w:rsidR="004F2F8A" w:rsidRPr="00742A04">
        <w:t xml:space="preserve">el </w:t>
      </w:r>
      <w:r w:rsidRPr="00742A04">
        <w:t>trabajo</w:t>
      </w:r>
      <w:r w:rsidR="00545D1B" w:rsidRPr="00742A04">
        <w:t xml:space="preserve">. </w:t>
      </w:r>
      <w:r w:rsidRPr="00742A04">
        <w:t xml:space="preserve">La Ley sobre </w:t>
      </w:r>
      <w:r w:rsidR="00326185" w:rsidRPr="00742A04">
        <w:t>el Sistema Nacional de Seguridad Social</w:t>
      </w:r>
      <w:r w:rsidR="00545D1B" w:rsidRPr="00742A04">
        <w:t xml:space="preserve"> </w:t>
      </w:r>
      <w:r w:rsidR="001C29C0" w:rsidRPr="00742A04">
        <w:t>da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1C29C0" w:rsidRPr="00742A04">
        <w:t>derecho a un</w:t>
      </w:r>
      <w:r w:rsidR="0030626A" w:rsidRPr="00742A04">
        <w:t>a</w:t>
      </w:r>
      <w:r w:rsidR="00545D1B" w:rsidRPr="00742A04">
        <w:t xml:space="preserve"> </w:t>
      </w:r>
      <w:r w:rsidR="001C29C0" w:rsidRPr="00742A04">
        <w:t>compens</w:t>
      </w:r>
      <w:r w:rsidR="00545D1B" w:rsidRPr="00742A04">
        <w:t>a</w:t>
      </w:r>
      <w:r w:rsidR="00C14BFF" w:rsidRPr="00742A04">
        <w:t xml:space="preserve">ción </w:t>
      </w:r>
      <w:r w:rsidR="001C29C0" w:rsidRPr="00742A04">
        <w:t xml:space="preserve">pecuniaria </w:t>
      </w:r>
      <w:r w:rsidR="000A5430" w:rsidRPr="00742A04">
        <w:t>en forma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D406D" w:rsidRPr="00742A04">
        <w:t>prest</w:t>
      </w:r>
      <w:r w:rsidR="007D406D" w:rsidRPr="00742A04">
        <w:t>a</w:t>
      </w:r>
      <w:r w:rsidR="007D406D" w:rsidRPr="00742A04">
        <w:t>ción por</w:t>
      </w:r>
      <w:r w:rsidR="001C29C0" w:rsidRPr="00742A04">
        <w:t xml:space="preserve"> enfermedad</w:t>
      </w:r>
      <w:r w:rsidR="00545D1B" w:rsidRPr="00742A04">
        <w:t xml:space="preserve">, </w:t>
      </w:r>
      <w:r w:rsidR="001C29C0" w:rsidRPr="00742A04">
        <w:t xml:space="preserve">prestación por </w:t>
      </w:r>
      <w:r w:rsidR="002E5047" w:rsidRPr="00742A04">
        <w:t>embarazo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C29C0" w:rsidRPr="00742A04">
        <w:t xml:space="preserve">prestación por </w:t>
      </w:r>
      <w:r w:rsidR="00545D1B" w:rsidRPr="00742A04">
        <w:t>matern</w:t>
      </w:r>
      <w:r w:rsidR="001C29C0" w:rsidRPr="00742A04">
        <w:t>i</w:t>
      </w:r>
      <w:r w:rsidR="00502E16" w:rsidRPr="00742A04">
        <w:t>dad</w:t>
      </w:r>
      <w:r w:rsidR="00545D1B" w:rsidRPr="00742A04">
        <w:t xml:space="preserve"> </w:t>
      </w:r>
      <w:r w:rsidR="001C29C0" w:rsidRPr="00742A04">
        <w:t>mientras estén au</w:t>
      </w:r>
      <w:r w:rsidR="00545D1B" w:rsidRPr="00742A04">
        <w:t>sent</w:t>
      </w:r>
      <w:r w:rsidR="001C29C0" w:rsidRPr="00742A04">
        <w:t>es</w:t>
      </w:r>
      <w:r w:rsidR="00545D1B" w:rsidRPr="00742A04">
        <w:t xml:space="preserve"> </w:t>
      </w:r>
      <w:r w:rsidR="008F0C8E" w:rsidRPr="00742A04">
        <w:t>de</w:t>
      </w:r>
      <w:r w:rsidRPr="00742A04">
        <w:t>l trabajo</w:t>
      </w:r>
      <w:r w:rsidR="00545D1B" w:rsidRPr="00742A04">
        <w:t xml:space="preserve"> dur</w:t>
      </w:r>
      <w:r w:rsidR="001C29C0" w:rsidRPr="00742A04">
        <w:t>ante la licencia por</w:t>
      </w:r>
      <w:r w:rsidR="00545D1B" w:rsidRPr="00742A04">
        <w:t xml:space="preserve"> </w:t>
      </w:r>
      <w:r w:rsidR="002E5047" w:rsidRPr="00742A04">
        <w:t>embarazo</w:t>
      </w:r>
      <w:r w:rsidR="007D4688" w:rsidRPr="00742A04">
        <w:t xml:space="preserve"> </w:t>
      </w:r>
      <w:r w:rsidR="001C29C0" w:rsidRPr="00742A04">
        <w:t>o</w:t>
      </w:r>
      <w:r w:rsidR="00545D1B" w:rsidRPr="00742A04">
        <w:t xml:space="preserve"> matern</w:t>
      </w:r>
      <w:r w:rsidR="00502E16" w:rsidRPr="00742A04">
        <w:t>idad</w:t>
      </w:r>
      <w:r w:rsidR="00545D1B" w:rsidRPr="00742A04">
        <w:t xml:space="preserve">. </w:t>
      </w:r>
      <w:r w:rsidR="00A05847" w:rsidRPr="00742A04">
        <w:t>La Ley sobre la Igualdad de Género</w:t>
      </w:r>
      <w:r w:rsidR="00545D1B" w:rsidRPr="00742A04">
        <w:t xml:space="preserve"> </w:t>
      </w:r>
      <w:r w:rsidR="001C29C0" w:rsidRPr="00742A04">
        <w:t>prohíbe el</w:t>
      </w:r>
      <w:r w:rsidR="00545D1B" w:rsidRPr="00742A04">
        <w:t xml:space="preserve"> </w:t>
      </w:r>
      <w:r w:rsidR="008E5EBF" w:rsidRPr="00742A04">
        <w:t>trato diferencial</w:t>
      </w:r>
      <w:r w:rsidR="00545D1B" w:rsidRPr="00742A04">
        <w:t xml:space="preserve"> </w:t>
      </w:r>
      <w:r w:rsidR="001C29C0" w:rsidRPr="00742A04">
        <w:t>por motivos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E5047" w:rsidRPr="00742A04">
        <w:t>embarazo</w:t>
      </w:r>
      <w:r w:rsidR="00545D1B" w:rsidRPr="00742A04">
        <w:t xml:space="preserve">, </w:t>
      </w:r>
      <w:r w:rsidR="001C29C0" w:rsidRPr="00742A04">
        <w:t>lactancia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="00C076F2" w:rsidRPr="00742A04">
        <w:t xml:space="preserve">de los </w:t>
      </w:r>
      <w:r w:rsidR="00B83FEB" w:rsidRPr="00742A04">
        <w:t>derecho</w:t>
      </w:r>
      <w:r w:rsidR="00545D1B" w:rsidRPr="00742A04">
        <w:t xml:space="preserve">s </w:t>
      </w:r>
      <w:r w:rsidR="001C29C0" w:rsidRPr="00742A04">
        <w:t>de licencia que e</w:t>
      </w:r>
      <w:r w:rsidR="001C29C0" w:rsidRPr="00742A04">
        <w:t>s</w:t>
      </w:r>
      <w:r w:rsidR="001C29C0" w:rsidRPr="00742A04">
        <w:t>tán</w:t>
      </w:r>
      <w:r w:rsidR="00545D1B" w:rsidRPr="00742A04">
        <w:t xml:space="preserve"> reserv</w:t>
      </w:r>
      <w:r w:rsidR="001C29C0" w:rsidRPr="00742A04">
        <w:t xml:space="preserve">ados </w:t>
      </w:r>
      <w:r w:rsidR="00F43124" w:rsidRPr="00742A04">
        <w:t>a</w:t>
      </w:r>
      <w:r w:rsidR="00545D1B" w:rsidRPr="00742A04">
        <w:t xml:space="preserve"> </w:t>
      </w:r>
      <w:r w:rsidR="001C29C0" w:rsidRPr="00742A04">
        <w:t>uno</w:t>
      </w:r>
      <w:r w:rsidR="00545D1B" w:rsidRPr="00742A04">
        <w:t xml:space="preserve"> </w:t>
      </w:r>
      <w:r w:rsidR="00C076F2" w:rsidRPr="00742A04">
        <w:t xml:space="preserve">de los </w:t>
      </w:r>
      <w:r w:rsidR="00072AD7" w:rsidRPr="00742A04">
        <w:t>sexos</w:t>
      </w:r>
      <w:r w:rsidR="00545D1B" w:rsidRPr="00742A04">
        <w:t xml:space="preserve">. </w:t>
      </w:r>
      <w:r w:rsidR="008E5EBF" w:rsidRPr="00742A04">
        <w:t>La prohibición</w:t>
      </w:r>
      <w:r w:rsidR="00C14BFF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Pr="00742A04">
        <w:t>la discriminación por motivos de embarazo</w:t>
      </w:r>
      <w:r w:rsidR="00545D1B" w:rsidRPr="00742A04">
        <w:t xml:space="preserve"> </w:t>
      </w:r>
      <w:r w:rsidR="00E06311" w:rsidRPr="00742A04">
        <w:t>fue reforzada</w:t>
      </w:r>
      <w:r w:rsidR="00545D1B" w:rsidRPr="00742A04">
        <w:t xml:space="preserve"> </w:t>
      </w:r>
      <w:r w:rsidR="00E06311" w:rsidRPr="00742A04">
        <w:t>m</w:t>
      </w:r>
      <w:r w:rsidR="00E06311" w:rsidRPr="00742A04">
        <w:t>e</w:t>
      </w:r>
      <w:r w:rsidR="00E06311" w:rsidRPr="00742A04">
        <w:t>diante un</w:t>
      </w:r>
      <w:r w:rsidR="00545D1B" w:rsidRPr="00742A04">
        <w:t xml:space="preserve">a </w:t>
      </w:r>
      <w:r w:rsidR="00CD2FF0" w:rsidRPr="00742A04">
        <w:t>enmienda</w:t>
      </w:r>
      <w:r w:rsidR="00545D1B" w:rsidRPr="00742A04">
        <w:t xml:space="preserve"> </w:t>
      </w:r>
      <w:r w:rsidR="00E06311" w:rsidRPr="00742A04">
        <w:t xml:space="preserve">legislativa </w:t>
      </w:r>
      <w:r w:rsidR="00C14BFF" w:rsidRPr="00742A04">
        <w:t>en</w:t>
      </w:r>
      <w:r w:rsidR="00545D1B" w:rsidRPr="00742A04">
        <w:t xml:space="preserve"> 2002 </w:t>
      </w:r>
      <w:r w:rsidR="00877AA0" w:rsidRPr="00742A04">
        <w:t>y</w:t>
      </w:r>
      <w:r w:rsidR="00545D1B" w:rsidRPr="00742A04">
        <w:t xml:space="preserve"> </w:t>
      </w:r>
      <w:r w:rsidR="00E06311" w:rsidRPr="00742A04">
        <w:t>ahora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8E5EBF" w:rsidRPr="00742A04">
        <w:t>se 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E2D7A" w:rsidRPr="00742A04">
        <w:t>los padres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DB4D9A">
        <w:t xml:space="preserve">usan </w:t>
      </w:r>
      <w:r w:rsidR="00E06311" w:rsidRPr="00742A04">
        <w:t xml:space="preserve">la </w:t>
      </w:r>
      <w:r w:rsidR="00DB4D9A">
        <w:t>cuota paterna</w:t>
      </w:r>
      <w:r w:rsidR="00E06311" w:rsidRPr="00742A04">
        <w:t xml:space="preserve"> de la</w:t>
      </w:r>
      <w:r w:rsidR="00545D1B" w:rsidRPr="00742A04">
        <w:t xml:space="preserve"> </w:t>
      </w:r>
      <w:r w:rsidR="00E06311" w:rsidRPr="00742A04">
        <w:t>licencia por maternidad o paternidad</w:t>
      </w:r>
      <w:r w:rsidR="00545D1B" w:rsidRPr="00742A04">
        <w:t>.</w:t>
      </w:r>
    </w:p>
    <w:p w:rsidR="00545D1B" w:rsidRPr="00742A04" w:rsidRDefault="00E06311" w:rsidP="000B48A7">
      <w:pPr>
        <w:pStyle w:val="SingleTxt"/>
        <w:ind w:firstLine="475"/>
      </w:pPr>
      <w:r w:rsidRPr="00742A04">
        <w:t>El hecho de que</w:t>
      </w:r>
      <w:r w:rsidR="00545D1B" w:rsidRPr="00742A04">
        <w:t xml:space="preserve"> </w:t>
      </w:r>
      <w:r w:rsidR="00116976" w:rsidRPr="00742A04">
        <w:t>las mujeres embarazadas</w:t>
      </w:r>
      <w:r w:rsidR="00545D1B" w:rsidRPr="00742A04">
        <w:t xml:space="preserve"> </w:t>
      </w:r>
      <w:r w:rsidRPr="00742A04">
        <w:t>sufran de todos modos de</w:t>
      </w:r>
      <w:r w:rsidR="00545D1B" w:rsidRPr="00742A04">
        <w:t xml:space="preserve"> </w:t>
      </w:r>
      <w:r w:rsidR="00A05847" w:rsidRPr="00742A04">
        <w:t>discrim</w:t>
      </w:r>
      <w:r w:rsidR="00A05847" w:rsidRPr="00742A04">
        <w:t>i</w:t>
      </w:r>
      <w:r w:rsidR="00A05847" w:rsidRPr="00742A04">
        <w:t>nación</w:t>
      </w:r>
      <w:r w:rsidR="00545D1B" w:rsidRPr="00742A04">
        <w:t xml:space="preserve"> </w:t>
      </w:r>
      <w:r w:rsidR="00673B5D" w:rsidRPr="00742A04">
        <w:t xml:space="preserve">no es </w:t>
      </w:r>
      <w:r w:rsidR="000A5430" w:rsidRPr="00742A04">
        <w:t>principalmente</w:t>
      </w:r>
      <w:r w:rsidR="00545D1B" w:rsidRPr="00742A04">
        <w:t xml:space="preserve"> </w:t>
      </w:r>
      <w:r w:rsidRPr="00742A04">
        <w:t>consecue</w:t>
      </w:r>
      <w:r w:rsidR="00FF575F" w:rsidRPr="00742A04">
        <w:t xml:space="preserve">ncia </w:t>
      </w:r>
      <w:r w:rsidR="004A0730" w:rsidRPr="00742A04">
        <w:t>de</w:t>
      </w:r>
      <w:r w:rsidR="00545D1B" w:rsidRPr="00742A04">
        <w:t xml:space="preserve"> </w:t>
      </w:r>
      <w:r w:rsidRPr="00742A04">
        <w:t>la falta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s, </w:t>
      </w:r>
      <w:r w:rsidRPr="00742A04">
        <w:t>sino de o</w:t>
      </w:r>
      <w:r w:rsidR="00545D1B" w:rsidRPr="00742A04">
        <w:t>casion</w:t>
      </w:r>
      <w:r w:rsidR="00545D1B" w:rsidRPr="00742A04">
        <w:t>a</w:t>
      </w:r>
      <w:r w:rsidR="00545D1B" w:rsidRPr="00742A04">
        <w:t>l</w:t>
      </w:r>
      <w:r w:rsidRPr="00742A04">
        <w:t>es</w:t>
      </w:r>
      <w:r w:rsidR="00545D1B" w:rsidRPr="00742A04">
        <w:t xml:space="preserve"> </w:t>
      </w:r>
      <w:r w:rsidRPr="00742A04">
        <w:t>in</w:t>
      </w:r>
      <w:r w:rsidR="00BB4DB1" w:rsidRPr="00742A04">
        <w:t>cumpl</w:t>
      </w:r>
      <w:r w:rsidRPr="00742A04">
        <w:t>imientos de las normas</w:t>
      </w:r>
      <w:r w:rsidR="00545D1B" w:rsidRPr="00742A04">
        <w:t xml:space="preserve"> legisla</w:t>
      </w:r>
      <w:r w:rsidRPr="00742A04">
        <w:t>tivas</w:t>
      </w:r>
      <w:r w:rsidR="00C27C42" w:rsidRPr="00742A04">
        <w:t>.</w:t>
      </w:r>
      <w:r w:rsidR="00545D1B" w:rsidRPr="00742A04">
        <w:t xml:space="preserve"> </w:t>
      </w:r>
      <w:r w:rsidR="00A836A1" w:rsidRPr="00742A04">
        <w:t>La Ombudsman</w:t>
      </w:r>
      <w:r w:rsidR="00BD47D3" w:rsidRPr="00742A04">
        <w:t xml:space="preserve"> </w:t>
      </w:r>
      <w:r w:rsidR="00FC59C5" w:rsidRPr="00742A04">
        <w:t xml:space="preserve">de Promoción </w:t>
      </w:r>
      <w:r w:rsidR="00F43124" w:rsidRPr="00742A04">
        <w:t xml:space="preserve">de la </w:t>
      </w:r>
      <w:r w:rsidR="00FC59C5" w:rsidRPr="00742A04">
        <w:t>Igualdad y Lucha</w:t>
      </w:r>
      <w:r w:rsidR="00BD47D3" w:rsidRPr="00742A04">
        <w:t xml:space="preserve"> contra la Discriminación</w:t>
      </w:r>
      <w:r w:rsidR="00545D1B" w:rsidRPr="00742A04">
        <w:t xml:space="preserve"> (</w:t>
      </w:r>
      <w:r w:rsidR="005E08DF" w:rsidRPr="00742A04">
        <w:t>anteriormente</w:t>
      </w:r>
      <w:r w:rsidR="00545D1B" w:rsidRPr="00742A04">
        <w:t xml:space="preserve"> </w:t>
      </w:r>
      <w:r w:rsidR="005E08DF" w:rsidRPr="00742A04">
        <w:t>l</w:t>
      </w:r>
      <w:r w:rsidR="00A836A1" w:rsidRPr="00742A04">
        <w:t xml:space="preserve">a </w:t>
      </w:r>
      <w:r w:rsidR="005E603B" w:rsidRPr="00742A04">
        <w:t>Ombudsman de Igua</w:t>
      </w:r>
      <w:r w:rsidR="005E603B" w:rsidRPr="00742A04">
        <w:t>l</w:t>
      </w:r>
      <w:r w:rsidR="005E603B" w:rsidRPr="00742A04">
        <w:t>dad de Género</w:t>
      </w:r>
      <w:r w:rsidR="00545D1B" w:rsidRPr="00742A04">
        <w:t xml:space="preserve">) </w:t>
      </w:r>
      <w:r w:rsidR="00CD2FF0" w:rsidRPr="00742A04">
        <w:t>recibe</w:t>
      </w:r>
      <w:r w:rsidR="00545D1B" w:rsidRPr="00742A04">
        <w:t xml:space="preserve"> </w:t>
      </w:r>
      <w:r w:rsidRPr="00742A04">
        <w:t>una cantidad cada vez mayor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F07A7" w:rsidRPr="00742A04">
        <w:t>quejas</w:t>
      </w:r>
      <w:r w:rsidR="00545D1B" w:rsidRPr="00742A04">
        <w:t xml:space="preserve"> </w:t>
      </w:r>
      <w:r w:rsidR="00644C8F" w:rsidRPr="00742A04">
        <w:t>relativa</w:t>
      </w:r>
      <w:r w:rsidR="00EA6AC2" w:rsidRPr="00742A04">
        <w:t>s a</w:t>
      </w:r>
      <w:r w:rsidR="00545D1B" w:rsidRPr="00742A04">
        <w:t xml:space="preserve"> </w:t>
      </w:r>
      <w:r w:rsidR="00834309" w:rsidRPr="00742A04">
        <w:t>tales</w:t>
      </w:r>
      <w:r w:rsidR="00154FBB" w:rsidRPr="00742A04">
        <w:t xml:space="preserve"> asu</w:t>
      </w:r>
      <w:r w:rsidR="00154FBB" w:rsidRPr="00742A04">
        <w:t>n</w:t>
      </w:r>
      <w:r w:rsidR="00154FBB" w:rsidRPr="00742A04">
        <w:t>tos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2004</w:t>
      </w:r>
      <w:r w:rsidR="005E08DF" w:rsidRPr="00742A04">
        <w:t xml:space="preserve"> la </w:t>
      </w:r>
      <w:r w:rsidR="00A836A1" w:rsidRPr="00742A04">
        <w:t>Ombudsman</w:t>
      </w:r>
      <w:r w:rsidR="00545D1B" w:rsidRPr="00742A04">
        <w:t xml:space="preserve"> </w:t>
      </w:r>
      <w:r w:rsidR="00644C8F" w:rsidRPr="00742A04">
        <w:t>recibió</w:t>
      </w:r>
      <w:r w:rsidR="00545D1B" w:rsidRPr="00742A04">
        <w:t xml:space="preserve"> 113 </w:t>
      </w:r>
      <w:r w:rsidR="004F07A7" w:rsidRPr="00742A04">
        <w:t>quejas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44C8F" w:rsidRPr="00742A04">
        <w:t>esta índole,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95 </w:t>
      </w:r>
      <w:r w:rsidR="008A2682" w:rsidRPr="00742A04">
        <w:t>casos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2005. </w:t>
      </w:r>
      <w:r w:rsidR="004A0730" w:rsidRPr="00742A04">
        <w:t>En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CF2F77" w:rsidRPr="00742A04">
        <w:t>plataforma política</w:t>
      </w:r>
      <w:r w:rsidR="00545D1B" w:rsidRPr="00742A04">
        <w:t xml:space="preserve"> (</w:t>
      </w:r>
      <w:r w:rsidR="00644C8F" w:rsidRPr="00742A04">
        <w:t>la Declaración de Soria Moria</w:t>
      </w:r>
      <w:r w:rsidR="00545D1B" w:rsidRPr="00742A04">
        <w:t xml:space="preserve">), </w:t>
      </w:r>
      <w:r w:rsidR="008F0C8E" w:rsidRPr="00742A04">
        <w:t>el Gobierno</w:t>
      </w:r>
      <w:r w:rsidR="00545D1B" w:rsidRPr="00742A04">
        <w:t xml:space="preserve"> </w:t>
      </w:r>
      <w:r w:rsidR="00CF2F77" w:rsidRPr="00742A04">
        <w:t>se compr</w:t>
      </w:r>
      <w:r w:rsidR="00CF2F77" w:rsidRPr="00742A04">
        <w:t>o</w:t>
      </w:r>
      <w:r w:rsidR="00CF2F77" w:rsidRPr="00742A04">
        <w:t>metió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644C8F" w:rsidRPr="00742A04">
        <w:t xml:space="preserve">la </w:t>
      </w:r>
      <w:r w:rsidR="00545D1B" w:rsidRPr="00742A04">
        <w:t>protec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116976" w:rsidRPr="00742A04">
        <w:t>las mujeres embarazadas</w:t>
      </w:r>
      <w:r w:rsidR="00545D1B" w:rsidRPr="00742A04">
        <w:t xml:space="preserve">. </w:t>
      </w:r>
      <w:r w:rsidR="00615664" w:rsidRPr="00742A04">
        <w:t>Para poder apreciar la adecuación y la eficacia de las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, </w:t>
      </w:r>
      <w:r w:rsidR="00615664" w:rsidRPr="00742A04">
        <w:t>es necesario tener un mejor</w:t>
      </w:r>
      <w:r w:rsidR="00545D1B" w:rsidRPr="00742A04">
        <w:t xml:space="preserve"> </w:t>
      </w:r>
      <w:r w:rsidR="003E5775" w:rsidRPr="00742A04">
        <w:t>conocimiento</w:t>
      </w:r>
      <w:r w:rsidR="00545D1B" w:rsidRPr="00742A04">
        <w:t xml:space="preserve"> </w:t>
      </w:r>
      <w:r w:rsidR="00615664" w:rsidRPr="00742A04">
        <w:t>del grado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5664" w:rsidRPr="00742A04">
        <w:t>la naturaleza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15664" w:rsidRPr="00742A04">
        <w:t xml:space="preserve">la </w:t>
      </w:r>
      <w:r w:rsidR="00A05847" w:rsidRPr="00742A04">
        <w:t>discriminación</w:t>
      </w:r>
      <w:r w:rsidR="00545D1B" w:rsidRPr="00742A04">
        <w:t xml:space="preserve"> </w:t>
      </w:r>
      <w:r w:rsidR="00615664" w:rsidRPr="00742A04">
        <w:t>contra</w:t>
      </w:r>
      <w:r w:rsidR="00545D1B" w:rsidRPr="00742A04">
        <w:t xml:space="preserve"> </w:t>
      </w:r>
      <w:r w:rsidR="00116976" w:rsidRPr="00742A04">
        <w:t>las mujeres embarazadas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5664" w:rsidRPr="00742A04">
        <w:t>c</w:t>
      </w:r>
      <w:r w:rsidR="00615664" w:rsidRPr="00742A04">
        <w:t>o</w:t>
      </w:r>
      <w:r w:rsidR="00DB4D9A">
        <w:t>ntra </w:t>
      </w:r>
      <w:r w:rsidR="00615664" w:rsidRPr="00742A04">
        <w:t>los padres y las madres</w:t>
      </w:r>
      <w:r w:rsidR="00545D1B" w:rsidRPr="00742A04">
        <w:t xml:space="preserve"> du</w:t>
      </w:r>
      <w:r w:rsidR="00615664" w:rsidRPr="00742A04">
        <w:t xml:space="preserve">rante la </w:t>
      </w:r>
      <w:r w:rsidRPr="00742A04">
        <w:t>licencia por maternidad o paternidad</w:t>
      </w:r>
      <w:r w:rsidR="00615664" w:rsidRPr="00742A04">
        <w:t xml:space="preserve"> y de</w:t>
      </w:r>
      <w:r w:rsidR="00615664" w:rsidRPr="00742A04">
        <w:t>s</w:t>
      </w:r>
      <w:r w:rsidR="00615664" w:rsidRPr="00742A04">
        <w:t>pués de ella</w:t>
      </w:r>
      <w:r w:rsidR="00545D1B" w:rsidRPr="00742A04">
        <w:t>.</w:t>
      </w:r>
      <w:r w:rsidR="001167D2" w:rsidRPr="00742A04">
        <w:t xml:space="preserve"> </w:t>
      </w:r>
      <w:r w:rsidR="00615664" w:rsidRPr="00742A04">
        <w:t>E</w:t>
      </w:r>
      <w:r w:rsidR="001167D2" w:rsidRPr="00742A04">
        <w:t xml:space="preserve">l </w:t>
      </w:r>
      <w:r w:rsidR="008F0C8E" w:rsidRPr="00742A04">
        <w:t>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615664" w:rsidRPr="00742A04">
        <w:t>examinará</w:t>
      </w:r>
      <w:r w:rsidR="00545D1B" w:rsidRPr="00742A04">
        <w:t xml:space="preserve"> </w:t>
      </w:r>
      <w:r w:rsidR="00F43124" w:rsidRPr="00742A04">
        <w:t>esos</w:t>
      </w:r>
      <w:r w:rsidR="00502E16" w:rsidRPr="00742A04">
        <w:t xml:space="preserve"> desafíos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C5FA6" w:rsidRPr="00742A04">
        <w:t>las partes sociales</w:t>
      </w:r>
      <w:r w:rsidR="00545D1B" w:rsidRPr="00742A04">
        <w:t xml:space="preserve"> </w:t>
      </w:r>
      <w:r w:rsidR="00615664" w:rsidRPr="00742A04">
        <w:t>a fin de detectar las</w:t>
      </w:r>
      <w:r w:rsidR="00545D1B" w:rsidRPr="00742A04">
        <w:t xml:space="preserve"> </w:t>
      </w:r>
      <w:r w:rsidR="00DC0DB8" w:rsidRPr="00742A04">
        <w:t>medidas</w:t>
      </w:r>
      <w:r w:rsidR="00615664" w:rsidRPr="00742A04">
        <w:t xml:space="preserve"> adecuadas</w:t>
      </w:r>
      <w:r w:rsidR="00545D1B" w:rsidRPr="00742A04">
        <w:t>.</w:t>
      </w:r>
    </w:p>
    <w:p w:rsidR="00EE22AA" w:rsidRPr="00742A04" w:rsidRDefault="00EE22AA" w:rsidP="00EE22AA">
      <w:pPr>
        <w:pStyle w:val="H23"/>
        <w:spacing w:line="120" w:lineRule="exact"/>
        <w:ind w:left="1267"/>
        <w:rPr>
          <w:bCs/>
          <w:sz w:val="10"/>
        </w:rPr>
      </w:pPr>
      <w:bookmarkStart w:id="18" w:name="_Toc131924668"/>
      <w:bookmarkStart w:id="19" w:name="_Toc147129457"/>
    </w:p>
    <w:p w:rsidR="00545D1B" w:rsidRPr="00742A04" w:rsidRDefault="00814B5D" w:rsidP="00F53AEF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5</w:t>
      </w:r>
      <w:bookmarkEnd w:id="18"/>
      <w:bookmarkEnd w:id="19"/>
    </w:p>
    <w:p w:rsidR="00F53AEF" w:rsidRPr="00742A04" w:rsidRDefault="00F53AEF" w:rsidP="00F53AEF">
      <w:pPr>
        <w:pStyle w:val="H1"/>
        <w:spacing w:line="120" w:lineRule="exact"/>
        <w:ind w:left="1267"/>
        <w:rPr>
          <w:bCs/>
          <w:sz w:val="10"/>
        </w:rPr>
      </w:pPr>
      <w:bookmarkStart w:id="20" w:name="_Toc131924669"/>
      <w:bookmarkStart w:id="21" w:name="_Toc147129458"/>
    </w:p>
    <w:p w:rsidR="00EE22AA" w:rsidRPr="00742A04" w:rsidRDefault="00814B5D" w:rsidP="009B3BF1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EE22AA" w:rsidRPr="00742A04">
        <w:rPr>
          <w:bCs/>
        </w:rPr>
        <w:t xml:space="preserve"> 5 </w:t>
      </w:r>
      <w:r w:rsidR="00EE22AA" w:rsidRPr="00742A04">
        <w:rPr>
          <w:bCs/>
          <w:i/>
        </w:rPr>
        <w:t>a</w:t>
      </w:r>
    </w:p>
    <w:p w:rsidR="00545D1B" w:rsidRPr="00742A04" w:rsidRDefault="00615664" w:rsidP="009B3BF1">
      <w:pPr>
        <w:pStyle w:val="H23"/>
        <w:ind w:left="1267"/>
        <w:rPr>
          <w:bCs/>
        </w:rPr>
      </w:pPr>
      <w:r w:rsidRPr="00742A04">
        <w:rPr>
          <w:bCs/>
        </w:rPr>
        <w:t>Roles de género</w:t>
      </w:r>
      <w:bookmarkEnd w:id="20"/>
      <w:bookmarkEnd w:id="21"/>
    </w:p>
    <w:p w:rsidR="00EE22AA" w:rsidRPr="00742A04" w:rsidRDefault="00EE22AA" w:rsidP="00EE22AA">
      <w:pPr>
        <w:pStyle w:val="SingleTxt"/>
        <w:spacing w:after="0" w:line="120" w:lineRule="exact"/>
        <w:rPr>
          <w:sz w:val="10"/>
        </w:rPr>
      </w:pPr>
    </w:p>
    <w:p w:rsidR="00545D1B" w:rsidRPr="00742A04" w:rsidRDefault="00921761" w:rsidP="000B48A7">
      <w:pPr>
        <w:pStyle w:val="SingleTxt"/>
        <w:ind w:firstLine="475"/>
      </w:pPr>
      <w:r w:rsidRPr="00742A04">
        <w:t>En el marco</w:t>
      </w:r>
      <w:r w:rsidR="00545D1B" w:rsidRPr="00742A04">
        <w:t xml:space="preserve"> </w:t>
      </w:r>
      <w:r w:rsidR="004A0730" w:rsidRPr="00742A04">
        <w:t>de</w:t>
      </w:r>
      <w:r w:rsidR="00615664" w:rsidRPr="00742A04">
        <w:t>l</w:t>
      </w:r>
      <w:r w:rsidR="00545D1B" w:rsidRPr="00742A04">
        <w:t xml:space="preserve"> </w:t>
      </w:r>
      <w:r w:rsidR="00615664" w:rsidRPr="00742A04">
        <w:t xml:space="preserve">proyecto </w:t>
      </w:r>
      <w:r w:rsidR="00545D1B" w:rsidRPr="00742A04">
        <w:t>TENK (</w:t>
      </w:r>
      <w:r w:rsidR="00615664" w:rsidRPr="00742A04">
        <w:t>PENSAR</w:t>
      </w:r>
      <w:r w:rsidR="00545D1B" w:rsidRPr="00742A04">
        <w:t xml:space="preserve">), </w:t>
      </w:r>
      <w:r w:rsidR="00615664" w:rsidRPr="00742A04">
        <w:t xml:space="preserve">se ha diseñado un </w:t>
      </w:r>
      <w:r w:rsidR="00F43124" w:rsidRPr="00742A04">
        <w:t>programa</w:t>
      </w:r>
      <w:r w:rsidR="00545D1B" w:rsidRPr="00742A04">
        <w:t xml:space="preserve"> </w:t>
      </w:r>
      <w:r w:rsidR="00615664" w:rsidRPr="00742A04">
        <w:t>i</w:t>
      </w:r>
      <w:r w:rsidR="00615664" w:rsidRPr="00742A04">
        <w:t>n</w:t>
      </w:r>
      <w:r w:rsidR="00615664" w:rsidRPr="00742A04">
        <w:t xml:space="preserve">teractivo de enseñanza </w:t>
      </w:r>
      <w:r w:rsidR="00230F13" w:rsidRPr="00742A04">
        <w:t>con miras a</w:t>
      </w:r>
      <w:r w:rsidR="00545D1B" w:rsidRPr="00742A04">
        <w:t xml:space="preserve"> </w:t>
      </w:r>
      <w:r w:rsidR="00615664" w:rsidRPr="00742A04">
        <w:t>combatir las</w:t>
      </w:r>
      <w:r w:rsidR="00545D1B" w:rsidRPr="00742A04">
        <w:t xml:space="preserve"> percep</w:t>
      </w:r>
      <w:r w:rsidR="008907B8" w:rsidRPr="00742A04">
        <w:t>ciones</w:t>
      </w:r>
      <w:r w:rsidR="00545D1B" w:rsidRPr="00742A04">
        <w:t xml:space="preserve"> </w:t>
      </w:r>
      <w:r w:rsidR="00615664" w:rsidRPr="00742A04">
        <w:t xml:space="preserve">estereotipadas </w:t>
      </w:r>
      <w:r w:rsidR="00C076F2" w:rsidRPr="00742A04">
        <w:t xml:space="preserve">de los </w:t>
      </w:r>
      <w:r w:rsidR="00545D1B" w:rsidRPr="00742A04">
        <w:t xml:space="preserve">roles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1167D2" w:rsidRPr="00742A04">
        <w:t>que han sido</w:t>
      </w:r>
      <w:r w:rsidR="00545D1B" w:rsidRPr="00742A04">
        <w:t xml:space="preserve"> crea</w:t>
      </w:r>
      <w:r w:rsidR="00615664" w:rsidRPr="00742A04">
        <w:t>das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615664" w:rsidRPr="00742A04">
        <w:t>distintos tipos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15664" w:rsidRPr="00742A04">
        <w:t>publicidad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5664" w:rsidRPr="00742A04">
        <w:t>comercialización</w:t>
      </w:r>
      <w:r w:rsidR="00545D1B" w:rsidRPr="00742A04">
        <w:t xml:space="preserve">. </w:t>
      </w:r>
      <w:r w:rsidR="00615664" w:rsidRPr="00742A04">
        <w:t>El programa</w:t>
      </w:r>
      <w:r w:rsidR="00545D1B" w:rsidRPr="00742A04">
        <w:t xml:space="preserve">, </w:t>
      </w:r>
      <w:r w:rsidR="00615664" w:rsidRPr="00742A04">
        <w:t>que se utiliza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15664" w:rsidRPr="00742A04">
        <w:t>la educación para consumidores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E5775" w:rsidRPr="00742A04">
        <w:t>las escuelas</w:t>
      </w:r>
      <w:r w:rsidR="00545D1B" w:rsidRPr="00742A04">
        <w:t xml:space="preserve">, </w:t>
      </w:r>
      <w:r w:rsidR="00615664" w:rsidRPr="00742A04">
        <w:t>da a</w:t>
      </w:r>
      <w:r w:rsidR="00545D1B" w:rsidRPr="00742A04">
        <w:t xml:space="preserve"> </w:t>
      </w:r>
      <w:r w:rsidR="00615664" w:rsidRPr="00742A04">
        <w:t>los escolares</w:t>
      </w:r>
      <w:r w:rsidR="00545D1B" w:rsidRPr="00742A04">
        <w:t xml:space="preserve"> </w:t>
      </w:r>
      <w:r w:rsidR="00615664" w:rsidRPr="00742A04">
        <w:t>una mejor comprensión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15664" w:rsidRPr="00742A04">
        <w:t>la influencia</w:t>
      </w:r>
      <w:r w:rsidR="00FF575F" w:rsidRPr="00742A04">
        <w:t xml:space="preserve"> </w:t>
      </w:r>
      <w:r w:rsidR="00C076F2" w:rsidRPr="00742A04">
        <w:t xml:space="preserve">de los </w:t>
      </w:r>
      <w:r w:rsidR="00615664" w:rsidRPr="00742A04">
        <w:t>m</w:t>
      </w:r>
      <w:r w:rsidR="00615664" w:rsidRPr="00742A04">
        <w:t>e</w:t>
      </w:r>
      <w:r w:rsidR="00615664" w:rsidRPr="00742A04">
        <w:t>dios de comunicación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5664" w:rsidRPr="00742A04">
        <w:t>la publicidad</w:t>
      </w:r>
      <w:r w:rsidR="00545D1B" w:rsidRPr="00742A04">
        <w:t xml:space="preserve">. </w:t>
      </w:r>
      <w:r w:rsidR="0073499D" w:rsidRPr="00742A04">
        <w:t>También se ha elaborado un programa de d</w:t>
      </w:r>
      <w:r w:rsidR="0073499D" w:rsidRPr="00742A04">
        <w:t>e</w:t>
      </w:r>
      <w:r w:rsidR="0073499D" w:rsidRPr="00742A04">
        <w:t>bate sobre</w:t>
      </w:r>
      <w:r w:rsidR="0073499D">
        <w:t xml:space="preserve"> t</w:t>
      </w:r>
      <w:r w:rsidR="0073499D" w:rsidRPr="00742A04">
        <w:t>emas tales como la presentación sexualizada de las niñas y los varones en los medios de comunicación para utilizarlo en las reuniones de padres y mae</w:t>
      </w:r>
      <w:r w:rsidR="0073499D" w:rsidRPr="00742A04">
        <w:t>s</w:t>
      </w:r>
      <w:r w:rsidR="0073499D" w:rsidRPr="00742A04">
        <w:t xml:space="preserve">tros. </w:t>
      </w:r>
      <w:r w:rsidR="00615664" w:rsidRPr="00742A04">
        <w:t>El objetivo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615664" w:rsidRPr="00742A04">
        <w:t xml:space="preserve">la capacidad </w:t>
      </w:r>
      <w:r w:rsidR="00C076F2" w:rsidRPr="00742A04">
        <w:t xml:space="preserve">de los </w:t>
      </w:r>
      <w:r w:rsidR="00E542AA" w:rsidRPr="00742A04">
        <w:t>niños</w:t>
      </w:r>
      <w:r w:rsidR="00545D1B" w:rsidRPr="00742A04">
        <w:t xml:space="preserve"> </w:t>
      </w:r>
      <w:r w:rsidR="00615664" w:rsidRPr="00742A04">
        <w:t>para hacer frente a las</w:t>
      </w:r>
      <w:r w:rsidR="00545D1B" w:rsidRPr="00742A04">
        <w:t xml:space="preserve"> </w:t>
      </w:r>
      <w:r w:rsidR="0073499D" w:rsidRPr="00742A04">
        <w:t>pr</w:t>
      </w:r>
      <w:r w:rsidR="0073499D" w:rsidRPr="00742A04">
        <w:t>e</w:t>
      </w:r>
      <w:r w:rsidR="0073499D" w:rsidRPr="00742A04">
        <w:t>siones</w:t>
      </w:r>
      <w:r w:rsidR="00545D1B" w:rsidRPr="00742A04">
        <w:t xml:space="preserve"> </w:t>
      </w:r>
      <w:r w:rsidR="00615664" w:rsidRPr="00742A04">
        <w:t>en materia de compras</w:t>
      </w:r>
      <w:r w:rsidR="00545D1B" w:rsidRPr="00742A04">
        <w:t xml:space="preserve">, </w:t>
      </w:r>
      <w:r w:rsidR="00615664" w:rsidRPr="00742A04">
        <w:t>moda</w:t>
      </w:r>
      <w:r w:rsidR="005E6919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5664" w:rsidRPr="00742A04">
        <w:t>consumo</w:t>
      </w:r>
      <w:r w:rsidR="00C27C42" w:rsidRPr="00742A04">
        <w:t>.</w:t>
      </w:r>
    </w:p>
    <w:p w:rsidR="00545D1B" w:rsidRPr="00742A04" w:rsidRDefault="00F97F41" w:rsidP="000B48A7">
      <w:pPr>
        <w:pStyle w:val="SingleTxt"/>
        <w:ind w:firstLine="475"/>
      </w:pPr>
      <w:r w:rsidRPr="00742A04">
        <w:t>En la Proposición</w:t>
      </w:r>
      <w:r w:rsidR="00C14BFF" w:rsidRPr="00742A04">
        <w:t xml:space="preserve"> </w:t>
      </w:r>
      <w:r w:rsidRPr="00742A04">
        <w:t>N°</w:t>
      </w:r>
      <w:r w:rsidR="00545D1B" w:rsidRPr="00742A04">
        <w:t xml:space="preserve"> 35 (2004-2005) </w:t>
      </w:r>
      <w:r w:rsidR="003C25BF" w:rsidRPr="00742A04">
        <w:t>al Odelsting</w:t>
      </w:r>
      <w:r w:rsidR="00545D1B" w:rsidRPr="00742A04">
        <w:t xml:space="preserve">, </w:t>
      </w:r>
      <w:r w:rsidR="004A0730"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615664" w:rsidRPr="00742A04">
        <w:t>anunció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inten</w:t>
      </w:r>
      <w:r w:rsidR="00C14BFF" w:rsidRPr="00742A04">
        <w:t xml:space="preserve">ción </w:t>
      </w:r>
      <w:r w:rsidR="00615664" w:rsidRPr="00742A04">
        <w:t>de</w:t>
      </w:r>
      <w:r w:rsidR="00545D1B" w:rsidRPr="00742A04">
        <w:t xml:space="preserve"> rev</w:t>
      </w:r>
      <w:r w:rsidR="00615664" w:rsidRPr="00742A04">
        <w:t>er</w:t>
      </w:r>
      <w:r w:rsidR="00545D1B" w:rsidRPr="00742A04">
        <w:t xml:space="preserve"> </w:t>
      </w:r>
      <w:r w:rsidR="00963214" w:rsidRPr="00742A04">
        <w:t xml:space="preserve">la Ley </w:t>
      </w:r>
      <w:r w:rsidR="001A3EBF" w:rsidRPr="00742A04">
        <w:t>de Comercialización</w:t>
      </w:r>
      <w:r w:rsidR="00545D1B" w:rsidRPr="00742A04">
        <w:t xml:space="preserve"> </w:t>
      </w:r>
      <w:r w:rsidR="00230F13" w:rsidRPr="00742A04">
        <w:t>con miras a</w:t>
      </w:r>
      <w:r w:rsidR="00545D1B" w:rsidRPr="00742A04">
        <w:t xml:space="preserve"> in</w:t>
      </w:r>
      <w:r w:rsidR="00615664" w:rsidRPr="00742A04">
        <w:t>cluir la</w:t>
      </w:r>
      <w:r w:rsidR="00545D1B" w:rsidRPr="00742A04">
        <w:t xml:space="preserve"> prohibi</w:t>
      </w:r>
      <w:r w:rsidR="00C14BFF" w:rsidRPr="00742A04">
        <w:t xml:space="preserve">ción </w:t>
      </w:r>
      <w:r w:rsidR="00615664" w:rsidRPr="00742A04">
        <w:t>de la</w:t>
      </w:r>
      <w:r w:rsidR="006137EC" w:rsidRPr="00742A04">
        <w:t xml:space="preserve"> publicidad con estereotipos de género</w:t>
      </w:r>
      <w:r w:rsidR="00545D1B" w:rsidRPr="00742A04">
        <w:t xml:space="preserve">. </w:t>
      </w:r>
      <w:r w:rsidR="00831F07" w:rsidRPr="00742A04">
        <w:t xml:space="preserve">El artículo </w:t>
      </w:r>
      <w:r w:rsidR="00545D1B" w:rsidRPr="00742A04">
        <w:t xml:space="preserve">1 </w:t>
      </w:r>
      <w:r w:rsidR="00F43124" w:rsidRPr="00742A04">
        <w:t xml:space="preserve">de la </w:t>
      </w:r>
      <w:r w:rsidR="00963214" w:rsidRPr="00742A04">
        <w:t xml:space="preserve">Ley </w:t>
      </w:r>
      <w:r w:rsidR="001A3EBF" w:rsidRPr="00742A04">
        <w:t>de Comercialización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146C41" w:rsidRPr="00742A04">
        <w:t>comprende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615664" w:rsidRPr="00742A04">
        <w:t>comercializ</w:t>
      </w:r>
      <w:r w:rsidR="00615664" w:rsidRPr="00742A04">
        <w:t>a</w:t>
      </w:r>
      <w:r w:rsidR="00615664" w:rsidRPr="00742A04">
        <w:t>ción</w:t>
      </w:r>
      <w:r w:rsidR="00146C41" w:rsidRPr="00742A04">
        <w:t xml:space="preserve"> con estereotipos de género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146C41" w:rsidRPr="00742A04">
        <w:t>el punto debe ser aclarado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redacción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46C41" w:rsidRPr="00742A04">
        <w:t>la ley</w:t>
      </w:r>
      <w:r w:rsidR="00545D1B" w:rsidRPr="00742A04">
        <w:t xml:space="preserve">. </w:t>
      </w:r>
      <w:r w:rsidR="00831F07" w:rsidRPr="00742A04">
        <w:t xml:space="preserve">El artículo </w:t>
      </w:r>
      <w:r w:rsidR="00545D1B" w:rsidRPr="00742A04">
        <w:t xml:space="preserve">1 </w:t>
      </w:r>
      <w:r w:rsidR="00F43124" w:rsidRPr="00742A04">
        <w:t xml:space="preserve">de la </w:t>
      </w:r>
      <w:r w:rsidR="00963214" w:rsidRPr="00742A04">
        <w:t xml:space="preserve">Ley </w:t>
      </w:r>
      <w:r w:rsidR="001A3EBF" w:rsidRPr="00742A04">
        <w:t>de Comercialización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146C41" w:rsidRPr="00742A04">
        <w:t>un estándar jurídico</w:t>
      </w:r>
      <w:r w:rsidR="00545D1B" w:rsidRPr="00742A04">
        <w:t xml:space="preserve">, </w:t>
      </w:r>
      <w:r w:rsidR="00146C41" w:rsidRPr="00742A04">
        <w:t>cosa que</w:t>
      </w:r>
      <w:r w:rsidR="00545D1B" w:rsidRPr="00742A04">
        <w:t xml:space="preserve"> </w:t>
      </w:r>
      <w:r w:rsidR="00D3378F" w:rsidRPr="00742A04">
        <w:t>significa que</w:t>
      </w:r>
      <w:r w:rsidR="00545D1B" w:rsidRPr="00742A04">
        <w:t xml:space="preserve"> </w:t>
      </w:r>
      <w:r w:rsidR="00146C41" w:rsidRPr="00742A04">
        <w:t>la disp</w:t>
      </w:r>
      <w:r w:rsidR="00146C41" w:rsidRPr="00742A04">
        <w:t>o</w:t>
      </w:r>
      <w:r w:rsidR="00146C41" w:rsidRPr="00742A04">
        <w:t>sición</w:t>
      </w:r>
      <w:r w:rsidR="005E6919" w:rsidRPr="00742A04">
        <w:t xml:space="preserve"> </w:t>
      </w:r>
      <w:r w:rsidR="00BB4DB1" w:rsidRPr="00742A04">
        <w:t>es</w:t>
      </w:r>
      <w:r w:rsidR="00545D1B" w:rsidRPr="00742A04">
        <w:t xml:space="preserve"> flexible </w:t>
      </w:r>
      <w:r w:rsidR="00877AA0" w:rsidRPr="00742A04">
        <w:t>y</w:t>
      </w:r>
      <w:r w:rsidR="00545D1B" w:rsidRPr="00742A04">
        <w:t xml:space="preserve"> </w:t>
      </w:r>
      <w:r w:rsidR="00146C41" w:rsidRPr="00742A04">
        <w:t>puede reflejar los</w:t>
      </w:r>
      <w:r w:rsidR="00545D1B" w:rsidRPr="00742A04">
        <w:t xml:space="preserve"> </w:t>
      </w:r>
      <w:r w:rsidR="00935A90" w:rsidRPr="00742A04">
        <w:t>cambios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la sociedad</w:t>
      </w:r>
      <w:r w:rsidR="00545D1B" w:rsidRPr="00742A04">
        <w:t xml:space="preserve">. </w:t>
      </w:r>
      <w:r w:rsidR="002213CF" w:rsidRPr="00742A04">
        <w:t>Sin embargo</w:t>
      </w:r>
      <w:r w:rsidR="00545D1B" w:rsidRPr="00742A04">
        <w:t xml:space="preserve">, </w:t>
      </w:r>
      <w:r w:rsidR="004A0730" w:rsidRPr="00742A04">
        <w:t>el M</w:t>
      </w:r>
      <w:r w:rsidR="004A0730" w:rsidRPr="00742A04">
        <w:t>i</w:t>
      </w:r>
      <w:r w:rsidR="004A0730" w:rsidRPr="00742A04">
        <w:t>nisterio</w:t>
      </w:r>
      <w:r w:rsidR="00545D1B" w:rsidRPr="00742A04">
        <w:t xml:space="preserve"> </w:t>
      </w:r>
      <w:r w:rsidR="002213CF" w:rsidRPr="00742A04">
        <w:t>desea evaluar</w:t>
      </w:r>
      <w:r w:rsidR="00545D1B" w:rsidRPr="00742A04">
        <w:t xml:space="preserve"> </w:t>
      </w:r>
      <w:r w:rsidR="002213CF" w:rsidRPr="00742A04">
        <w:t>el contenido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46C41" w:rsidRPr="00742A04">
        <w:t>la disposición</w:t>
      </w:r>
      <w:r w:rsidR="005E6919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A0730" w:rsidRPr="00742A04">
        <w:t>su</w:t>
      </w:r>
      <w:r w:rsidR="002213CF" w:rsidRPr="00742A04">
        <w:t xml:space="preserve"> ubi</w:t>
      </w:r>
      <w:r w:rsidR="00545D1B" w:rsidRPr="00742A04">
        <w:t>ca</w:t>
      </w:r>
      <w:r w:rsidR="00C14BFF" w:rsidRPr="00742A04">
        <w:t>ción en</w:t>
      </w:r>
      <w:r w:rsidR="00545D1B" w:rsidRPr="00742A04">
        <w:t xml:space="preserve"> </w:t>
      </w:r>
      <w:r w:rsidR="00230F13" w:rsidRPr="00742A04">
        <w:t>la Ley</w:t>
      </w:r>
      <w:r w:rsidR="00545D1B" w:rsidRPr="00742A04">
        <w:t>.</w:t>
      </w:r>
      <w:r w:rsidR="001167D2" w:rsidRPr="00742A04">
        <w:t xml:space="preserve"> </w:t>
      </w:r>
      <w:r w:rsidR="0073499D" w:rsidRPr="00742A04">
        <w:t>El Ministerio está en vías de</w:t>
      </w:r>
      <w:r w:rsidR="0073499D">
        <w:t xml:space="preserve"> designar</w:t>
      </w:r>
      <w:r w:rsidR="0073499D" w:rsidRPr="00742A04">
        <w:t xml:space="preserve"> un grupo de trabajo para examinar esas cuesti</w:t>
      </w:r>
      <w:r w:rsidR="0073499D" w:rsidRPr="00742A04">
        <w:t>o</w:t>
      </w:r>
      <w:r w:rsidR="0073499D" w:rsidRPr="00742A04">
        <w:t>nes, entre ellas, la cuestión de determinar si la competencia para fiscalizar el cu</w:t>
      </w:r>
      <w:r w:rsidR="0073499D" w:rsidRPr="00742A04">
        <w:t>m</w:t>
      </w:r>
      <w:r w:rsidR="0073499D" w:rsidRPr="00742A04">
        <w:t xml:space="preserve">plimiento de la disposición debería transferirse del Ombudsman de Defensa de los Consumidores </w:t>
      </w:r>
      <w:r w:rsidR="00A80F26">
        <w:t>a la</w:t>
      </w:r>
      <w:r w:rsidR="0073499D" w:rsidRPr="00742A04">
        <w:t xml:space="preserve"> nueva Ombudsman de Promoción de la Igualdad y Lucha contra la Discriminación.</w:t>
      </w:r>
    </w:p>
    <w:p w:rsidR="00545D1B" w:rsidRPr="00742A04" w:rsidRDefault="002213CF" w:rsidP="000B48A7">
      <w:pPr>
        <w:pStyle w:val="SingleTxt"/>
        <w:ind w:firstLine="475"/>
      </w:pPr>
      <w:r w:rsidRPr="00742A04">
        <w:t>Se presume que la s</w:t>
      </w:r>
      <w:r w:rsidR="00545D1B" w:rsidRPr="00742A04">
        <w:t>exual</w:t>
      </w:r>
      <w:r w:rsidR="00024DBC" w:rsidRPr="00742A04">
        <w:t>ización</w:t>
      </w:r>
      <w:r w:rsidR="00C14BFF" w:rsidRPr="00742A04">
        <w:t xml:space="preserve"> </w:t>
      </w:r>
      <w:r w:rsidRPr="00742A04">
        <w:t xml:space="preserve">del espacio </w:t>
      </w:r>
      <w:r w:rsidR="0073499D" w:rsidRPr="00742A04">
        <w:t>público</w:t>
      </w:r>
      <w:r w:rsidR="00545D1B" w:rsidRPr="00742A04">
        <w:t xml:space="preserve"> </w:t>
      </w:r>
      <w:r w:rsidRPr="00742A04">
        <w:t>tiene incidencia en las a</w:t>
      </w:r>
      <w:r w:rsidRPr="00742A04">
        <w:t>c</w:t>
      </w:r>
      <w:r w:rsidR="00545D1B" w:rsidRPr="00742A04">
        <w:t xml:space="preserve">titudes </w:t>
      </w:r>
      <w:r w:rsidR="00C076F2" w:rsidRPr="00742A04">
        <w:t xml:space="preserve">de los </w:t>
      </w:r>
      <w:r w:rsidRPr="00742A04">
        <w:t>varones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6919" w:rsidRPr="00742A04">
        <w:t>las niñas</w:t>
      </w:r>
      <w:r w:rsidR="00545D1B" w:rsidRPr="00742A04">
        <w:t xml:space="preserve"> </w:t>
      </w:r>
      <w:r w:rsidRPr="00742A04">
        <w:t>respecto de la</w:t>
      </w:r>
      <w:r w:rsidR="00545D1B" w:rsidRPr="00742A04">
        <w:t xml:space="preserve"> </w:t>
      </w:r>
      <w:r w:rsidR="00615664" w:rsidRPr="00742A04">
        <w:t>comprensión</w:t>
      </w:r>
      <w:r w:rsidR="00545D1B" w:rsidRPr="00742A04">
        <w:t xml:space="preserve"> </w:t>
      </w:r>
      <w:r w:rsidRPr="00742A04">
        <w:t xml:space="preserve">de </w:t>
      </w:r>
      <w:r w:rsidR="00F97F41" w:rsidRPr="00742A04">
        <w:t>su</w:t>
      </w:r>
      <w:r w:rsidR="00545D1B" w:rsidRPr="00742A04">
        <w:t xml:space="preserve"> </w:t>
      </w:r>
      <w:r w:rsidRPr="00742A04">
        <w:t>propio sexo</w:t>
      </w:r>
      <w:r w:rsidR="00545D1B" w:rsidRPr="00742A04">
        <w:t xml:space="preserve">. </w:t>
      </w:r>
      <w:r w:rsidRPr="00742A04">
        <w:t>El acceso</w:t>
      </w:r>
      <w:r w:rsidR="00545D1B" w:rsidRPr="00742A04">
        <w:t xml:space="preserve"> </w:t>
      </w:r>
      <w:r w:rsidR="0030626A" w:rsidRPr="00742A04">
        <w:t>a</w:t>
      </w:r>
      <w:r w:rsidR="00DB4D9A">
        <w:t xml:space="preserve"> la</w:t>
      </w:r>
      <w:r w:rsidR="00545D1B" w:rsidRPr="00742A04">
        <w:t xml:space="preserve"> </w:t>
      </w:r>
      <w:r w:rsidRPr="00742A04">
        <w:t>pornografía</w:t>
      </w:r>
      <w:r w:rsidR="00545D1B" w:rsidRPr="00742A04">
        <w:t xml:space="preserve"> </w:t>
      </w:r>
      <w:r w:rsidRPr="00742A04">
        <w:t>por nuevos medios ha cambiado</w:t>
      </w:r>
      <w:r w:rsidR="00545D1B" w:rsidRPr="00742A04">
        <w:t xml:space="preserve"> </w:t>
      </w:r>
      <w:r w:rsidRPr="00742A04">
        <w:t>dramáticamente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D313C" w:rsidRPr="00742A04">
        <w:t>los ú</w:t>
      </w:r>
      <w:r w:rsidR="004D313C" w:rsidRPr="00742A04">
        <w:t>l</w:t>
      </w:r>
      <w:r w:rsidR="004D313C" w:rsidRPr="00742A04">
        <w:t>timos años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F43124" w:rsidRPr="00742A04">
        <w:t>hay</w:t>
      </w:r>
      <w:r w:rsidR="00545D1B" w:rsidRPr="00742A04">
        <w:t xml:space="preserve"> </w:t>
      </w:r>
      <w:r w:rsidRPr="00742A04">
        <w:t>escaso</w:t>
      </w:r>
      <w:r w:rsidR="00545D1B" w:rsidRPr="00742A04">
        <w:t xml:space="preserve"> </w:t>
      </w:r>
      <w:r w:rsidR="003E5775" w:rsidRPr="00742A04">
        <w:t>conocimiento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Pr="00742A04">
        <w:t>efecto e</w:t>
      </w:r>
      <w:r w:rsidR="00545D1B" w:rsidRPr="00742A04">
        <w:t xml:space="preserve">n </w:t>
      </w:r>
      <w:r w:rsidR="00DB4D9A">
        <w:t xml:space="preserve">la </w:t>
      </w:r>
      <w:r w:rsidR="00615664" w:rsidRPr="00742A04">
        <w:t>comprensión</w:t>
      </w:r>
      <w:r w:rsidR="00545D1B" w:rsidRPr="00742A04">
        <w:t xml:space="preserve"> </w:t>
      </w:r>
      <w:r w:rsidR="00242371" w:rsidRPr="00742A04">
        <w:t>de la igua</w:t>
      </w:r>
      <w:r w:rsidR="00242371" w:rsidRPr="00742A04">
        <w:t>l</w:t>
      </w:r>
      <w:r w:rsidR="00242371" w:rsidRPr="00742A04">
        <w:t>dad</w:t>
      </w:r>
      <w:r w:rsidR="00A05847" w:rsidRPr="00742A04">
        <w:t xml:space="preserve"> de g</w:t>
      </w:r>
      <w:r w:rsidR="00A05847" w:rsidRPr="00742A04">
        <w:t>é</w:t>
      </w:r>
      <w:r w:rsidR="00A05847" w:rsidRPr="00742A04">
        <w:t>nero</w:t>
      </w:r>
      <w:r w:rsidR="00545D1B" w:rsidRPr="00742A04">
        <w:t xml:space="preserve">, </w:t>
      </w:r>
      <w:r w:rsidRPr="00742A04">
        <w:t xml:space="preserve">el </w:t>
      </w:r>
      <w:r w:rsidR="00A836A1" w:rsidRPr="00742A04">
        <w:t>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sexual</w:t>
      </w:r>
      <w:r w:rsidR="00502E16" w:rsidRPr="00742A04">
        <w:t>idad</w:t>
      </w:r>
      <w:r w:rsidRPr="00742A04">
        <w:t xml:space="preserve"> por parte </w:t>
      </w:r>
      <w:r w:rsidR="00C076F2" w:rsidRPr="00742A04">
        <w:t xml:space="preserve">de los </w:t>
      </w:r>
      <w:r w:rsidRPr="00742A04">
        <w:t>jóvenes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Pr="00742A04">
        <w:t>los dos últimos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, </w:t>
      </w:r>
      <w:r w:rsidR="00ED4DF1" w:rsidRPr="00742A04">
        <w:t>los países nórdicos</w:t>
      </w:r>
      <w:r w:rsidR="00545D1B" w:rsidRPr="00742A04">
        <w:t xml:space="preserve"> </w:t>
      </w:r>
      <w:r w:rsidRPr="00742A04">
        <w:t>han participado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un proyecto conjunto de investigación</w:t>
      </w:r>
      <w:r w:rsidR="00545D1B" w:rsidRPr="00742A04">
        <w:t xml:space="preserve"> </w:t>
      </w:r>
      <w:r w:rsidRPr="00742A04">
        <w:t>bajo los auspicios</w:t>
      </w:r>
      <w:r w:rsidR="00545D1B" w:rsidRPr="00742A04">
        <w:t xml:space="preserve"> </w:t>
      </w:r>
      <w:r w:rsidRPr="00742A04">
        <w:t>del Consejo de Ministros Nórdicos</w:t>
      </w:r>
      <w:r w:rsidR="00545D1B" w:rsidRPr="00742A04">
        <w:t xml:space="preserve"> </w:t>
      </w:r>
      <w:r w:rsidRPr="00742A04">
        <w:t xml:space="preserve">encaminado 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Pr="00742A04">
        <w:t xml:space="preserve"> el</w:t>
      </w:r>
      <w:r w:rsidR="00545D1B" w:rsidRPr="00742A04">
        <w:t xml:space="preserve"> </w:t>
      </w:r>
      <w:r w:rsidR="003E5775" w:rsidRPr="00742A04">
        <w:t>conoc</w:t>
      </w:r>
      <w:r w:rsidR="003E5775" w:rsidRPr="00742A04">
        <w:t>i</w:t>
      </w:r>
      <w:r w:rsidR="003E5775" w:rsidRPr="00742A04">
        <w:t>miento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. </w:t>
      </w:r>
      <w:r w:rsidRPr="00742A04">
        <w:t>El proyecto</w:t>
      </w:r>
      <w:r w:rsidR="00545D1B" w:rsidRPr="00742A04">
        <w:t xml:space="preserve"> </w:t>
      </w:r>
      <w:r w:rsidRPr="00742A04">
        <w:t>terminará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776F" w:rsidRPr="00742A04">
        <w:t>junio de</w:t>
      </w:r>
      <w:r w:rsidR="00545D1B" w:rsidRPr="00742A04">
        <w:t xml:space="preserve"> 2006.</w:t>
      </w:r>
    </w:p>
    <w:p w:rsidR="00545D1B" w:rsidRPr="00742A04" w:rsidRDefault="00975A9E" w:rsidP="000B48A7">
      <w:pPr>
        <w:pStyle w:val="SingleTxt"/>
        <w:ind w:firstLine="475"/>
      </w:pPr>
      <w:r w:rsidRPr="00742A04">
        <w:t>El reclutamiento de</w:t>
      </w:r>
      <w:r w:rsidR="00A24287" w:rsidRPr="00742A04">
        <w:t xml:space="preserve"> jóvenes</w:t>
      </w:r>
      <w:r w:rsidR="00545D1B" w:rsidRPr="00742A04">
        <w:t xml:space="preserve"> </w:t>
      </w:r>
      <w:r w:rsidRPr="00742A04">
        <w:t>para l</w:t>
      </w:r>
      <w:r w:rsidR="0030626A" w:rsidRPr="00742A04">
        <w:t>a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los empleos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 sector mun</w:t>
      </w:r>
      <w:r w:rsidRPr="00742A04">
        <w:t>i</w:t>
      </w:r>
      <w:r w:rsidRPr="00742A04">
        <w:t>cipal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una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Pr="00742A04">
        <w:t>tarea</w:t>
      </w:r>
      <w:r w:rsidR="00545D1B" w:rsidRPr="00742A04">
        <w:t xml:space="preserve">. </w:t>
      </w:r>
      <w:r w:rsidRPr="00742A04">
        <w:t>Por medio del sitio Web</w:t>
      </w:r>
      <w:r w:rsidR="00545D1B" w:rsidRPr="00742A04">
        <w:t xml:space="preserve"> </w:t>
      </w:r>
      <w:hyperlink r:id="rId15" w:history="1">
        <w:r w:rsidR="00545D1B" w:rsidRPr="00742A04">
          <w:rPr>
            <w:rStyle w:val="Hyperlink"/>
          </w:rPr>
          <w:t>www.mittvalg.net</w:t>
        </w:r>
      </w:hyperlink>
      <w:r w:rsidR="00545D1B" w:rsidRPr="00742A04">
        <w:t xml:space="preserve">, </w:t>
      </w:r>
      <w:r w:rsidRPr="00742A04">
        <w:t xml:space="preserve">la </w:t>
      </w:r>
      <w:r w:rsidR="000A5430" w:rsidRPr="00742A04">
        <w:t>Aso</w:t>
      </w:r>
      <w:r w:rsidR="00545D1B" w:rsidRPr="00742A04">
        <w:t>ci</w:t>
      </w:r>
      <w:r w:rsidR="00545D1B" w:rsidRPr="00742A04">
        <w:t>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77058E" w:rsidRPr="00742A04">
        <w:t>Autoridades Locales y Regionales</w:t>
      </w:r>
      <w:r w:rsidR="00545D1B" w:rsidRPr="00742A04">
        <w:t xml:space="preserve"> </w:t>
      </w:r>
      <w:r w:rsidRPr="00742A04">
        <w:t xml:space="preserve">de Noruega </w:t>
      </w:r>
      <w:r w:rsidR="00545D1B" w:rsidRPr="00742A04">
        <w:t xml:space="preserve">(KS) </w:t>
      </w:r>
      <w:r w:rsidRPr="00742A04">
        <w:t>centra la atención en</w:t>
      </w:r>
      <w:r w:rsidR="00545D1B" w:rsidRPr="00742A04">
        <w:t xml:space="preserve"> </w:t>
      </w:r>
      <w:r w:rsidRPr="00742A04">
        <w:t>la municipalidad como</w:t>
      </w:r>
      <w:r w:rsidR="00545D1B" w:rsidRPr="00742A04">
        <w:t xml:space="preserve"> fu</w:t>
      </w:r>
      <w:r w:rsidRPr="00742A04">
        <w:t>turo</w:t>
      </w:r>
      <w:r w:rsidR="00545D1B" w:rsidRPr="00742A04">
        <w:t xml:space="preserve"> </w:t>
      </w:r>
      <w:r w:rsidR="00AE0831" w:rsidRPr="00742A04">
        <w:t>lugar de trabajo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. </w:t>
      </w:r>
      <w:r w:rsidR="007E0DFE" w:rsidRPr="00742A04">
        <w:t>Se entrevista a</w:t>
      </w:r>
      <w:r w:rsidR="00A24287" w:rsidRPr="00742A04">
        <w:t xml:space="preserve"> jóvenes</w:t>
      </w:r>
      <w:r w:rsidR="00545D1B" w:rsidRPr="00742A04">
        <w:t xml:space="preserve"> </w:t>
      </w:r>
      <w:r w:rsidR="007E0DFE" w:rsidRPr="00742A04">
        <w:t>que desempeñan</w:t>
      </w:r>
      <w:r w:rsidR="00545D1B" w:rsidRPr="00742A04">
        <w:t xml:space="preserve"> </w:t>
      </w:r>
      <w:r w:rsidR="00587443" w:rsidRPr="00742A04">
        <w:t>diversos</w:t>
      </w:r>
      <w:r w:rsidR="00545D1B" w:rsidRPr="00742A04">
        <w:t xml:space="preserve"> </w:t>
      </w:r>
      <w:r w:rsidR="007E0DFE" w:rsidRPr="00742A04">
        <w:t xml:space="preserve">puestos </w:t>
      </w:r>
      <w:r w:rsidR="00545D1B" w:rsidRPr="00742A04">
        <w:t>municipal</w:t>
      </w:r>
      <w:r w:rsidR="0063164E">
        <w:t>es</w:t>
      </w:r>
      <w:r w:rsidR="00545D1B" w:rsidRPr="00742A04">
        <w:t xml:space="preserve"> </w:t>
      </w:r>
      <w:r w:rsidR="007E0DFE" w:rsidRPr="00742A04">
        <w:t>a fin de i</w:t>
      </w:r>
      <w:r w:rsidR="00545D1B" w:rsidRPr="00742A04">
        <w:t>lustra</w:t>
      </w:r>
      <w:r w:rsidR="007E0DFE" w:rsidRPr="00742A04">
        <w:t>r la</w:t>
      </w:r>
      <w:r w:rsidR="00545D1B" w:rsidRPr="00742A04">
        <w:t xml:space="preserve"> divers</w:t>
      </w:r>
      <w:r w:rsidR="00502E16" w:rsidRPr="00742A04">
        <w:t>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E0DFE" w:rsidRPr="00742A04">
        <w:t>e</w:t>
      </w:r>
      <w:r w:rsidR="007E0DFE" w:rsidRPr="00742A04">
        <w:t>m</w:t>
      </w:r>
      <w:r w:rsidR="007E0DFE" w:rsidRPr="00742A04">
        <w:t>pleo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210DB1" w:rsidRPr="00742A04">
        <w:t>oportunidades</w:t>
      </w:r>
      <w:r w:rsidR="00545D1B" w:rsidRPr="00742A04">
        <w:t xml:space="preserve"> </w:t>
      </w:r>
      <w:r w:rsidR="00C07ED9" w:rsidRPr="00742A04">
        <w:t>dentro de</w:t>
      </w:r>
      <w:r w:rsidR="00545D1B" w:rsidRPr="00742A04">
        <w:t xml:space="preserve"> </w:t>
      </w:r>
      <w:r w:rsidR="007E0DFE" w:rsidRPr="00742A04">
        <w:t>distinta</w:t>
      </w:r>
      <w:r w:rsidR="00587443" w:rsidRPr="00742A04">
        <w:t>s</w:t>
      </w:r>
      <w:r w:rsidR="00545D1B" w:rsidRPr="00742A04">
        <w:t xml:space="preserve"> </w:t>
      </w:r>
      <w:r w:rsidR="007E0DFE" w:rsidRPr="00742A04">
        <w:t>opciones ocupaci</w:t>
      </w:r>
      <w:r w:rsidR="00545D1B" w:rsidRPr="00742A04">
        <w:t>onal</w:t>
      </w:r>
      <w:r w:rsidR="0063164E">
        <w:t>es</w:t>
      </w:r>
      <w:r w:rsidR="00545D1B" w:rsidRPr="00742A04">
        <w:t xml:space="preserve">. </w:t>
      </w:r>
      <w:r w:rsidR="0073499D" w:rsidRPr="00742A04">
        <w:t>Es importante dem</w:t>
      </w:r>
      <w:r w:rsidR="0073499D">
        <w:t>o</w:t>
      </w:r>
      <w:r w:rsidR="0073499D" w:rsidRPr="00742A04">
        <w:t>s</w:t>
      </w:r>
      <w:r w:rsidR="0073499D">
        <w:t>t</w:t>
      </w:r>
      <w:r w:rsidR="0073499D" w:rsidRPr="00742A04">
        <w:t>rar que hay varones que disfrutan trabajando con niños y con personas de edad en empleos relacionados con el cuidado de otros, así como niñas en ocupaci</w:t>
      </w:r>
      <w:r w:rsidR="0073499D" w:rsidRPr="00742A04">
        <w:t>o</w:t>
      </w:r>
      <w:r w:rsidR="0073499D" w:rsidRPr="00742A04">
        <w:t>nes en las que predominan los hombres</w:t>
      </w:r>
      <w:r w:rsidR="0063164E">
        <w:t>,</w:t>
      </w:r>
      <w:r w:rsidR="0073499D" w:rsidRPr="00742A04">
        <w:t xml:space="preserve"> y encontrar buenos ejemplos entre los e</w:t>
      </w:r>
      <w:r w:rsidR="0073499D" w:rsidRPr="00742A04">
        <w:t>m</w:t>
      </w:r>
      <w:r w:rsidR="0073499D" w:rsidRPr="00742A04">
        <w:t>pleados municipales.</w:t>
      </w:r>
    </w:p>
    <w:p w:rsidR="00545D1B" w:rsidRPr="00742A04" w:rsidRDefault="005C6D40" w:rsidP="002C4922">
      <w:pPr>
        <w:pStyle w:val="SingleTxt"/>
        <w:rPr>
          <w:b/>
        </w:rPr>
      </w:pPr>
      <w:r w:rsidRPr="00742A04">
        <w:rPr>
          <w:b/>
        </w:rPr>
        <w:t>Los hombres</w:t>
      </w:r>
      <w:r w:rsidR="00545D1B" w:rsidRPr="00742A04">
        <w:rPr>
          <w:b/>
        </w:rPr>
        <w:t xml:space="preserve">, </w:t>
      </w:r>
      <w:r w:rsidR="0063164E">
        <w:rPr>
          <w:b/>
        </w:rPr>
        <w:t xml:space="preserve">los </w:t>
      </w:r>
      <w:r w:rsidR="00615664" w:rsidRPr="00742A04">
        <w:rPr>
          <w:b/>
        </w:rPr>
        <w:t>roles de género</w:t>
      </w:r>
      <w:r w:rsidR="002E5047" w:rsidRPr="00742A04">
        <w:rPr>
          <w:b/>
        </w:rPr>
        <w:t xml:space="preserve"> </w:t>
      </w:r>
      <w:r w:rsidR="0063164E">
        <w:rPr>
          <w:b/>
        </w:rPr>
        <w:t>y la</w:t>
      </w:r>
      <w:r w:rsidR="002E5047" w:rsidRPr="00742A04">
        <w:rPr>
          <w:b/>
        </w:rPr>
        <w:t xml:space="preserve"> i</w:t>
      </w:r>
      <w:r w:rsidR="00A05847" w:rsidRPr="00742A04">
        <w:rPr>
          <w:b/>
        </w:rPr>
        <w:t>gualdad de género</w:t>
      </w:r>
    </w:p>
    <w:p w:rsidR="00545D1B" w:rsidRPr="00742A04" w:rsidRDefault="007E0DFE" w:rsidP="000B48A7">
      <w:pPr>
        <w:pStyle w:val="SingleTxt"/>
        <w:ind w:firstLine="475"/>
      </w:pPr>
      <w:r w:rsidRPr="00742A04">
        <w:t>Para que</w:t>
      </w:r>
      <w:r w:rsidR="00545D1B" w:rsidRPr="00742A04">
        <w:t xml:space="preserve"> </w:t>
      </w:r>
      <w:r w:rsidR="00502E16" w:rsidRPr="00742A04">
        <w:t>los esfuerzos</w:t>
      </w:r>
      <w:r w:rsidR="00EA6AC2" w:rsidRPr="00742A04">
        <w:t xml:space="preserve"> por </w:t>
      </w:r>
      <w:r w:rsidR="00B146CA" w:rsidRPr="00742A04">
        <w:t>promover la igualdad</w:t>
      </w:r>
      <w:r w:rsidR="00A05847" w:rsidRPr="00742A04">
        <w:t xml:space="preserve"> de género</w:t>
      </w:r>
      <w:r w:rsidR="00545D1B" w:rsidRPr="00742A04">
        <w:t xml:space="preserve"> </w:t>
      </w:r>
      <w:r w:rsidRPr="00742A04">
        <w:t>tengan éxito</w:t>
      </w:r>
      <w:r w:rsidR="00545D1B" w:rsidRPr="00742A04">
        <w:t xml:space="preserve">, </w:t>
      </w:r>
      <w:r w:rsidR="00BD47D3" w:rsidRPr="00742A04">
        <w:t>es</w:t>
      </w:r>
      <w:r w:rsidR="00545D1B" w:rsidRPr="00742A04">
        <w:t xml:space="preserve"> </w:t>
      </w:r>
      <w:r w:rsidRPr="00742A04">
        <w:t>esencial</w:t>
      </w:r>
      <w:r w:rsidR="00545D1B" w:rsidRPr="00742A04">
        <w:t xml:space="preserve"> </w:t>
      </w:r>
      <w:r w:rsidRPr="00742A04">
        <w:t>producir</w:t>
      </w:r>
      <w:r w:rsidR="003E4840" w:rsidRPr="00742A04">
        <w:t xml:space="preserve"> </w:t>
      </w:r>
      <w:r w:rsidR="00935A90" w:rsidRPr="00742A04">
        <w:t>cambios</w:t>
      </w:r>
      <w:r w:rsidR="00545D1B" w:rsidRPr="00742A04">
        <w:t xml:space="preserve"> </w:t>
      </w:r>
      <w:r w:rsidRPr="00742A04">
        <w:t>entre</w:t>
      </w:r>
      <w:r w:rsidR="00545D1B" w:rsidRPr="00742A04">
        <w:t xml:space="preserve"> </w:t>
      </w:r>
      <w:r w:rsidR="00B952A0">
        <w:t xml:space="preserve">los </w:t>
      </w:r>
      <w:r w:rsidR="00072AD7" w:rsidRPr="00742A04">
        <w:t>hombres</w:t>
      </w:r>
      <w:r w:rsidR="00545D1B" w:rsidRPr="00742A04">
        <w:t xml:space="preserve">. </w:t>
      </w:r>
      <w:r w:rsidRPr="00742A04">
        <w:rPr>
          <w:i/>
        </w:rPr>
        <w:t>S</w:t>
      </w:r>
      <w:r w:rsidR="00545D1B" w:rsidRPr="00742A04">
        <w:rPr>
          <w:i/>
        </w:rPr>
        <w:t xml:space="preserve">e </w:t>
      </w:r>
      <w:r w:rsidR="007D4688" w:rsidRPr="00742A04">
        <w:rPr>
          <w:i/>
        </w:rPr>
        <w:t>debe</w:t>
      </w:r>
      <w:r w:rsidR="005E6919" w:rsidRPr="00742A04">
        <w:rPr>
          <w:i/>
        </w:rPr>
        <w:t xml:space="preserve"> centra</w:t>
      </w:r>
      <w:r w:rsidRPr="00742A04">
        <w:rPr>
          <w:i/>
        </w:rPr>
        <w:t>r la aten</w:t>
      </w:r>
      <w:r w:rsidR="005E6919" w:rsidRPr="00742A04">
        <w:rPr>
          <w:i/>
        </w:rPr>
        <w:t>ción en</w:t>
      </w:r>
      <w:r w:rsidR="00545D1B" w:rsidRPr="00742A04">
        <w:rPr>
          <w:i/>
        </w:rPr>
        <w:t xml:space="preserve"> </w:t>
      </w:r>
      <w:r w:rsidRPr="00742A04">
        <w:rPr>
          <w:i/>
        </w:rPr>
        <w:t xml:space="preserve">el </w:t>
      </w:r>
      <w:r w:rsidR="00935A90" w:rsidRPr="00742A04">
        <w:rPr>
          <w:i/>
        </w:rPr>
        <w:t>co</w:t>
      </w:r>
      <w:r w:rsidR="00935A90" w:rsidRPr="00742A04">
        <w:rPr>
          <w:i/>
        </w:rPr>
        <w:t>m</w:t>
      </w:r>
      <w:r w:rsidR="00935A90" w:rsidRPr="00742A04">
        <w:rPr>
          <w:i/>
        </w:rPr>
        <w:t>portamiento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</w:t>
      </w:r>
      <w:r w:rsidRPr="00742A04">
        <w:rPr>
          <w:i/>
        </w:rPr>
        <w:t xml:space="preserve">las actitudes </w:t>
      </w:r>
      <w:r w:rsidR="00C076F2" w:rsidRPr="00742A04">
        <w:rPr>
          <w:i/>
        </w:rPr>
        <w:t xml:space="preserve">de los </w:t>
      </w:r>
      <w:r w:rsidRPr="00742A04">
        <w:rPr>
          <w:i/>
        </w:rPr>
        <w:t>hombres</w:t>
      </w:r>
      <w:r w:rsidR="00545D1B" w:rsidRPr="00742A04">
        <w:t xml:space="preserve">. </w:t>
      </w:r>
      <w:r w:rsidRPr="00742A04">
        <w:t>Tenemos</w:t>
      </w:r>
      <w:r w:rsidR="00545D1B" w:rsidRPr="00742A04">
        <w:t xml:space="preserve"> </w:t>
      </w:r>
      <w:r w:rsidRPr="00742A04">
        <w:t>tendencia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percibir</w:t>
      </w:r>
      <w:r w:rsidR="00545D1B" w:rsidRPr="00742A04">
        <w:t xml:space="preserve"> </w:t>
      </w:r>
      <w:r w:rsidRPr="00742A04">
        <w:t xml:space="preserve">a los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a las actitudes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el </w:t>
      </w:r>
      <w:r w:rsidR="00935A90" w:rsidRPr="00742A04">
        <w:t>comportamiento</w:t>
      </w:r>
      <w:r w:rsidR="00545D1B" w:rsidRPr="00742A04">
        <w:t xml:space="preserve"> </w:t>
      </w:r>
      <w:r w:rsidR="00C076F2" w:rsidRPr="00742A04">
        <w:t xml:space="preserve">de los </w:t>
      </w:r>
      <w:r w:rsidRPr="00742A04">
        <w:t>hombres como</w:t>
      </w:r>
      <w:r w:rsidR="00545D1B" w:rsidRPr="00742A04">
        <w:t xml:space="preserve"> </w:t>
      </w:r>
      <w:r w:rsidRPr="00742A04">
        <w:t>norma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punto de referencia para</w:t>
      </w:r>
      <w:r w:rsidR="00545D1B" w:rsidRPr="00742A04">
        <w:t xml:space="preserve"> </w:t>
      </w:r>
      <w:r w:rsidR="00B952A0">
        <w:t xml:space="preserve">la </w:t>
      </w:r>
      <w:r w:rsidRPr="00742A04">
        <w:t>actividad humana</w:t>
      </w:r>
      <w:r w:rsidR="00545D1B" w:rsidRPr="00742A04">
        <w:t xml:space="preserve">, </w:t>
      </w:r>
      <w:r w:rsidRPr="00742A04">
        <w:t>tanto en nuestras propias</w:t>
      </w:r>
      <w:r w:rsidR="00545D1B" w:rsidRPr="00742A04">
        <w:t xml:space="preserve"> socie</w:t>
      </w:r>
      <w:r w:rsidRPr="00742A04">
        <w:t>dad</w:t>
      </w:r>
      <w:r w:rsidR="00545D1B" w:rsidRPr="00742A04">
        <w:t>es</w:t>
      </w:r>
      <w:r w:rsidRPr="00742A04">
        <w:t xml:space="preserve"> como en otras</w:t>
      </w:r>
      <w:r w:rsidR="00545D1B" w:rsidRPr="00742A04">
        <w:t xml:space="preserve">. </w:t>
      </w:r>
      <w:r w:rsidRPr="00742A04">
        <w:t>Ello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lamentable,</w:t>
      </w:r>
      <w:r w:rsidR="00545D1B" w:rsidRPr="00742A04">
        <w:t xml:space="preserve"> </w:t>
      </w:r>
      <w:r w:rsidRPr="00742A04">
        <w:t>porque</w:t>
      </w:r>
      <w:r w:rsidR="00545D1B" w:rsidRPr="00742A04">
        <w:t xml:space="preserve"> </w:t>
      </w:r>
      <w:r w:rsidRPr="00742A04">
        <w:t>nos olvidamos de</w:t>
      </w:r>
      <w:r w:rsidR="00545D1B" w:rsidRPr="00742A04">
        <w:t xml:space="preserve"> problemati</w:t>
      </w:r>
      <w:r w:rsidRPr="00742A04">
        <w:t>zar a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B2FE4" w:rsidRPr="00742A04">
        <w:t xml:space="preserve">los roles </w:t>
      </w:r>
      <w:r w:rsidR="00C076F2" w:rsidRPr="00742A04">
        <w:t xml:space="preserve">de los </w:t>
      </w:r>
      <w:r w:rsidR="005B2FE4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B2FE4" w:rsidRPr="00742A04">
        <w:t xml:space="preserve">la </w:t>
      </w:r>
      <w:r w:rsidR="00545D1B" w:rsidRPr="00742A04">
        <w:t>interac</w:t>
      </w:r>
      <w:r w:rsidR="00C27C42" w:rsidRPr="00742A04">
        <w:t>ci</w:t>
      </w:r>
      <w:r w:rsidR="00C14BFF" w:rsidRPr="00742A04">
        <w:t>ón</w:t>
      </w:r>
      <w:r w:rsidR="005B2FE4" w:rsidRPr="00742A04">
        <w:t xml:space="preserve"> humana</w:t>
      </w:r>
      <w:r w:rsidR="00C27C42" w:rsidRPr="00742A04">
        <w:t>.</w:t>
      </w:r>
      <w:r w:rsidR="00545D1B" w:rsidRPr="00742A04">
        <w:t xml:space="preserve"> </w:t>
      </w:r>
      <w:r w:rsidR="00CF2F77" w:rsidRPr="00742A04">
        <w:t>Es</w:t>
      </w:r>
      <w:r w:rsidR="00545D1B" w:rsidRPr="00742A04">
        <w:t xml:space="preserve"> im</w:t>
      </w:r>
      <w:r w:rsidR="00C27C42" w:rsidRPr="00742A04">
        <w:t>posible</w:t>
      </w:r>
      <w:r w:rsidR="00545D1B" w:rsidRPr="00742A04">
        <w:t xml:space="preserve"> </w:t>
      </w:r>
      <w:r w:rsidRPr="00742A04">
        <w:t>producir</w:t>
      </w:r>
      <w:r w:rsidR="005B2FE4" w:rsidRPr="00742A04">
        <w:t xml:space="preserve"> un</w:t>
      </w:r>
      <w:r w:rsidR="003E4840" w:rsidRPr="00742A04">
        <w:t xml:space="preserve"> </w:t>
      </w:r>
      <w:r w:rsidR="005B2FE4" w:rsidRPr="00742A04">
        <w:t>cambio</w:t>
      </w:r>
      <w:r w:rsidR="00545D1B" w:rsidRPr="00742A04">
        <w:t xml:space="preserve"> </w:t>
      </w:r>
      <w:r w:rsidR="005B2FE4" w:rsidRPr="00742A04">
        <w:t xml:space="preserve">radical </w:t>
      </w:r>
      <w:r w:rsidR="00C14BFF" w:rsidRPr="00742A04">
        <w:t>en</w:t>
      </w:r>
      <w:r w:rsidR="00545D1B" w:rsidRPr="00742A04">
        <w:t xml:space="preserve"> </w:t>
      </w:r>
      <w:r w:rsidR="005B2FE4" w:rsidRPr="00742A04">
        <w:t>la jerarquía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B2FE4" w:rsidRPr="00742A04">
        <w:t>las relaciones de género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5B2FE4" w:rsidRPr="00742A04">
        <w:t>plantear</w:t>
      </w:r>
      <w:r w:rsidR="00545D1B" w:rsidRPr="00742A04">
        <w:t xml:space="preserve"> </w:t>
      </w:r>
      <w:r w:rsidR="005B2FE4" w:rsidRPr="00742A04">
        <w:t>cuesti</w:t>
      </w:r>
      <w:r w:rsidR="008907B8" w:rsidRPr="00742A04">
        <w:t>ones</w:t>
      </w:r>
      <w:r w:rsidR="00545D1B" w:rsidRPr="00742A04">
        <w:t xml:space="preserve"> </w:t>
      </w:r>
      <w:r w:rsidR="003E4840" w:rsidRPr="00742A04">
        <w:t>acerca de</w:t>
      </w:r>
      <w:r w:rsidR="00545D1B" w:rsidRPr="00742A04">
        <w:t xml:space="preserve"> </w:t>
      </w:r>
      <w:r w:rsidR="0073499D">
        <w:t>las</w:t>
      </w:r>
      <w:r w:rsidR="00545D1B" w:rsidRPr="00742A04">
        <w:t xml:space="preserve"> ac</w:t>
      </w:r>
      <w:r w:rsidR="008907B8" w:rsidRPr="00742A04">
        <w:t>ciones</w:t>
      </w:r>
      <w:r w:rsidR="00545D1B" w:rsidRPr="00742A04">
        <w:t xml:space="preserve">, </w:t>
      </w:r>
      <w:r w:rsidRPr="00742A04">
        <w:t>las actitudes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posi</w:t>
      </w:r>
      <w:r w:rsidR="008907B8" w:rsidRPr="00742A04">
        <w:t>ciones</w:t>
      </w:r>
      <w:r w:rsidR="00545D1B" w:rsidRPr="00742A04">
        <w:t xml:space="preserve"> </w:t>
      </w:r>
      <w:r w:rsidR="004D313C" w:rsidRPr="00742A04">
        <w:t>de las muj</w:t>
      </w:r>
      <w:r w:rsidR="004D313C" w:rsidRPr="00742A04">
        <w:t>e</w:t>
      </w:r>
      <w:r w:rsidR="004D313C" w:rsidRPr="00742A04">
        <w:t>res</w:t>
      </w:r>
      <w:r w:rsidR="00242371" w:rsidRPr="00742A04">
        <w:t xml:space="preserve"> y hombres</w:t>
      </w:r>
      <w:r w:rsidR="00545D1B" w:rsidRPr="00742A04">
        <w:t>.</w:t>
      </w:r>
    </w:p>
    <w:p w:rsidR="00545D1B" w:rsidRPr="00742A04" w:rsidRDefault="005B2FE4" w:rsidP="000B48A7">
      <w:pPr>
        <w:pStyle w:val="SingleTxt"/>
        <w:ind w:firstLine="475"/>
      </w:pPr>
      <w:r w:rsidRPr="00742A04">
        <w:t>El profesor</w:t>
      </w:r>
      <w:r w:rsidR="00545D1B" w:rsidRPr="00742A04">
        <w:t xml:space="preserve"> Michael Kimmel, </w:t>
      </w:r>
      <w:r w:rsidRPr="00742A04">
        <w:t>un conocido</w:t>
      </w:r>
      <w:r w:rsidR="00545D1B" w:rsidRPr="00742A04">
        <w:t xml:space="preserve"> </w:t>
      </w:r>
      <w:r w:rsidRPr="00742A04">
        <w:t>investigador</w:t>
      </w:r>
      <w:r w:rsidR="00214075">
        <w:t xml:space="preserve"> estadounidense</w:t>
      </w:r>
      <w:r w:rsidR="00545D1B" w:rsidRPr="00742A04">
        <w:t xml:space="preserve"> </w:t>
      </w:r>
      <w:r w:rsidRPr="00742A04">
        <w:t>en cuestiones relacionadas con el</w:t>
      </w:r>
      <w:r w:rsidR="00545D1B" w:rsidRPr="00742A04">
        <w:t xml:space="preserve"> </w:t>
      </w:r>
      <w:r w:rsidR="00A836A1" w:rsidRPr="00742A04">
        <w:t>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E0DFE" w:rsidRPr="00742A04">
        <w:t>los hombres</w:t>
      </w:r>
      <w:r w:rsidRPr="00742A04">
        <w:t>,</w:t>
      </w:r>
      <w:r w:rsidR="00545D1B" w:rsidRPr="00742A04">
        <w:t xml:space="preserve"> </w:t>
      </w:r>
      <w:r w:rsidRPr="00742A04">
        <w:t>dijo</w:t>
      </w:r>
      <w:r w:rsidR="00545D1B" w:rsidRPr="00742A04">
        <w:t xml:space="preserve">, </w:t>
      </w:r>
      <w:r w:rsidRPr="00742A04">
        <w:t>en la</w:t>
      </w:r>
      <w:r w:rsidR="00A60159" w:rsidRPr="00742A04">
        <w:t xml:space="preserve"> </w:t>
      </w:r>
      <w:r w:rsidR="003673DD">
        <w:t>conferencia den</w:t>
      </w:r>
      <w:r w:rsidR="003673DD">
        <w:t>o</w:t>
      </w:r>
      <w:r w:rsidR="003673DD">
        <w:t>minada Jalones</w:t>
      </w:r>
      <w:r w:rsidR="00A60159" w:rsidRPr="00742A04">
        <w:t xml:space="preserve"> (</w:t>
      </w:r>
      <w:r w:rsidR="00A60159" w:rsidRPr="00742A04">
        <w:rPr>
          <w:i/>
        </w:rPr>
        <w:t>Milestones</w:t>
      </w:r>
      <w:r w:rsidR="00A60159" w:rsidRPr="00742A04">
        <w:t>) celebrada en Oslo en 2005</w:t>
      </w:r>
      <w:r w:rsidR="00214075">
        <w:t xml:space="preserve"> </w:t>
      </w:r>
      <w:r w:rsidR="00A60159" w:rsidRPr="00742A04">
        <w:t>para monitorear el segu</w:t>
      </w:r>
      <w:r w:rsidR="00A60159" w:rsidRPr="00742A04">
        <w:t>i</w:t>
      </w:r>
      <w:r w:rsidR="00A60159" w:rsidRPr="00742A04">
        <w:t>miento de la Plataforma de Acción de Beijing</w:t>
      </w:r>
      <w:r w:rsidR="00545D1B" w:rsidRPr="00742A04">
        <w:t xml:space="preserve">, </w:t>
      </w:r>
      <w:r w:rsidR="00A60159" w:rsidRPr="00742A04">
        <w:t>que</w:t>
      </w:r>
      <w:r w:rsidR="00545D1B" w:rsidRPr="00742A04">
        <w:t xml:space="preserve"> </w:t>
      </w:r>
      <w:r w:rsidR="007E0DFE" w:rsidRPr="00742A04">
        <w:rPr>
          <w:i/>
        </w:rPr>
        <w:t>las actitudes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A60159" w:rsidRPr="00742A04">
        <w:rPr>
          <w:i/>
        </w:rPr>
        <w:t xml:space="preserve"> el</w:t>
      </w:r>
      <w:r w:rsidR="00545D1B" w:rsidRPr="00742A04">
        <w:rPr>
          <w:i/>
        </w:rPr>
        <w:t xml:space="preserve"> </w:t>
      </w:r>
      <w:r w:rsidR="00935A90" w:rsidRPr="00742A04">
        <w:rPr>
          <w:i/>
        </w:rPr>
        <w:t>comportamie</w:t>
      </w:r>
      <w:r w:rsidR="00935A90" w:rsidRPr="00742A04">
        <w:rPr>
          <w:i/>
        </w:rPr>
        <w:t>n</w:t>
      </w:r>
      <w:r w:rsidR="00935A90" w:rsidRPr="00742A04">
        <w:rPr>
          <w:i/>
        </w:rPr>
        <w:t>to</w:t>
      </w:r>
      <w:r w:rsidR="00545D1B" w:rsidRPr="00742A04">
        <w:rPr>
          <w:i/>
        </w:rPr>
        <w:t xml:space="preserve"> </w:t>
      </w:r>
      <w:r w:rsidR="00C076F2" w:rsidRPr="00742A04">
        <w:rPr>
          <w:i/>
        </w:rPr>
        <w:t xml:space="preserve">de los </w:t>
      </w:r>
      <w:r w:rsidR="00A60159" w:rsidRPr="00742A04">
        <w:rPr>
          <w:i/>
        </w:rPr>
        <w:t>ho</w:t>
      </w:r>
      <w:r w:rsidR="00A60159" w:rsidRPr="00742A04">
        <w:rPr>
          <w:i/>
        </w:rPr>
        <w:t>m</w:t>
      </w:r>
      <w:r w:rsidR="00A60159" w:rsidRPr="00742A04">
        <w:rPr>
          <w:i/>
        </w:rPr>
        <w:t xml:space="preserve">bres </w:t>
      </w:r>
      <w:r w:rsidR="006137EC" w:rsidRPr="00742A04">
        <w:rPr>
          <w:i/>
        </w:rPr>
        <w:t>son</w:t>
      </w:r>
      <w:r w:rsidR="00545D1B" w:rsidRPr="00742A04">
        <w:rPr>
          <w:i/>
        </w:rPr>
        <w:t xml:space="preserve"> </w:t>
      </w:r>
      <w:r w:rsidR="00A60159" w:rsidRPr="00742A04">
        <w:rPr>
          <w:i/>
        </w:rPr>
        <w:t xml:space="preserve">el más fundamental </w:t>
      </w:r>
      <w:r w:rsidR="00C076F2" w:rsidRPr="00742A04">
        <w:rPr>
          <w:i/>
        </w:rPr>
        <w:t xml:space="preserve">de los </w:t>
      </w:r>
      <w:r w:rsidR="00A60159" w:rsidRPr="00742A04">
        <w:rPr>
          <w:i/>
        </w:rPr>
        <w:t>obstáculos</w:t>
      </w:r>
      <w:r w:rsidR="001E30D6" w:rsidRPr="00742A04">
        <w:rPr>
          <w:i/>
        </w:rPr>
        <w:t xml:space="preserve"> </w:t>
      </w:r>
      <w:r w:rsidR="003D4FD1">
        <w:rPr>
          <w:i/>
        </w:rPr>
        <w:t>par</w:t>
      </w:r>
      <w:r w:rsidR="00A80F26">
        <w:rPr>
          <w:i/>
        </w:rPr>
        <w:t>a la</w:t>
      </w:r>
      <w:r w:rsidR="001E30D6" w:rsidRPr="00742A04">
        <w:rPr>
          <w:i/>
        </w:rPr>
        <w:t xml:space="preserve"> </w:t>
      </w:r>
      <w:r w:rsidR="00545D1B" w:rsidRPr="00742A04">
        <w:rPr>
          <w:i/>
        </w:rPr>
        <w:t>libera</w:t>
      </w:r>
      <w:r w:rsidR="00C14BFF" w:rsidRPr="00742A04">
        <w:rPr>
          <w:i/>
        </w:rPr>
        <w:t xml:space="preserve">ción </w:t>
      </w:r>
      <w:r w:rsidR="007C3856" w:rsidRPr="00742A04">
        <w:rPr>
          <w:i/>
        </w:rPr>
        <w:t>de la mujer</w:t>
      </w:r>
      <w:r w:rsidR="00024DBC" w:rsidRPr="00742A04">
        <w:rPr>
          <w:i/>
        </w:rPr>
        <w:t xml:space="preserve"> y la igualdad de género</w:t>
      </w:r>
      <w:r w:rsidR="00545D1B" w:rsidRPr="00742A04">
        <w:rPr>
          <w:i/>
        </w:rPr>
        <w:t>.</w:t>
      </w:r>
      <w:r w:rsidR="00545D1B" w:rsidRPr="00742A04">
        <w:t xml:space="preserve"> </w:t>
      </w:r>
      <w:r w:rsidR="00A60159" w:rsidRPr="00742A04">
        <w:t>Asimismo señaló cuatro</w:t>
      </w:r>
      <w:r w:rsidR="00545D1B" w:rsidRPr="00742A04">
        <w:t xml:space="preserve"> </w:t>
      </w:r>
      <w:r w:rsidR="00A60159" w:rsidRPr="00742A04">
        <w:t>normas básicas de la</w:t>
      </w:r>
      <w:r w:rsidR="00545D1B" w:rsidRPr="00742A04">
        <w:t xml:space="preserve"> masc</w:t>
      </w:r>
      <w:r w:rsidR="00545D1B" w:rsidRPr="00742A04">
        <w:t>u</w:t>
      </w:r>
      <w:r w:rsidR="00545D1B" w:rsidRPr="00742A04">
        <w:t>lin</w:t>
      </w:r>
      <w:r w:rsidR="00502E16" w:rsidRPr="00742A04">
        <w:t>idad</w:t>
      </w:r>
      <w:r w:rsidR="00545D1B" w:rsidRPr="00742A04">
        <w:t xml:space="preserve">, </w:t>
      </w:r>
      <w:r w:rsidR="00A60159" w:rsidRPr="00742A04">
        <w:t>traduc</w:t>
      </w:r>
      <w:r w:rsidR="00A60159" w:rsidRPr="00742A04">
        <w:t>i</w:t>
      </w:r>
      <w:r w:rsidR="00A60159" w:rsidRPr="00742A04">
        <w:t>das libremente en la forma siguiente</w:t>
      </w:r>
      <w:r w:rsidR="00545D1B" w:rsidRPr="00742A04">
        <w:t>:</w:t>
      </w:r>
    </w:p>
    <w:p w:rsidR="00545D1B" w:rsidRPr="00742A04" w:rsidRDefault="00545D1B" w:rsidP="00024062">
      <w:pPr>
        <w:pStyle w:val="SingleTxt"/>
        <w:numPr>
          <w:ilvl w:val="0"/>
          <w:numId w:val="47"/>
        </w:numPr>
        <w:tabs>
          <w:tab w:val="clear" w:pos="1742"/>
          <w:tab w:val="left" w:pos="990"/>
        </w:tabs>
      </w:pPr>
      <w:r w:rsidRPr="00742A04">
        <w:t>polar</w:t>
      </w:r>
      <w:r w:rsidR="00024DBC" w:rsidRPr="00742A04">
        <w:t>ización</w:t>
      </w:r>
      <w:r w:rsidR="00C14BFF" w:rsidRPr="00742A04">
        <w:t xml:space="preserve"> </w:t>
      </w:r>
      <w:r w:rsidR="00877AA0" w:rsidRPr="00742A04">
        <w:t>y</w:t>
      </w:r>
      <w:r w:rsidR="00A60159" w:rsidRPr="00742A04">
        <w:t xml:space="preserve"> di</w:t>
      </w:r>
      <w:r w:rsidR="000A5430" w:rsidRPr="00742A04">
        <w:t>so</w:t>
      </w:r>
      <w:r w:rsidRPr="00742A04">
        <w:t>cia</w:t>
      </w:r>
      <w:r w:rsidR="00C14BFF" w:rsidRPr="00742A04">
        <w:t xml:space="preserve">ción </w:t>
      </w:r>
      <w:r w:rsidR="008F0C8E" w:rsidRPr="00742A04">
        <w:t>de</w:t>
      </w:r>
      <w:r w:rsidRPr="00742A04">
        <w:t xml:space="preserve"> </w:t>
      </w:r>
      <w:r w:rsidR="00A60159" w:rsidRPr="00742A04">
        <w:t>la mujer</w:t>
      </w:r>
      <w:r w:rsidRPr="00742A04">
        <w:t xml:space="preserve"> </w:t>
      </w:r>
      <w:r w:rsidR="00877AA0" w:rsidRPr="00742A04">
        <w:t>y</w:t>
      </w:r>
      <w:r w:rsidRPr="00742A04">
        <w:t xml:space="preserve"> </w:t>
      </w:r>
      <w:r w:rsidR="00A60159" w:rsidRPr="00742A04">
        <w:t xml:space="preserve">la </w:t>
      </w:r>
      <w:r w:rsidRPr="00742A04">
        <w:t>femin</w:t>
      </w:r>
      <w:r w:rsidR="00A60159" w:rsidRPr="00742A04">
        <w:t>e</w:t>
      </w:r>
      <w:r w:rsidR="00502E16" w:rsidRPr="00742A04">
        <w:t>idad</w:t>
      </w:r>
    </w:p>
    <w:p w:rsidR="00545D1B" w:rsidRPr="00742A04" w:rsidRDefault="00A60159" w:rsidP="00024062">
      <w:pPr>
        <w:pStyle w:val="SingleTxt"/>
        <w:numPr>
          <w:ilvl w:val="0"/>
          <w:numId w:val="47"/>
        </w:numPr>
        <w:tabs>
          <w:tab w:val="clear" w:pos="1742"/>
          <w:tab w:val="left" w:pos="990"/>
        </w:tabs>
      </w:pPr>
      <w:r w:rsidRPr="00742A04">
        <w:t>la riqueza</w:t>
      </w:r>
      <w:r w:rsidR="00545D1B" w:rsidRPr="00742A04">
        <w:t xml:space="preserve">, </w:t>
      </w:r>
      <w:r w:rsidRPr="00742A04">
        <w:t xml:space="preserve">el </w:t>
      </w:r>
      <w:r w:rsidR="000220D6" w:rsidRPr="00742A04">
        <w:t>poder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 xml:space="preserve">status </w:t>
      </w:r>
      <w:r w:rsidR="006137EC" w:rsidRPr="00742A04">
        <w:t>son</w:t>
      </w:r>
      <w:r w:rsidR="00545D1B" w:rsidRPr="00742A04">
        <w:t xml:space="preserve"> </w:t>
      </w:r>
      <w:r w:rsidRPr="00742A04">
        <w:t xml:space="preserve">las </w:t>
      </w:r>
      <w:r w:rsidR="00DC0DB8" w:rsidRPr="00742A04">
        <w:t>medidas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masculin</w:t>
      </w:r>
      <w:r w:rsidR="00502E16" w:rsidRPr="00742A04">
        <w:t>idad</w:t>
      </w:r>
    </w:p>
    <w:p w:rsidR="005B2FE4" w:rsidRPr="00742A04" w:rsidRDefault="00544B38" w:rsidP="00024062">
      <w:pPr>
        <w:pStyle w:val="SingleTxt"/>
        <w:numPr>
          <w:ilvl w:val="0"/>
          <w:numId w:val="47"/>
        </w:numPr>
        <w:tabs>
          <w:tab w:val="clear" w:pos="1742"/>
          <w:tab w:val="left" w:pos="990"/>
        </w:tabs>
      </w:pPr>
      <w:r w:rsidRPr="00742A04">
        <w:t>por “seguro y conf</w:t>
      </w:r>
      <w:r w:rsidR="00545D1B" w:rsidRPr="00742A04">
        <w:t>iable</w:t>
      </w:r>
      <w:r w:rsidRPr="00742A04">
        <w:t>” se entiende “inflexible e inquebranta</w:t>
      </w:r>
      <w:r w:rsidR="00545D1B" w:rsidRPr="00742A04">
        <w:t>ble</w:t>
      </w:r>
      <w:r w:rsidRPr="00742A04">
        <w:t>”</w:t>
      </w:r>
    </w:p>
    <w:p w:rsidR="00545D1B" w:rsidRPr="00742A04" w:rsidRDefault="00544B38" w:rsidP="00024062">
      <w:pPr>
        <w:pStyle w:val="SingleTxt"/>
        <w:numPr>
          <w:ilvl w:val="0"/>
          <w:numId w:val="47"/>
        </w:numPr>
        <w:tabs>
          <w:tab w:val="clear" w:pos="1742"/>
          <w:tab w:val="left" w:pos="990"/>
        </w:tabs>
      </w:pPr>
      <w:r w:rsidRPr="00742A04">
        <w:t>la temeridad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935A90" w:rsidRPr="00742A04">
        <w:t>comportamiento</w:t>
      </w:r>
      <w:r w:rsidRPr="00742A04">
        <w:t xml:space="preserve"> de riesgo son</w:t>
      </w:r>
      <w:r w:rsidR="00545D1B" w:rsidRPr="00742A04">
        <w:t xml:space="preserve"> </w:t>
      </w:r>
      <w:r w:rsidRPr="00742A04">
        <w:t>señale</w:t>
      </w:r>
      <w:r w:rsidR="00545D1B" w:rsidRPr="00742A04">
        <w:t xml:space="preserve">s </w:t>
      </w:r>
      <w:r w:rsidR="004A0730" w:rsidRPr="00742A04">
        <w:t>de</w:t>
      </w:r>
      <w:r w:rsidR="00545D1B" w:rsidRPr="00742A04">
        <w:t xml:space="preserve"> masculin</w:t>
      </w:r>
      <w:r w:rsidR="00502E16" w:rsidRPr="00742A04">
        <w:t>i</w:t>
      </w:r>
      <w:r w:rsidR="00502E16" w:rsidRPr="00742A04">
        <w:t>dad</w:t>
      </w:r>
      <w:r w:rsidR="00545D1B" w:rsidRPr="00742A04">
        <w:t xml:space="preserve"> </w:t>
      </w:r>
    </w:p>
    <w:p w:rsidR="00545D1B" w:rsidRPr="00742A04" w:rsidRDefault="00544B38" w:rsidP="000B48A7">
      <w:pPr>
        <w:pStyle w:val="SingleTxt"/>
        <w:ind w:firstLine="475"/>
      </w:pPr>
      <w:r w:rsidRPr="00742A04">
        <w:t>El último</w:t>
      </w:r>
      <w:r w:rsidR="00545D1B" w:rsidRPr="00742A04">
        <w:t xml:space="preserve"> </w:t>
      </w:r>
      <w:r w:rsidR="00C923A8" w:rsidRPr="00742A04">
        <w:t>punto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Pr="00742A04">
        <w:t>para comprender</w:t>
      </w:r>
      <w:r w:rsidR="00545D1B" w:rsidRPr="00742A04">
        <w:t xml:space="preserve"> </w:t>
      </w:r>
      <w:r w:rsidR="00550986" w:rsidRPr="00742A04">
        <w:t xml:space="preserve">la violencia </w:t>
      </w:r>
      <w:r w:rsidR="00C076F2" w:rsidRPr="00742A04">
        <w:t xml:space="preserve">de los </w:t>
      </w:r>
      <w:r w:rsidRPr="00742A04">
        <w:t xml:space="preserve">hombres </w:t>
      </w:r>
      <w:r w:rsidR="00550986" w:rsidRPr="00742A04">
        <w:t>contra la</w:t>
      </w:r>
      <w:r w:rsidRPr="00742A04">
        <w:t>s</w:t>
      </w:r>
      <w:r w:rsidR="00550986" w:rsidRPr="00742A04">
        <w:t xml:space="preserve"> mujer</w:t>
      </w:r>
      <w:r w:rsidRPr="00742A04">
        <w:t>es</w:t>
      </w:r>
      <w:r w:rsidR="00545D1B" w:rsidRPr="00742A04">
        <w:t xml:space="preserve">. </w:t>
      </w:r>
      <w:r w:rsidRPr="00742A04">
        <w:t>Las investigaciones</w:t>
      </w:r>
      <w:r w:rsidR="00545D1B" w:rsidRPr="00742A04">
        <w:t xml:space="preserve"> </w:t>
      </w:r>
      <w:r w:rsidRPr="00742A04">
        <w:t>sobre</w:t>
      </w:r>
      <w:r w:rsidR="00545D1B" w:rsidRPr="00742A04">
        <w:t xml:space="preserve"> </w:t>
      </w:r>
      <w:r w:rsidRPr="00742A04">
        <w:t>la violación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 abuso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EF5B12" w:rsidRPr="00742A04">
        <w:t>indican</w:t>
      </w:r>
      <w:r w:rsidR="003E5775" w:rsidRPr="00742A04">
        <w:t xml:space="preserve"> que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Pr="00742A04">
        <w:t>recurren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Pr="00742A04">
        <w:t>sienten que</w:t>
      </w:r>
      <w:r w:rsidR="00545D1B" w:rsidRPr="00742A04">
        <w:t xml:space="preserve"> </w:t>
      </w:r>
      <w:r w:rsidRPr="00742A04">
        <w:t>están perdiendo</w:t>
      </w:r>
      <w:r w:rsidR="00545D1B" w:rsidRPr="00742A04">
        <w:t xml:space="preserve"> </w:t>
      </w:r>
      <w:r w:rsidRPr="00742A04">
        <w:t>el poder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estima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que</w:t>
      </w:r>
      <w:r w:rsidR="00545D1B" w:rsidRPr="00742A04">
        <w:t xml:space="preserve"> consider</w:t>
      </w:r>
      <w:r w:rsidRPr="00742A04">
        <w:t>an tener derecho como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Kimmel </w:t>
      </w:r>
      <w:r w:rsidRPr="00742A04">
        <w:t>señala que</w:t>
      </w:r>
      <w:r w:rsidR="00545D1B" w:rsidRPr="00742A04">
        <w:t xml:space="preserve"> </w:t>
      </w:r>
      <w:r w:rsidRPr="00742A04">
        <w:t>esos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Pr="00742A04">
        <w:t>parecen creer que</w:t>
      </w:r>
      <w:r w:rsidR="00545D1B" w:rsidRPr="00742A04">
        <w:t xml:space="preserve"> </w:t>
      </w:r>
      <w:r w:rsidRPr="00742A04">
        <w:t>tienen derecho</w:t>
      </w:r>
      <w:r w:rsidR="00E575DB" w:rsidRPr="00742A04">
        <w:t xml:space="preserve"> al </w:t>
      </w:r>
      <w:r w:rsidRPr="00742A04">
        <w:t>cuerpo de una mujer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s</w:t>
      </w:r>
      <w:r w:rsidR="00545D1B" w:rsidRPr="00742A04">
        <w:t>a</w:t>
      </w:r>
      <w:r w:rsidR="00545D1B" w:rsidRPr="00742A04">
        <w:t>tisfac</w:t>
      </w:r>
      <w:r w:rsidR="00935A90" w:rsidRPr="00742A04">
        <w:t>ción</w:t>
      </w:r>
      <w:r w:rsidRPr="00742A04">
        <w:t xml:space="preserve"> sexual</w:t>
      </w:r>
      <w:r w:rsidR="00935A90" w:rsidRPr="00742A04">
        <w:t>,</w:t>
      </w:r>
      <w:r w:rsidR="00545D1B" w:rsidRPr="00742A04">
        <w:t xml:space="preserve"> </w:t>
      </w:r>
      <w:r w:rsidRPr="00742A04">
        <w:t xml:space="preserve">tanto </w:t>
      </w:r>
      <w:r w:rsidR="0056679F" w:rsidRPr="00742A04">
        <w:t>si</w:t>
      </w:r>
      <w:r w:rsidR="00545D1B" w:rsidRPr="00742A04">
        <w:t xml:space="preserve"> </w:t>
      </w:r>
      <w:r w:rsidR="002213CF" w:rsidRPr="00742A04">
        <w:t>el acceso</w:t>
      </w:r>
      <w:r w:rsidR="00545D1B" w:rsidRPr="00742A04">
        <w:t xml:space="preserve"> </w:t>
      </w:r>
      <w:r w:rsidRPr="00742A04">
        <w:t>se da</w:t>
      </w:r>
      <w:r w:rsidR="00545D1B" w:rsidRPr="00742A04">
        <w:t xml:space="preserve"> </w:t>
      </w:r>
      <w:r w:rsidRPr="00742A04">
        <w:t>voluntariamente</w:t>
      </w:r>
      <w:r w:rsidR="00545D1B" w:rsidRPr="00742A04">
        <w:t xml:space="preserve">, </w:t>
      </w:r>
      <w:r w:rsidR="00214075">
        <w:t>a</w:t>
      </w:r>
      <w:r w:rsidR="004A3F50" w:rsidRPr="00742A04">
        <w:t xml:space="preserve"> cambio</w:t>
      </w:r>
      <w:r w:rsidRPr="00742A04">
        <w:t xml:space="preserve"> de un pago, como si</w:t>
      </w:r>
      <w:r w:rsidR="007D4688" w:rsidRPr="00742A04">
        <w:t xml:space="preserve"> </w:t>
      </w:r>
      <w:r w:rsidRPr="00742A04">
        <w:t>se</w:t>
      </w:r>
      <w:r w:rsidR="007D4688" w:rsidRPr="00742A04">
        <w:t xml:space="preserve"> o</w:t>
      </w:r>
      <w:r w:rsidR="00545D1B" w:rsidRPr="00742A04">
        <w:t>bt</w:t>
      </w:r>
      <w:r w:rsidRPr="00742A04">
        <w:t>iene</w:t>
      </w:r>
      <w:r w:rsidR="00545D1B" w:rsidRPr="00742A04">
        <w:t xml:space="preserve"> </w:t>
      </w:r>
      <w:r w:rsidRPr="00742A04">
        <w:t>por la fuerza</w:t>
      </w:r>
      <w:r w:rsidR="00545D1B" w:rsidRPr="00742A04">
        <w:t>.</w:t>
      </w:r>
    </w:p>
    <w:p w:rsidR="00545D1B" w:rsidRPr="00742A04" w:rsidRDefault="00EF5B12" w:rsidP="000B48A7">
      <w:pPr>
        <w:pStyle w:val="SingleTxt"/>
        <w:ind w:firstLine="475"/>
      </w:pPr>
      <w:r w:rsidRPr="00742A04">
        <w:t>Es particularmente importante consider</w:t>
      </w:r>
      <w:r>
        <w:t>ar</w:t>
      </w:r>
      <w:r w:rsidRPr="00742A04">
        <w:t xml:space="preserve"> determinados aspectos de algunos comportamientos y actitudes de los hombres en los esfuerzos de lucha contra la vi</w:t>
      </w:r>
      <w:r w:rsidRPr="00742A04">
        <w:t>o</w:t>
      </w:r>
      <w:r w:rsidRPr="00742A04">
        <w:t xml:space="preserve">lencia doméstica, la violación y otros abusos sexuales, y la trata de seres humanos a través de las fronteras nacionales para fines de explotación sexual. </w:t>
      </w:r>
      <w:r w:rsidR="009451E4" w:rsidRPr="00742A04">
        <w:t>Se brinda más</w:t>
      </w:r>
      <w:r w:rsidR="00545D1B" w:rsidRPr="00742A04">
        <w:t xml:space="preserve"> i</w:t>
      </w:r>
      <w:r w:rsidR="00545D1B" w:rsidRPr="00742A04">
        <w:t>n</w:t>
      </w:r>
      <w:r w:rsidR="00545D1B" w:rsidRPr="00742A04">
        <w:t>forma</w:t>
      </w:r>
      <w:r w:rsidR="00C14BFF" w:rsidRPr="00742A04">
        <w:t xml:space="preserve">ción </w:t>
      </w:r>
      <w:r w:rsidR="009451E4" w:rsidRPr="00742A04">
        <w:t>sobre</w:t>
      </w:r>
      <w:r w:rsidR="00545D1B" w:rsidRPr="00742A04">
        <w:t xml:space="preserve"> </w:t>
      </w:r>
      <w:r w:rsidR="009451E4" w:rsidRPr="00742A04">
        <w:t>las medidas pertinentes</w:t>
      </w:r>
      <w:r w:rsidR="00545D1B" w:rsidRPr="00742A04">
        <w:t xml:space="preserve"> </w:t>
      </w:r>
      <w:r w:rsidR="00552048" w:rsidRPr="00742A04">
        <w:t>en relación con el artículo</w:t>
      </w:r>
      <w:r w:rsidR="00545D1B" w:rsidRPr="00742A04">
        <w:t xml:space="preserve"> 6.</w:t>
      </w:r>
    </w:p>
    <w:p w:rsidR="00545D1B" w:rsidRPr="00742A04" w:rsidRDefault="00545D1B" w:rsidP="000B48A7">
      <w:pPr>
        <w:pStyle w:val="SingleTxt"/>
        <w:ind w:firstLine="475"/>
      </w:pPr>
      <w:r w:rsidRPr="00742A04">
        <w:t xml:space="preserve">Kimmel </w:t>
      </w:r>
      <w:r w:rsidR="0030626A" w:rsidRPr="00742A04">
        <w:t>también</w:t>
      </w:r>
      <w:r w:rsidRPr="00742A04">
        <w:t xml:space="preserve"> </w:t>
      </w:r>
      <w:r w:rsidR="009451E4" w:rsidRPr="00742A04">
        <w:t>se refiere</w:t>
      </w:r>
      <w:r w:rsidRPr="00742A04">
        <w:t xml:space="preserve"> </w:t>
      </w:r>
      <w:r w:rsidR="0030626A" w:rsidRPr="00742A04">
        <w:t>a</w:t>
      </w:r>
      <w:r w:rsidRPr="00742A04">
        <w:t xml:space="preserve"> </w:t>
      </w:r>
      <w:r w:rsidR="009451E4" w:rsidRPr="00742A04">
        <w:t>los estudios antropológicos</w:t>
      </w:r>
      <w:r w:rsidRPr="00742A04">
        <w:t xml:space="preserve"> </w:t>
      </w:r>
      <w:r w:rsidR="009451E4" w:rsidRPr="00742A04">
        <w:t xml:space="preserve">comparativos </w:t>
      </w:r>
      <w:r w:rsidR="004A0730" w:rsidRPr="00742A04">
        <w:t>de</w:t>
      </w:r>
      <w:r w:rsidRPr="00742A04">
        <w:t xml:space="preserve"> </w:t>
      </w:r>
      <w:r w:rsidR="009451E4" w:rsidRPr="00742A04">
        <w:t xml:space="preserve">las </w:t>
      </w:r>
      <w:r w:rsidR="006E10CA">
        <w:t>sociedad</w:t>
      </w:r>
      <w:r w:rsidR="00EF5B12" w:rsidRPr="00742A04">
        <w:t>es</w:t>
      </w:r>
      <w:r w:rsidR="006E10CA">
        <w:t xml:space="preserve"> sobre la</w:t>
      </w:r>
      <w:r w:rsidR="00502088" w:rsidRPr="00742A04">
        <w:t xml:space="preserve"> bas</w:t>
      </w:r>
      <w:r w:rsidR="006E10CA">
        <w:t>e de</w:t>
      </w:r>
      <w:r w:rsidR="00EF5B12" w:rsidRPr="00742A04">
        <w:t>l</w:t>
      </w:r>
      <w:r w:rsidR="00C07ED9" w:rsidRPr="00742A04">
        <w:t xml:space="preserve"> grado</w:t>
      </w:r>
      <w:r w:rsidRPr="00742A04">
        <w:t xml:space="preserve"> </w:t>
      </w:r>
      <w:r w:rsidR="004A0730" w:rsidRPr="00742A04">
        <w:t>de</w:t>
      </w:r>
      <w:r w:rsidRPr="00742A04">
        <w:t xml:space="preserve"> preval</w:t>
      </w:r>
      <w:r w:rsidR="00FF575F" w:rsidRPr="00742A04">
        <w:t xml:space="preserve">encia </w:t>
      </w:r>
      <w:r w:rsidR="004A0730" w:rsidRPr="00742A04">
        <w:t>de</w:t>
      </w:r>
      <w:r w:rsidRPr="00742A04">
        <w:t xml:space="preserve"> </w:t>
      </w:r>
      <w:r w:rsidR="00544B38" w:rsidRPr="00742A04">
        <w:t>la violación</w:t>
      </w:r>
      <w:r w:rsidRPr="00742A04">
        <w:t xml:space="preserve">. </w:t>
      </w:r>
      <w:r w:rsidR="009451E4" w:rsidRPr="00742A04">
        <w:t>Los principales indicadores de</w:t>
      </w:r>
      <w:r w:rsidRPr="00742A04">
        <w:t xml:space="preserve"> </w:t>
      </w:r>
      <w:r w:rsidR="009451E4" w:rsidRPr="00742A04">
        <w:t xml:space="preserve">una baja frecuencia de </w:t>
      </w:r>
      <w:r w:rsidR="00544B38" w:rsidRPr="00742A04">
        <w:t>violación</w:t>
      </w:r>
      <w:r w:rsidR="009451E4" w:rsidRPr="00742A04">
        <w:t xml:space="preserve"> parecen ser los siguientes</w:t>
      </w:r>
      <w:r w:rsidRPr="00742A04">
        <w:t>:</w:t>
      </w:r>
    </w:p>
    <w:p w:rsidR="00545D1B" w:rsidRPr="00742A04" w:rsidRDefault="001C6742" w:rsidP="00725B03">
      <w:pPr>
        <w:pStyle w:val="SingleTxt"/>
        <w:numPr>
          <w:ilvl w:val="0"/>
          <w:numId w:val="48"/>
        </w:numPr>
        <w:tabs>
          <w:tab w:val="clear" w:pos="1742"/>
          <w:tab w:val="left" w:pos="2160"/>
        </w:tabs>
      </w:pPr>
      <w:r w:rsidRPr="00742A04">
        <w:t xml:space="preserve">el derecho </w:t>
      </w:r>
      <w:r w:rsidR="004A0730" w:rsidRPr="00742A04">
        <w:t>de</w:t>
      </w:r>
      <w:r w:rsidR="00545D1B" w:rsidRPr="00742A04">
        <w:t xml:space="preserve"> </w:t>
      </w:r>
      <w:r w:rsidR="009451E4" w:rsidRPr="00742A04">
        <w:t>las mujeres casadas</w:t>
      </w:r>
      <w:r w:rsidR="00545D1B" w:rsidRPr="00742A04">
        <w:t xml:space="preserve"> </w:t>
      </w:r>
      <w:r w:rsidR="009451E4" w:rsidRPr="00742A04">
        <w:t>a ser propietarias de bienes</w:t>
      </w:r>
      <w:r w:rsidR="00545D1B" w:rsidRPr="00742A04">
        <w:t xml:space="preserve"> </w:t>
      </w:r>
      <w:r w:rsidR="009451E4" w:rsidRPr="00742A04">
        <w:t>a su propio nombre</w:t>
      </w:r>
      <w:r w:rsidR="00545D1B" w:rsidRPr="00742A04">
        <w:t xml:space="preserve">, </w:t>
      </w:r>
      <w:r w:rsidR="009451E4" w:rsidRPr="00742A04">
        <w:t>como medida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451E4" w:rsidRPr="00742A04">
        <w:t>la independencia financiera</w:t>
      </w:r>
      <w:r w:rsidR="00FF575F" w:rsidRPr="00742A04">
        <w:t xml:space="preserve"> </w:t>
      </w:r>
      <w:r w:rsidR="004D313C" w:rsidRPr="00742A04">
        <w:t>de las mujeres</w:t>
      </w:r>
    </w:p>
    <w:p w:rsidR="00545D1B" w:rsidRPr="00742A04" w:rsidRDefault="009451E4" w:rsidP="00725B03">
      <w:pPr>
        <w:pStyle w:val="SingleTxt"/>
        <w:numPr>
          <w:ilvl w:val="0"/>
          <w:numId w:val="48"/>
        </w:numPr>
        <w:tabs>
          <w:tab w:val="clear" w:pos="1742"/>
          <w:tab w:val="left" w:pos="2160"/>
        </w:tabs>
      </w:pPr>
      <w:r w:rsidRPr="00742A04">
        <w:t xml:space="preserve">la </w:t>
      </w:r>
      <w:r w:rsidR="00545D1B" w:rsidRPr="00742A04">
        <w:t>participa</w:t>
      </w:r>
      <w:r w:rsidR="00C14BFF" w:rsidRPr="00742A04">
        <w:t xml:space="preserve">ción </w:t>
      </w:r>
      <w:r w:rsidR="00C076F2" w:rsidRPr="00742A04">
        <w:t xml:space="preserve">de los </w:t>
      </w:r>
      <w:r w:rsidRPr="00742A04">
        <w:t xml:space="preserve">padres </w:t>
      </w:r>
      <w:r w:rsidR="00C14BFF" w:rsidRPr="00742A04">
        <w:t>en</w:t>
      </w:r>
      <w:r w:rsidR="00545D1B" w:rsidRPr="00742A04">
        <w:t xml:space="preserve"> </w:t>
      </w:r>
      <w:r w:rsidRPr="00742A04">
        <w:t>el cuidado de sus propios hij</w:t>
      </w:r>
      <w:r w:rsidR="002F3238" w:rsidRPr="00742A04">
        <w:t>os</w:t>
      </w:r>
      <w:r w:rsidR="00545D1B" w:rsidRPr="00742A04">
        <w:t xml:space="preserve">, </w:t>
      </w:r>
      <w:r w:rsidRPr="00742A04">
        <w:t>como m</w:t>
      </w:r>
      <w:r w:rsidRPr="00742A04">
        <w:t>e</w:t>
      </w:r>
      <w:r w:rsidRPr="00742A04">
        <w:t>dida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Pr="00742A04">
        <w:t>valor</w:t>
      </w:r>
      <w:r w:rsidR="00545D1B" w:rsidRPr="00742A04">
        <w:t xml:space="preserve"> </w:t>
      </w:r>
      <w:r w:rsidRPr="00742A04">
        <w:t>que</w:t>
      </w:r>
      <w:r w:rsidR="00545D1B" w:rsidRPr="00742A04">
        <w:t xml:space="preserve"> </w:t>
      </w:r>
      <w:r w:rsidR="000A5430" w:rsidRPr="00742A04">
        <w:t>la sociedad</w:t>
      </w:r>
      <w:r w:rsidR="00545D1B" w:rsidRPr="00742A04">
        <w:t xml:space="preserve"> </w:t>
      </w:r>
      <w:r w:rsidRPr="00742A04">
        <w:t>asigna al</w:t>
      </w:r>
      <w:r w:rsidR="00545D1B" w:rsidRPr="00742A04">
        <w:t xml:space="preserve"> </w:t>
      </w:r>
      <w:r w:rsidR="006B65CD" w:rsidRPr="00742A04">
        <w:t>rol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padres y madres</w:t>
      </w:r>
      <w:r w:rsidR="00545D1B" w:rsidRPr="00742A04">
        <w:t>/</w:t>
      </w:r>
      <w:r w:rsidRPr="00742A04">
        <w:t>cuidadores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al trabajo </w:t>
      </w:r>
      <w:r w:rsidR="004D313C" w:rsidRPr="00742A04">
        <w:t>de las muj</w:t>
      </w:r>
      <w:r w:rsidR="004D313C" w:rsidRPr="00742A04">
        <w:t>e</w:t>
      </w:r>
      <w:r w:rsidR="004D313C" w:rsidRPr="00742A04">
        <w:t>res</w:t>
      </w:r>
      <w:r w:rsidR="00545D1B" w:rsidRPr="00742A04">
        <w:t>.</w:t>
      </w:r>
    </w:p>
    <w:p w:rsidR="00545D1B" w:rsidRPr="00742A04" w:rsidRDefault="009451E4" w:rsidP="00021DB5">
      <w:pPr>
        <w:pStyle w:val="SingleTxt"/>
        <w:ind w:firstLine="475"/>
      </w:pPr>
      <w:r w:rsidRPr="00742A04">
        <w:t>Para producir</w:t>
      </w:r>
      <w:r w:rsidR="00545D1B" w:rsidRPr="00742A04">
        <w:t xml:space="preserve"> </w:t>
      </w:r>
      <w:r w:rsidR="005B2FE4" w:rsidRPr="00742A04">
        <w:t>cambio</w:t>
      </w:r>
      <w:r w:rsidRPr="00742A04">
        <w:t>s</w:t>
      </w:r>
      <w:r w:rsidR="00545D1B" w:rsidRPr="00742A04">
        <w:t xml:space="preserve"> </w:t>
      </w:r>
      <w:r w:rsidR="007E0DFE" w:rsidRPr="00742A04">
        <w:t>en</w:t>
      </w:r>
      <w:r w:rsidRPr="00742A04">
        <w:t xml:space="preserve">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="00BD47D3" w:rsidRPr="00742A04">
        <w:t>el punto de partida</w:t>
      </w:r>
      <w:r w:rsidR="00545D1B" w:rsidRPr="00742A04">
        <w:t xml:space="preserve"> </w:t>
      </w:r>
      <w:r w:rsidR="007D4688" w:rsidRPr="00742A04">
        <w:t>debe</w:t>
      </w:r>
      <w:r w:rsidR="00545D1B" w:rsidRPr="00742A04">
        <w:t xml:space="preserve"> </w:t>
      </w:r>
      <w:r w:rsidRPr="00742A04">
        <w:t>estar</w:t>
      </w:r>
      <w:r w:rsidR="00545D1B" w:rsidRPr="00742A04">
        <w:t xml:space="preserve"> </w:t>
      </w:r>
      <w:r w:rsidRPr="00742A04">
        <w:t xml:space="preserve">en los </w:t>
      </w:r>
      <w:r w:rsidR="00C923A8" w:rsidRPr="00742A04">
        <w:t>punto</w:t>
      </w:r>
      <w:r w:rsidRPr="00742A04">
        <w:t>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vi</w:t>
      </w:r>
      <w:r w:rsidRPr="00742A04">
        <w:t>sta</w:t>
      </w:r>
      <w:r w:rsidR="00545D1B" w:rsidRPr="00742A04">
        <w:t xml:space="preserve">, </w:t>
      </w:r>
      <w:r w:rsidRPr="00742A04">
        <w:t>los deseos</w:t>
      </w:r>
      <w:r w:rsidR="00545D1B" w:rsidRPr="00742A04">
        <w:t xml:space="preserve">, </w:t>
      </w:r>
      <w:r w:rsidRPr="00742A04">
        <w:t>los sueños</w:t>
      </w:r>
      <w:r w:rsidR="00545D1B" w:rsidRPr="00742A04">
        <w:t xml:space="preserve">, </w:t>
      </w:r>
      <w:r w:rsidR="00834309" w:rsidRPr="00742A04">
        <w:t>los problemas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conflictos </w:t>
      </w:r>
      <w:r w:rsidR="00C076F2" w:rsidRPr="00742A04">
        <w:t xml:space="preserve">de los </w:t>
      </w:r>
      <w:r w:rsidRPr="00742A04">
        <w:t>ho</w:t>
      </w:r>
      <w:r w:rsidRPr="00742A04">
        <w:t>m</w:t>
      </w:r>
      <w:r w:rsidRPr="00742A04">
        <w:t>bres</w:t>
      </w:r>
      <w:r w:rsidR="00545D1B" w:rsidRPr="00742A04">
        <w:t xml:space="preserve">. </w:t>
      </w:r>
      <w:r w:rsidRPr="00742A04">
        <w:t>Los h</w:t>
      </w:r>
      <w:r w:rsidR="00072AD7" w:rsidRPr="00742A04">
        <w:t>ombres</w:t>
      </w:r>
      <w:r w:rsidR="00545D1B" w:rsidRPr="00742A04">
        <w:t xml:space="preserve"> </w:t>
      </w:r>
      <w:r w:rsidRPr="00742A04">
        <w:t>tienen u</w:t>
      </w:r>
      <w:r w:rsidR="00545D1B" w:rsidRPr="00742A04">
        <w:t xml:space="preserve">n </w:t>
      </w:r>
      <w:r w:rsidR="00AE7B93" w:rsidRPr="00742A04">
        <w:t>importante</w:t>
      </w:r>
      <w:r w:rsidR="00545D1B" w:rsidRPr="00742A04">
        <w:t xml:space="preserve"> </w:t>
      </w:r>
      <w:r w:rsidR="006B65CD" w:rsidRPr="00742A04">
        <w:t>rol</w:t>
      </w:r>
      <w:r w:rsidR="00545D1B" w:rsidRPr="00742A04">
        <w:t xml:space="preserve"> </w:t>
      </w:r>
      <w:r w:rsidRPr="00742A04">
        <w:t>que desempeñar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E2D7A" w:rsidRPr="00742A04">
        <w:t>el proceso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cambio </w:t>
      </w:r>
      <w:r w:rsidR="00C076F2" w:rsidRPr="00742A04">
        <w:t>de los</w:t>
      </w:r>
      <w:r w:rsidRPr="00742A04">
        <w:t xml:space="preserve"> </w:t>
      </w:r>
      <w:r w:rsidR="00615664" w:rsidRPr="00742A04">
        <w:t>roles de género</w:t>
      </w:r>
      <w:r w:rsidRPr="00742A04">
        <w:t xml:space="preserve"> tradicionales</w:t>
      </w:r>
      <w:r w:rsidR="00545D1B" w:rsidRPr="00742A04">
        <w:t xml:space="preserve">. </w:t>
      </w:r>
      <w:r w:rsidRPr="00742A04">
        <w:t>Será</w:t>
      </w:r>
      <w:r w:rsidR="00545D1B" w:rsidRPr="00742A04">
        <w:t xml:space="preserve"> </w:t>
      </w:r>
      <w:r w:rsidR="00417824" w:rsidRPr="00742A04">
        <w:t>necesario</w:t>
      </w:r>
      <w:r w:rsidR="00545D1B" w:rsidRPr="00742A04">
        <w:t xml:space="preserve"> </w:t>
      </w:r>
      <w:r w:rsidR="00417824" w:rsidRPr="00742A04">
        <w:t>aplicar medidas</w:t>
      </w:r>
      <w:r w:rsidR="00545D1B" w:rsidRPr="00742A04">
        <w:t xml:space="preserve"> </w:t>
      </w:r>
      <w:r w:rsidR="00417824" w:rsidRPr="00742A04">
        <w:t>específic</w:t>
      </w:r>
      <w:r w:rsidR="00417824" w:rsidRPr="00742A04">
        <w:t>a</w:t>
      </w:r>
      <w:r w:rsidR="00417824" w:rsidRPr="00742A04">
        <w:t>mente dirigidas a</w:t>
      </w:r>
      <w:r w:rsidR="00545D1B" w:rsidRPr="00742A04">
        <w:t xml:space="preserve"> </w:t>
      </w:r>
      <w:r w:rsidR="00417824" w:rsidRPr="00742A04">
        <w:t xml:space="preserve">los </w:t>
      </w:r>
      <w:r w:rsidR="00072AD7" w:rsidRPr="00742A04">
        <w:t>hombres</w:t>
      </w:r>
      <w:r w:rsidR="00545D1B" w:rsidRPr="00742A04">
        <w:t xml:space="preserve">. </w:t>
      </w:r>
      <w:r w:rsidR="00CF2F77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417824" w:rsidRPr="00742A04">
        <w:t>evitar colocar a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17824" w:rsidRPr="00742A04">
        <w:t xml:space="preserve">las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17824" w:rsidRPr="00742A04">
        <w:t>categorías</w:t>
      </w:r>
      <w:r w:rsidR="00545D1B" w:rsidRPr="00742A04">
        <w:t xml:space="preserve">. </w:t>
      </w:r>
      <w:r w:rsidR="00417824" w:rsidRPr="00742A04">
        <w:t>Sin embargo</w:t>
      </w:r>
      <w:r w:rsidR="00545D1B" w:rsidRPr="00742A04">
        <w:t xml:space="preserve">, </w:t>
      </w:r>
      <w:r w:rsidR="00417824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17824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417824" w:rsidRPr="00742A04">
        <w:t>tienen frecuentemente</w:t>
      </w:r>
      <w:r w:rsidR="00545D1B" w:rsidRPr="00742A04">
        <w:t xml:space="preserve"> </w:t>
      </w:r>
      <w:r w:rsidR="00242371" w:rsidRPr="00742A04">
        <w:t>diferente</w:t>
      </w:r>
      <w:r w:rsidR="00417824" w:rsidRPr="00742A04">
        <w:t>s</w:t>
      </w:r>
      <w:r w:rsidR="00545D1B" w:rsidRPr="00742A04">
        <w:t xml:space="preserve"> </w:t>
      </w:r>
      <w:r w:rsidR="00417824" w:rsidRPr="00742A04">
        <w:t>vidas e intereses</w:t>
      </w:r>
      <w:r w:rsidR="00545D1B" w:rsidRPr="00742A04">
        <w:t xml:space="preserve"> </w:t>
      </w:r>
      <w:r w:rsidR="00242371" w:rsidRPr="00742A04">
        <w:t>diferente</w:t>
      </w:r>
      <w:r w:rsidR="00545D1B" w:rsidRPr="00742A04">
        <w:t xml:space="preserve">s. </w:t>
      </w:r>
      <w:r w:rsidR="00130F7F" w:rsidRPr="00742A04">
        <w:t>Al mismo tiempo</w:t>
      </w:r>
      <w:r w:rsidR="00545D1B" w:rsidRPr="00742A04">
        <w:t xml:space="preserve">, </w:t>
      </w:r>
      <w:r w:rsidR="0030626A" w:rsidRPr="00742A04">
        <w:t>también</w:t>
      </w:r>
      <w:r w:rsidR="00545D1B" w:rsidRPr="00742A04">
        <w:t xml:space="preserve"> </w:t>
      </w:r>
      <w:r w:rsidR="00417824" w:rsidRPr="00742A04">
        <w:t xml:space="preserve">hay </w:t>
      </w:r>
      <w:r w:rsidR="00545D1B" w:rsidRPr="00742A04">
        <w:t>significa</w:t>
      </w:r>
      <w:r w:rsidR="00417824" w:rsidRPr="00742A04">
        <w:t>tivas</w:t>
      </w:r>
      <w:r w:rsidR="00545D1B" w:rsidRPr="00742A04">
        <w:t xml:space="preserve"> diferenc</w:t>
      </w:r>
      <w:r w:rsidR="00417824" w:rsidRPr="00742A04">
        <w:t>ia</w:t>
      </w:r>
      <w:r w:rsidR="00545D1B" w:rsidRPr="00742A04">
        <w:t xml:space="preserve">s </w:t>
      </w:r>
      <w:r w:rsidR="008F0C8E" w:rsidRPr="00742A04">
        <w:t>de</w:t>
      </w:r>
      <w:r w:rsidR="00545D1B" w:rsidRPr="00742A04">
        <w:t xml:space="preserve"> </w:t>
      </w:r>
      <w:r w:rsidR="00417824" w:rsidRPr="00742A04">
        <w:t>un hombre a otro</w:t>
      </w:r>
      <w:r w:rsidR="00545D1B" w:rsidRPr="00742A04">
        <w:t xml:space="preserve">. </w:t>
      </w:r>
      <w:r w:rsidR="00417824" w:rsidRPr="00742A04">
        <w:t>También los h</w:t>
      </w:r>
      <w:r w:rsidR="00072AD7" w:rsidRPr="00742A04">
        <w:t>ombres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417824" w:rsidRPr="00742A04">
        <w:t xml:space="preserve">objeto de </w:t>
      </w:r>
      <w:r w:rsidR="00545D1B" w:rsidRPr="00742A04">
        <w:t>discrimina</w:t>
      </w:r>
      <w:r w:rsidR="00417824" w:rsidRPr="00742A04">
        <w:t>ción</w:t>
      </w:r>
      <w:r w:rsidR="00545D1B" w:rsidRPr="00742A04">
        <w:t>.</w:t>
      </w:r>
    </w:p>
    <w:p w:rsidR="00545D1B" w:rsidRPr="00742A04" w:rsidRDefault="00417824" w:rsidP="00021DB5">
      <w:pPr>
        <w:pStyle w:val="SingleTxt"/>
        <w:ind w:firstLine="475"/>
      </w:pPr>
      <w:r w:rsidRPr="00742A04">
        <w:t>Los h</w:t>
      </w:r>
      <w:r w:rsidR="00072AD7" w:rsidRPr="00742A04">
        <w:t>ombres</w:t>
      </w:r>
      <w:r w:rsidR="00545D1B" w:rsidRPr="00742A04">
        <w:t xml:space="preserve"> </w:t>
      </w:r>
      <w:r w:rsidRPr="00742A04">
        <w:t>pueden ser ganadores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a </w:t>
      </w:r>
      <w:r w:rsidR="000A5430" w:rsidRPr="00742A04">
        <w:t>sociedad</w:t>
      </w:r>
      <w:r w:rsidR="00545D1B" w:rsidRPr="00742A04">
        <w:t xml:space="preserve"> </w:t>
      </w:r>
      <w:r w:rsidRPr="00742A04">
        <w:t xml:space="preserve">masculina </w:t>
      </w:r>
      <w:r w:rsidR="00545D1B" w:rsidRPr="00742A04">
        <w:t xml:space="preserve">– </w:t>
      </w:r>
      <w:r w:rsidR="008E5EBF" w:rsidRPr="00742A04">
        <w:t>o</w:t>
      </w:r>
      <w:r w:rsidR="00545D1B" w:rsidRPr="00742A04">
        <w:t xml:space="preserve"> </w:t>
      </w:r>
      <w:r w:rsidRPr="00742A04">
        <w:t>bien</w:t>
      </w:r>
      <w:r w:rsidR="00545D1B" w:rsidRPr="00742A04">
        <w:t xml:space="preserve"> </w:t>
      </w:r>
      <w:r w:rsidRPr="00742A04">
        <w:t>pueden ser</w:t>
      </w:r>
      <w:r w:rsidR="00545D1B" w:rsidRPr="00742A04">
        <w:t xml:space="preserve"> </w:t>
      </w:r>
      <w:r w:rsidRPr="00742A04">
        <w:t>perdedores</w:t>
      </w:r>
      <w:r w:rsidR="00545D1B" w:rsidRPr="00742A04">
        <w:t xml:space="preserve">. </w:t>
      </w:r>
      <w:r w:rsidRPr="00742A04">
        <w:t>Frecuentemente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Pr="00742A04">
        <w:t>ambas cosas</w:t>
      </w:r>
      <w:r w:rsidR="00545D1B" w:rsidRPr="00742A04">
        <w:t xml:space="preserve"> </w:t>
      </w:r>
      <w:r w:rsidR="00130F7F" w:rsidRPr="00742A04">
        <w:t>al mismo tiempo</w:t>
      </w:r>
      <w:r w:rsidR="00545D1B" w:rsidRPr="00742A04">
        <w:t xml:space="preserve">; </w:t>
      </w:r>
      <w:r w:rsidRPr="00742A04">
        <w:t>ganan</w:t>
      </w:r>
      <w:r w:rsidR="00545D1B" w:rsidRPr="00742A04">
        <w:t xml:space="preserve"> status </w:t>
      </w:r>
      <w:r w:rsidR="00877AA0" w:rsidRPr="00742A04">
        <w:t>y</w:t>
      </w:r>
      <w:r w:rsidR="00545D1B" w:rsidRPr="00742A04">
        <w:t xml:space="preserve"> </w:t>
      </w:r>
      <w:r w:rsidRPr="00742A04">
        <w:t>dinero</w:t>
      </w:r>
      <w:r w:rsidR="00545D1B" w:rsidRPr="00742A04">
        <w:t xml:space="preserve"> </w:t>
      </w:r>
      <w:r w:rsidR="005C6D40" w:rsidRPr="00742A04">
        <w:t>dando mayor</w:t>
      </w:r>
      <w:r w:rsidR="00545D1B" w:rsidRPr="00742A04">
        <w:t xml:space="preserve"> prior</w:t>
      </w:r>
      <w:r w:rsidR="00502E16" w:rsidRPr="00742A04">
        <w:t>idad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5C6D40" w:rsidRPr="00742A04">
        <w:t>carrera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5C6D40" w:rsidRPr="00742A04">
        <w:t>familia</w:t>
      </w:r>
      <w:r w:rsidR="00545D1B" w:rsidRPr="00742A04">
        <w:t xml:space="preserve">. </w:t>
      </w:r>
      <w:r w:rsidR="00130F7F" w:rsidRPr="00742A04">
        <w:t>Al mismo tiempo</w:t>
      </w:r>
      <w:r w:rsidR="00545D1B" w:rsidRPr="00742A04">
        <w:t xml:space="preserve">, </w:t>
      </w:r>
      <w:r w:rsidR="00EF5B12" w:rsidRPr="00742A04">
        <w:t>pie</w:t>
      </w:r>
      <w:r w:rsidR="00EF5B12" w:rsidRPr="00742A04">
        <w:t>r</w:t>
      </w:r>
      <w:r w:rsidR="00EF5B12" w:rsidRPr="00742A04">
        <w:t>den</w:t>
      </w:r>
      <w:r w:rsidR="00545D1B" w:rsidRPr="00742A04">
        <w:t xml:space="preserve"> </w:t>
      </w:r>
      <w:r w:rsidR="005C6D40" w:rsidRPr="00742A04">
        <w:t>la oportunidad</w:t>
      </w:r>
      <w:r w:rsidR="00545D1B" w:rsidRPr="00742A04">
        <w:t xml:space="preserve"> </w:t>
      </w:r>
      <w:r w:rsidR="005C6D40" w:rsidRPr="00742A04">
        <w:t>de crear y estrechar buenas</w:t>
      </w:r>
      <w:r w:rsidR="00545D1B" w:rsidRPr="00742A04">
        <w:t xml:space="preserve"> </w:t>
      </w:r>
      <w:r w:rsidR="005C6D40" w:rsidRPr="00742A04">
        <w:t>relaciones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C6D40" w:rsidRPr="00742A04">
        <w:t>sus hijos</w:t>
      </w:r>
      <w:r w:rsidR="00545D1B" w:rsidRPr="00742A04">
        <w:t xml:space="preserve">. </w:t>
      </w:r>
      <w:r w:rsidR="008E5EBF" w:rsidRPr="00742A04">
        <w:t>O</w:t>
      </w:r>
      <w:r w:rsidR="00545D1B" w:rsidRPr="00742A04">
        <w:t xml:space="preserve"> </w:t>
      </w:r>
      <w:r w:rsidR="005C6D40" w:rsidRPr="00742A04">
        <w:t>bien</w:t>
      </w:r>
      <w:r w:rsidR="00545D1B" w:rsidRPr="00742A04">
        <w:t xml:space="preserve"> </w:t>
      </w:r>
      <w:r w:rsidR="005C6D40" w:rsidRPr="00742A04">
        <w:t>l</w:t>
      </w:r>
      <w:r w:rsidR="005C6D40" w:rsidRPr="00742A04">
        <w:t>u</w:t>
      </w:r>
      <w:r w:rsidR="005C6D40" w:rsidRPr="00742A04">
        <w:t>chan por hacer frente a</w:t>
      </w:r>
      <w:r w:rsidR="00BD47D3" w:rsidRPr="00742A04">
        <w:t>l hecho de que</w:t>
      </w:r>
      <w:r w:rsidR="00545D1B" w:rsidRPr="00742A04">
        <w:t xml:space="preserve"> </w:t>
      </w:r>
      <w:r w:rsidR="005C6D40" w:rsidRPr="00742A04">
        <w:t>no han logrado alcanzar</w:t>
      </w:r>
      <w:r w:rsidR="00545D1B" w:rsidRPr="00742A04">
        <w:t xml:space="preserve"> </w:t>
      </w:r>
      <w:r w:rsidR="00F97F41" w:rsidRPr="00742A04">
        <w:t>su</w:t>
      </w:r>
      <w:r w:rsidR="005C6D40" w:rsidRPr="00742A04">
        <w:t>s</w:t>
      </w:r>
      <w:r w:rsidR="00545D1B" w:rsidRPr="00742A04">
        <w:t xml:space="preserve"> </w:t>
      </w:r>
      <w:r w:rsidR="003C25BF" w:rsidRPr="00742A04">
        <w:t>objetivo</w:t>
      </w:r>
      <w:r w:rsidR="00545D1B" w:rsidRPr="00742A04">
        <w:t xml:space="preserve">s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="005C6D40" w:rsidRPr="00742A04">
        <w:t>todas las consecuencias que ese fracaso tiene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C6D40" w:rsidRPr="00742A04">
        <w:t>la identidad masculina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C6D40" w:rsidRPr="00742A04">
        <w:t>nuestra</w:t>
      </w:r>
      <w:r w:rsidR="000A5430" w:rsidRPr="00742A04">
        <w:t xml:space="preserve"> sociedad</w:t>
      </w:r>
      <w:r w:rsidR="00545D1B" w:rsidRPr="00742A04">
        <w:t xml:space="preserve">. </w:t>
      </w:r>
      <w:r w:rsidR="005C6D40" w:rsidRPr="00742A04">
        <w:t>Los hombres</w:t>
      </w:r>
      <w:r w:rsidR="00545D1B" w:rsidRPr="00742A04">
        <w:t xml:space="preserve"> </w:t>
      </w:r>
      <w:r w:rsidR="00253543">
        <w:t xml:space="preserve">tienen </w:t>
      </w:r>
      <w:r w:rsidR="005C6D40" w:rsidRPr="00742A04">
        <w:t>una mayor tasa de</w:t>
      </w:r>
      <w:r w:rsidR="00545D1B" w:rsidRPr="00742A04">
        <w:t xml:space="preserve"> mortal</w:t>
      </w:r>
      <w:r w:rsidR="00502E16" w:rsidRPr="00742A04">
        <w:t>idad</w:t>
      </w:r>
      <w:r w:rsidR="00545D1B" w:rsidRPr="00742A04">
        <w:t xml:space="preserve"> </w:t>
      </w:r>
      <w:r w:rsidR="005C6D40" w:rsidRPr="00742A04">
        <w:t xml:space="preserve">relacionada con el </w:t>
      </w:r>
      <w:r w:rsidR="00EF5B12">
        <w:t>estilo</w:t>
      </w:r>
      <w:r w:rsidR="005C6D40" w:rsidRPr="00742A04">
        <w:t xml:space="preserve"> de vida</w:t>
      </w:r>
      <w:r w:rsidR="00545D1B" w:rsidRPr="00742A04">
        <w:t xml:space="preserve"> </w:t>
      </w:r>
      <w:r w:rsidR="005C6D40" w:rsidRPr="00742A04">
        <w:t>que las</w:t>
      </w:r>
      <w:r w:rsidR="00545D1B" w:rsidRPr="00742A04">
        <w:t xml:space="preserve"> </w:t>
      </w:r>
      <w:r w:rsidR="00072AD7" w:rsidRPr="00742A04">
        <w:t>mujeres</w:t>
      </w:r>
      <w:r w:rsidR="005C6D40" w:rsidRPr="00742A04">
        <w:t xml:space="preserve">, </w:t>
      </w:r>
      <w:r w:rsidR="00545D1B" w:rsidRPr="00742A04">
        <w:t>consult</w:t>
      </w:r>
      <w:r w:rsidR="005C6D40" w:rsidRPr="00742A04">
        <w:t>an al médico con menor frecuencia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C6D40" w:rsidRPr="00742A04">
        <w:t>encabezan todas las</w:t>
      </w:r>
      <w:r w:rsidR="00545D1B" w:rsidRPr="00742A04">
        <w:t xml:space="preserve"> </w:t>
      </w:r>
      <w:r w:rsidR="0067405D" w:rsidRPr="00742A04">
        <w:t>estadísticas</w:t>
      </w:r>
      <w:r w:rsidR="00545D1B" w:rsidRPr="00742A04">
        <w:t xml:space="preserve"> </w:t>
      </w:r>
      <w:r w:rsidR="005C6D40" w:rsidRPr="00742A04">
        <w:t>sobre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C6D40" w:rsidRPr="00742A04">
        <w:t>delito</w:t>
      </w:r>
      <w:r w:rsidR="00545D1B" w:rsidRPr="00742A04">
        <w:t xml:space="preserve">. </w:t>
      </w:r>
      <w:r w:rsidR="005C6D40" w:rsidRPr="00742A04">
        <w:t>Los varones</w:t>
      </w:r>
      <w:r w:rsidR="00545D1B" w:rsidRPr="00742A04">
        <w:t xml:space="preserve"> </w:t>
      </w:r>
      <w:r w:rsidR="00352986" w:rsidRPr="00742A04">
        <w:t xml:space="preserve">rinden menos </w:t>
      </w:r>
      <w:r w:rsidR="005C6D40" w:rsidRPr="00742A04">
        <w:t>que</w:t>
      </w:r>
      <w:r w:rsidR="00545D1B" w:rsidRPr="00742A04">
        <w:t xml:space="preserve"> </w:t>
      </w:r>
      <w:r w:rsidR="005E6919" w:rsidRPr="00742A04">
        <w:t>las niñas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52986" w:rsidRPr="00742A04">
        <w:t xml:space="preserve">todas las asignaturas escolares, salvo </w:t>
      </w:r>
      <w:r w:rsidR="00154FBB" w:rsidRPr="00742A04">
        <w:t>ejercicio</w:t>
      </w:r>
      <w:r w:rsidR="00352986" w:rsidRPr="00742A04">
        <w:t>s fís</w:t>
      </w:r>
      <w:r w:rsidR="00352986" w:rsidRPr="00742A04">
        <w:t>i</w:t>
      </w:r>
      <w:r w:rsidR="00352986" w:rsidRPr="00742A04">
        <w:t>cos</w:t>
      </w:r>
      <w:r w:rsidR="00545D1B" w:rsidRPr="00742A04">
        <w:t xml:space="preserve">, </w:t>
      </w:r>
      <w:r w:rsidR="00EF5B12" w:rsidRPr="00742A04">
        <w:t>y</w:t>
      </w:r>
      <w:r w:rsidR="00EF5B12">
        <w:t xml:space="preserve"> </w:t>
      </w:r>
      <w:r w:rsidR="00EF5B12" w:rsidRPr="00742A04">
        <w:t>la</w:t>
      </w:r>
      <w:r w:rsidR="00352986" w:rsidRPr="00742A04">
        <w:t xml:space="preserve"> cantidad de hombres que obtienen una </w:t>
      </w:r>
      <w:r w:rsidR="00844FDB" w:rsidRPr="00742A04">
        <w:t>educación superior</w:t>
      </w:r>
      <w:r w:rsidR="00352986" w:rsidRPr="00742A04">
        <w:t xml:space="preserve"> es mucho menor que la de mujeres</w:t>
      </w:r>
      <w:r w:rsidR="00545D1B" w:rsidRPr="00742A04">
        <w:t>.</w:t>
      </w:r>
    </w:p>
    <w:p w:rsidR="00545D1B" w:rsidRPr="00742A04" w:rsidRDefault="00FF39FE" w:rsidP="00021DB5">
      <w:pPr>
        <w:pStyle w:val="SingleTxt"/>
        <w:ind w:firstLine="475"/>
      </w:pPr>
      <w:r w:rsidRPr="00742A04">
        <w:t>Esta</w:t>
      </w:r>
      <w:r w:rsidR="00545D1B" w:rsidRPr="00742A04">
        <w:t xml:space="preserve"> dual</w:t>
      </w:r>
      <w:r w:rsidR="00502E16" w:rsidRPr="00742A04">
        <w:t>idad</w:t>
      </w:r>
      <w:r w:rsidR="00545D1B" w:rsidRPr="00742A04">
        <w:t xml:space="preserve"> </w:t>
      </w:r>
      <w:r w:rsidRPr="00742A04">
        <w:t>presenta un</w:t>
      </w:r>
      <w:r w:rsidR="00545D1B" w:rsidRPr="00742A04">
        <w:t xml:space="preserve"> </w:t>
      </w:r>
      <w:r w:rsidR="00AE7B93" w:rsidRPr="00742A04">
        <w:t>importante</w:t>
      </w:r>
      <w:r w:rsidRPr="00742A04">
        <w:t xml:space="preserve"> potenc</w:t>
      </w:r>
      <w:r w:rsidR="00545D1B" w:rsidRPr="00742A04">
        <w:t xml:space="preserve">ial </w:t>
      </w:r>
      <w:r w:rsidR="00C14BFF" w:rsidRPr="00742A04">
        <w:t>en</w:t>
      </w:r>
      <w:r w:rsidR="00545D1B" w:rsidRPr="00742A04">
        <w:t xml:space="preserve"> </w:t>
      </w:r>
      <w:r w:rsidR="005E2D7A" w:rsidRPr="00742A04">
        <w:t>el proceso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 que se d</w:t>
      </w:r>
      <w:r w:rsidRPr="00742A04">
        <w:t>e</w:t>
      </w:r>
      <w:r w:rsidRPr="00742A04">
        <w:t>nomina la</w:t>
      </w:r>
      <w:r w:rsidR="00545D1B" w:rsidRPr="00742A04">
        <w:t xml:space="preserve"> masculin</w:t>
      </w:r>
      <w:r w:rsidR="00502E16" w:rsidRPr="00742A04">
        <w:t>idad</w:t>
      </w:r>
      <w:r w:rsidRPr="00742A04">
        <w:t xml:space="preserve"> hegemónica</w:t>
      </w:r>
      <w:r w:rsidR="00545D1B" w:rsidRPr="00742A04">
        <w:t xml:space="preserve">: </w:t>
      </w:r>
      <w:r w:rsidRPr="00742A04">
        <w:t>El tipo</w:t>
      </w:r>
      <w:r w:rsidR="00545D1B" w:rsidRPr="00742A04">
        <w:t xml:space="preserve"> </w:t>
      </w:r>
      <w:r w:rsidR="00417824" w:rsidRPr="00742A04">
        <w:t>masculin</w:t>
      </w:r>
      <w:r w:rsidRPr="00742A04">
        <w:t>o que</w:t>
      </w:r>
      <w:r w:rsidR="00545D1B" w:rsidRPr="00742A04">
        <w:t xml:space="preserve"> domina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define </w:t>
      </w:r>
      <w:r w:rsidR="00545D1B" w:rsidRPr="00742A04">
        <w:t>cult</w:t>
      </w:r>
      <w:r w:rsidR="00545D1B" w:rsidRPr="00742A04">
        <w:t>u</w:t>
      </w:r>
      <w:r w:rsidR="00545D1B" w:rsidRPr="00742A04">
        <w:t>ral</w:t>
      </w:r>
      <w:r w:rsidRPr="00742A04">
        <w:t>mente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Pr="00742A04">
        <w:t>debe ser un hombre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C6D40" w:rsidRPr="00742A04">
        <w:t>nuestra</w:t>
      </w:r>
      <w:r w:rsidR="000A5430" w:rsidRPr="00742A04">
        <w:t xml:space="preserve"> sociedad</w:t>
      </w:r>
      <w:r w:rsidR="00545D1B" w:rsidRPr="00742A04">
        <w:t xml:space="preserve">. </w:t>
      </w:r>
      <w:r w:rsidRPr="00742A04">
        <w:t>Es preciso idear m</w:t>
      </w:r>
      <w:r w:rsidR="00DC0DB8" w:rsidRPr="00742A04">
        <w:t>edidas</w:t>
      </w:r>
      <w:r w:rsidR="00545D1B" w:rsidRPr="00742A04">
        <w:t xml:space="preserve"> </w:t>
      </w:r>
      <w:r w:rsidRPr="00742A04">
        <w:t>que se</w:t>
      </w:r>
      <w:r w:rsidR="00545D1B" w:rsidRPr="00742A04">
        <w:t xml:space="preserve"> adapte</w:t>
      </w:r>
      <w:r w:rsidRPr="00742A04">
        <w:t>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las diferentes</w:t>
      </w:r>
      <w:r w:rsidR="00545D1B" w:rsidRPr="00742A04">
        <w:t xml:space="preserve"> situa</w:t>
      </w:r>
      <w:r w:rsidR="008907B8" w:rsidRPr="00742A04">
        <w:t>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intereses diferentes </w:t>
      </w:r>
      <w:r w:rsidR="00C076F2" w:rsidRPr="00742A04">
        <w:t xml:space="preserve">de los </w:t>
      </w:r>
      <w:r w:rsidRPr="00742A04">
        <w:t>hombres</w:t>
      </w:r>
      <w:r w:rsidR="00545D1B" w:rsidRPr="00742A04">
        <w:t>.</w:t>
      </w:r>
    </w:p>
    <w:p w:rsidR="00545D1B" w:rsidRPr="00742A04" w:rsidRDefault="008F0C8E" w:rsidP="00021DB5">
      <w:pPr>
        <w:pStyle w:val="SingleTxt"/>
        <w:ind w:firstLine="475"/>
      </w:pPr>
      <w:r w:rsidRPr="00742A04">
        <w:t>El Gobierno</w:t>
      </w:r>
      <w:r w:rsidR="00545D1B" w:rsidRPr="00742A04">
        <w:t xml:space="preserve"> </w:t>
      </w:r>
      <w:r w:rsidR="00FF39FE" w:rsidRPr="00742A04">
        <w:t>aporta</w:t>
      </w:r>
      <w:r w:rsidR="00545D1B" w:rsidRPr="00742A04">
        <w:t xml:space="preserve"> </w:t>
      </w:r>
      <w:r w:rsidR="006B65CD" w:rsidRPr="00742A04">
        <w:t>financiación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FF39FE" w:rsidRPr="00742A04">
        <w:t>el</w:t>
      </w:r>
      <w:r w:rsidR="00545D1B" w:rsidRPr="00742A04">
        <w:t xml:space="preserve"> </w:t>
      </w:r>
      <w:r w:rsidR="001A3EBF" w:rsidRPr="00742A04">
        <w:t xml:space="preserve">Centro de Recursos para </w:t>
      </w:r>
      <w:r w:rsidR="00FF39FE" w:rsidRPr="00742A04">
        <w:t>los H</w:t>
      </w:r>
      <w:r w:rsidR="005C6D40" w:rsidRPr="00742A04">
        <w:t>ombres</w:t>
      </w:r>
      <w:r w:rsidR="00545D1B" w:rsidRPr="00742A04">
        <w:t xml:space="preserve"> (REFORM), </w:t>
      </w:r>
      <w:r w:rsidR="00FF39FE" w:rsidRPr="00742A04">
        <w:t>el primero de su especie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="00FF39FE" w:rsidRPr="00742A04">
        <w:t xml:space="preserve">Uno </w:t>
      </w:r>
      <w:r w:rsidR="00C076F2" w:rsidRPr="00742A04">
        <w:t xml:space="preserve">de los </w:t>
      </w:r>
      <w:r w:rsidR="00FF39FE" w:rsidRPr="00742A04">
        <w:t>principales objetivos es el desarrollo de una</w:t>
      </w:r>
      <w:r w:rsidR="00545D1B" w:rsidRPr="00742A04">
        <w:t xml:space="preserve"> masculin</w:t>
      </w:r>
      <w:r w:rsidR="00502E16" w:rsidRPr="00742A04">
        <w:t>idad</w:t>
      </w:r>
      <w:r w:rsidR="00545D1B" w:rsidRPr="00742A04">
        <w:t xml:space="preserve"> </w:t>
      </w:r>
      <w:r w:rsidR="00FF39FE" w:rsidRPr="00742A04">
        <w:t xml:space="preserve">positiva </w:t>
      </w:r>
      <w:r w:rsidR="00877AA0" w:rsidRPr="00742A04">
        <w:t>y</w:t>
      </w:r>
      <w:r w:rsidR="00545D1B" w:rsidRPr="00742A04">
        <w:t xml:space="preserve"> </w:t>
      </w:r>
      <w:r w:rsidR="00FF39FE" w:rsidRPr="00742A04">
        <w:t xml:space="preserve">el </w:t>
      </w:r>
      <w:r w:rsidR="003E5775" w:rsidRPr="00742A04">
        <w:t>conocimiento</w:t>
      </w:r>
      <w:r w:rsidR="00545D1B" w:rsidRPr="00742A04">
        <w:t xml:space="preserve"> </w:t>
      </w:r>
      <w:r w:rsidR="00C076F2" w:rsidRPr="00742A04">
        <w:t xml:space="preserve">de los </w:t>
      </w:r>
      <w:r w:rsidR="00615664" w:rsidRPr="00742A04">
        <w:t>roles de gén</w:t>
      </w:r>
      <w:r w:rsidR="00615664" w:rsidRPr="00742A04">
        <w:t>e</w:t>
      </w:r>
      <w:r w:rsidR="00615664" w:rsidRPr="00742A04">
        <w:t>ro</w:t>
      </w:r>
      <w:r w:rsidR="00545D1B" w:rsidRPr="00742A04">
        <w:t xml:space="preserve"> </w:t>
      </w:r>
      <w:r w:rsidR="00FF39FE" w:rsidRPr="00742A04">
        <w:t>masculinos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FF39FE" w:rsidRPr="00742A04">
        <w:t>el Centro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FF39FE" w:rsidRPr="00742A04">
        <w:t>una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FF39FE" w:rsidRPr="00742A04">
        <w:t>fuente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informa</w:t>
      </w:r>
      <w:r w:rsidR="00C14BFF" w:rsidRPr="00742A04">
        <w:t>ción</w:t>
      </w:r>
      <w:r w:rsidR="002E5047" w:rsidRPr="00742A04">
        <w:t xml:space="preserve"> e i</w:t>
      </w:r>
      <w:r w:rsidR="00545D1B" w:rsidRPr="00742A04">
        <w:t>nflu</w:t>
      </w:r>
      <w:r w:rsidR="00FF39FE" w:rsidRPr="00742A04">
        <w:t>ye</w:t>
      </w:r>
      <w:r w:rsidR="00FF575F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F39FE" w:rsidRPr="00742A04">
        <w:t xml:space="preserve">el </w:t>
      </w:r>
      <w:r w:rsidR="001167D2" w:rsidRPr="00742A04">
        <w:t>debate público</w:t>
      </w:r>
      <w:r w:rsidR="00545D1B" w:rsidRPr="00742A04">
        <w:t xml:space="preserve">. REFORM </w:t>
      </w:r>
      <w:r w:rsidR="0030626A" w:rsidRPr="00742A04">
        <w:t>también</w:t>
      </w:r>
      <w:r w:rsidR="00545D1B" w:rsidRPr="00742A04">
        <w:t xml:space="preserve"> </w:t>
      </w:r>
      <w:r w:rsidR="00FF39FE" w:rsidRPr="00742A04">
        <w:t>ha elaborado</w:t>
      </w:r>
      <w:r w:rsidR="00545D1B" w:rsidRPr="00742A04">
        <w:t xml:space="preserve"> </w:t>
      </w:r>
      <w:r w:rsidR="003C25BF" w:rsidRPr="00742A04">
        <w:t>una propuesta de</w:t>
      </w:r>
      <w:r w:rsidR="00545D1B" w:rsidRPr="00742A04">
        <w:t xml:space="preserve"> </w:t>
      </w:r>
      <w:r w:rsidR="00502E16" w:rsidRPr="00742A04">
        <w:t>preven</w:t>
      </w:r>
      <w:r w:rsidR="00FF39FE" w:rsidRPr="00742A04">
        <w:t>ción de la</w:t>
      </w:r>
      <w:r w:rsidR="00545D1B" w:rsidRPr="00742A04">
        <w:t xml:space="preserve"> </w:t>
      </w:r>
      <w:r w:rsidR="00A05847" w:rsidRPr="00742A04">
        <w:t>viole</w:t>
      </w:r>
      <w:r w:rsidR="00A05847" w:rsidRPr="00742A04">
        <w:t>n</w:t>
      </w:r>
      <w:r w:rsidR="00A05847" w:rsidRPr="00742A04">
        <w:t>cia</w:t>
      </w:r>
      <w:r w:rsidR="00545D1B" w:rsidRPr="00742A04">
        <w:t>.</w:t>
      </w:r>
    </w:p>
    <w:p w:rsidR="00545D1B" w:rsidRPr="00742A04" w:rsidRDefault="00FF39FE" w:rsidP="00021DB5">
      <w:pPr>
        <w:pStyle w:val="SingleTxt"/>
        <w:ind w:firstLine="475"/>
      </w:pPr>
      <w:r w:rsidRPr="00742A04">
        <w:t>El</w:t>
      </w:r>
      <w:r w:rsidR="00545D1B" w:rsidRPr="00742A04">
        <w:t xml:space="preserve"> </w:t>
      </w:r>
      <w:r w:rsidR="005B2FE4" w:rsidRPr="00742A04">
        <w:t>cambio</w:t>
      </w:r>
      <w:r w:rsidR="00545D1B" w:rsidRPr="00742A04">
        <w:t xml:space="preserve"> </w:t>
      </w:r>
      <w:r w:rsidRPr="00742A04">
        <w:t>más grande operado en relación con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D313C" w:rsidRPr="00742A04">
        <w:t>los últimos años</w:t>
      </w:r>
      <w:r w:rsidR="00545D1B" w:rsidRPr="00742A04">
        <w:t xml:space="preserve"> </w:t>
      </w:r>
      <w:r w:rsidRPr="00742A04">
        <w:t>se refiere a</w:t>
      </w:r>
      <w:r w:rsidR="005E2D7A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6B65CD" w:rsidRPr="00742A04">
        <w:t>rol</w:t>
      </w:r>
      <w:r w:rsidR="00545D1B" w:rsidRPr="00742A04">
        <w:t xml:space="preserve"> </w:t>
      </w:r>
      <w:r w:rsidRPr="00742A04">
        <w:t>de padres</w:t>
      </w:r>
      <w:r w:rsidR="00545D1B" w:rsidRPr="00742A04">
        <w:t xml:space="preserve">. </w:t>
      </w:r>
      <w:r w:rsidRPr="00742A04">
        <w:t xml:space="preserve">La </w:t>
      </w:r>
      <w:r w:rsidR="00436CEE" w:rsidRPr="00742A04">
        <w:t>cuota paterna</w:t>
      </w:r>
      <w:r w:rsidRPr="00742A04">
        <w:t xml:space="preserve"> </w:t>
      </w:r>
      <w:r w:rsidR="004A0730" w:rsidRPr="00742A04">
        <w:t>de</w:t>
      </w:r>
      <w:r w:rsidRPr="00742A04">
        <w:t xml:space="preserve"> la</w:t>
      </w:r>
      <w:r w:rsidR="00545D1B" w:rsidRPr="00742A04">
        <w:t xml:space="preserve"> </w:t>
      </w:r>
      <w:r w:rsidR="00E06311" w:rsidRPr="00742A04">
        <w:t>licencia por maternidad o paternidad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utili</w:t>
      </w:r>
      <w:r w:rsidRPr="00742A04">
        <w:t>zada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>aproximadamente el</w:t>
      </w:r>
      <w:r w:rsidR="00545D1B" w:rsidRPr="00742A04">
        <w:t xml:space="preserve"> 90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Pr="00742A04">
        <w:t>l total de</w:t>
      </w:r>
      <w:r w:rsidR="005E2D7A" w:rsidRPr="00742A04">
        <w:t xml:space="preserve"> padres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m</w:t>
      </w:r>
      <w:r w:rsidRPr="00742A04">
        <w:t>uchos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Pr="00742A04">
        <w:t>desearían tener</w:t>
      </w:r>
      <w:r w:rsidR="00545D1B" w:rsidRPr="00742A04">
        <w:t xml:space="preserve"> </w:t>
      </w:r>
      <w:r w:rsidRPr="00742A04">
        <w:t xml:space="preserve">un período </w:t>
      </w:r>
      <w:r w:rsidR="00BA5ABE" w:rsidRPr="00742A04">
        <w:t>más</w:t>
      </w:r>
      <w:r w:rsidR="00545D1B" w:rsidRPr="00742A04">
        <w:t xml:space="preserve"> </w:t>
      </w:r>
      <w:r w:rsidRPr="00742A04">
        <w:t xml:space="preserve">largo que el que se les ha asignado </w:t>
      </w:r>
      <w:r w:rsidR="00545D1B" w:rsidRPr="00742A04">
        <w:t>(</w:t>
      </w:r>
      <w:r w:rsidRPr="00742A04">
        <w:t>seis semanas</w:t>
      </w:r>
      <w:r w:rsidR="003E5775" w:rsidRPr="00742A04">
        <w:t xml:space="preserve"> al</w:t>
      </w:r>
      <w:r w:rsidR="00834309" w:rsidRPr="00742A04">
        <w:t xml:space="preserve"> 1° de julio de 2</w:t>
      </w:r>
      <w:r w:rsidR="00545D1B" w:rsidRPr="00742A04">
        <w:t xml:space="preserve">006). </w:t>
      </w:r>
      <w:r w:rsidRPr="00742A04">
        <w:t xml:space="preserve">La </w:t>
      </w:r>
      <w:r w:rsidR="00253543">
        <w:t>fijación de</w:t>
      </w:r>
      <w:r w:rsidRPr="00742A04">
        <w:t xml:space="preserve"> la </w:t>
      </w:r>
      <w:r w:rsidR="007D406D" w:rsidRPr="00742A04">
        <w:t>prestación por</w:t>
      </w:r>
      <w:r w:rsidRPr="00742A04">
        <w:t xml:space="preserve"> </w:t>
      </w:r>
      <w:r w:rsidR="00545D1B" w:rsidRPr="00742A04">
        <w:t>patern</w:t>
      </w:r>
      <w:r w:rsidR="00502E16" w:rsidRPr="00742A04">
        <w:t>idad</w:t>
      </w:r>
      <w:r w:rsidR="00545D1B" w:rsidRPr="00742A04">
        <w:t xml:space="preserve"> </w:t>
      </w:r>
      <w:r w:rsidRPr="00742A04">
        <w:t>s</w:t>
      </w:r>
      <w:r w:rsidR="000227FA">
        <w:t>obr</w:t>
      </w:r>
      <w:r w:rsidRPr="00742A04">
        <w:t xml:space="preserve">e </w:t>
      </w:r>
      <w:r w:rsidR="000227FA">
        <w:t xml:space="preserve">la </w:t>
      </w:r>
      <w:r w:rsidRPr="00742A04">
        <w:t>ba</w:t>
      </w:r>
      <w:r w:rsidR="000227FA">
        <w:t>se de</w:t>
      </w:r>
      <w:r w:rsidRPr="00742A04">
        <w:t xml:space="preserve"> los</w:t>
      </w:r>
      <w:r w:rsidR="005E2D7A" w:rsidRPr="00742A04">
        <w:t xml:space="preserve"> ingresos</w:t>
      </w:r>
      <w:r w:rsidR="00545D1B" w:rsidRPr="00742A04">
        <w:t xml:space="preserve"> </w:t>
      </w:r>
      <w:r w:rsidRPr="00742A04">
        <w:t>que ellos mismos ganan</w:t>
      </w:r>
      <w:r w:rsidR="00545D1B" w:rsidRPr="00742A04">
        <w:t xml:space="preserve"> </w:t>
      </w:r>
      <w:r w:rsidR="006D7D2F" w:rsidRPr="00742A04">
        <w:t>ha sido</w:t>
      </w:r>
      <w:r w:rsidR="00545D1B" w:rsidRPr="00742A04">
        <w:t xml:space="preserve"> </w:t>
      </w:r>
      <w:r w:rsidRPr="00742A04">
        <w:t>una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1633F4" w:rsidRPr="00742A04">
        <w:t>parte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esta</w:t>
      </w:r>
      <w:r w:rsidR="00545D1B" w:rsidRPr="00742A04">
        <w:t xml:space="preserve"> r</w:t>
      </w:r>
      <w:r w:rsidR="00545D1B" w:rsidRPr="00742A04">
        <w:t>e</w:t>
      </w:r>
      <w:r w:rsidR="00545D1B" w:rsidRPr="00742A04">
        <w:t>form</w:t>
      </w:r>
      <w:r w:rsidRPr="00742A04">
        <w:t>a</w:t>
      </w:r>
      <w:r w:rsidR="00545D1B" w:rsidRPr="00742A04">
        <w:t xml:space="preserve">. </w:t>
      </w:r>
      <w:r w:rsidRPr="00742A04">
        <w:t>El hecho de que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0227FA">
        <w:t>esté</w:t>
      </w:r>
      <w:r w:rsidR="00D238A4" w:rsidRPr="00742A04">
        <w:t>n asumiendo la</w:t>
      </w:r>
      <w:r w:rsidR="00545D1B" w:rsidRPr="00742A04">
        <w:t xml:space="preserve"> </w:t>
      </w:r>
      <w:r w:rsidR="008E5EBF" w:rsidRPr="00742A04">
        <w:t>responsabilidad</w:t>
      </w:r>
      <w:r w:rsidR="00545D1B" w:rsidRPr="00742A04">
        <w:t xml:space="preserve"> </w:t>
      </w:r>
      <w:r w:rsidR="00D238A4" w:rsidRPr="00742A04">
        <w:t>de</w:t>
      </w:r>
      <w:r w:rsidR="00545D1B" w:rsidRPr="00742A04">
        <w:t xml:space="preserve"> rela</w:t>
      </w:r>
      <w:r w:rsidR="008907B8" w:rsidRPr="00742A04">
        <w:t>ci</w:t>
      </w:r>
      <w:r w:rsidR="008907B8" w:rsidRPr="00742A04">
        <w:t>o</w:t>
      </w:r>
      <w:r w:rsidR="008907B8" w:rsidRPr="00742A04">
        <w:t>n</w:t>
      </w:r>
      <w:r w:rsidR="00D238A4" w:rsidRPr="00742A04">
        <w:t>arse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238A4" w:rsidRPr="00742A04">
        <w:t>los niños pequeños</w:t>
      </w:r>
      <w:r w:rsidR="00545D1B" w:rsidRPr="00742A04">
        <w:t xml:space="preserve"> </w:t>
      </w:r>
      <w:r w:rsidR="00D238A4" w:rsidRPr="00742A04">
        <w:t xml:space="preserve">y de establecer una estrecha relación con ellos </w:t>
      </w:r>
      <w:r w:rsidR="00BB4DB1" w:rsidRPr="00742A04">
        <w:t>es</w:t>
      </w:r>
      <w:r w:rsidR="00545D1B" w:rsidRPr="00742A04">
        <w:t xml:space="preserve"> </w:t>
      </w:r>
      <w:r w:rsidR="00D238A4" w:rsidRPr="00742A04">
        <w:t xml:space="preserve">un </w:t>
      </w:r>
      <w:r w:rsidR="005B2FE4" w:rsidRPr="00742A04">
        <w:t>cambio</w:t>
      </w:r>
      <w:r w:rsidR="00545D1B" w:rsidRPr="00742A04">
        <w:t xml:space="preserve"> </w:t>
      </w:r>
      <w:r w:rsidR="00D238A4" w:rsidRPr="00742A04">
        <w:t xml:space="preserve">sumamente importante </w:t>
      </w:r>
      <w:r w:rsidR="00C14BFF" w:rsidRPr="00742A04">
        <w:t>en</w:t>
      </w:r>
      <w:r w:rsidR="00545D1B" w:rsidRPr="00742A04">
        <w:t xml:space="preserve"> </w:t>
      </w:r>
      <w:r w:rsidR="00D238A4" w:rsidRPr="00742A04">
        <w:t>la relación</w:t>
      </w:r>
      <w:r w:rsidR="00545D1B" w:rsidRPr="00742A04">
        <w:t xml:space="preserve"> </w:t>
      </w:r>
      <w:r w:rsidR="00D238A4" w:rsidRPr="00742A04">
        <w:t>padre</w:t>
      </w:r>
      <w:r w:rsidR="00545D1B" w:rsidRPr="00742A04">
        <w:t>-</w:t>
      </w:r>
      <w:r w:rsidR="00D238A4" w:rsidRPr="00742A04">
        <w:t>hijo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238A4" w:rsidRPr="00742A04">
        <w:t>puede incidir e</w:t>
      </w:r>
      <w:r w:rsidR="00545D1B" w:rsidRPr="00742A04">
        <w:t xml:space="preserve">n </w:t>
      </w:r>
      <w:r w:rsidR="00587443" w:rsidRPr="00742A04">
        <w:t>la forma</w:t>
      </w:r>
      <w:r w:rsidR="00545D1B" w:rsidRPr="00742A04">
        <w:t xml:space="preserve"> </w:t>
      </w:r>
      <w:r w:rsidR="00D238A4" w:rsidRPr="00742A04">
        <w:t xml:space="preserve">en que los </w:t>
      </w:r>
      <w:r w:rsidR="00072AD7" w:rsidRPr="00742A04">
        <w:t>hombres</w:t>
      </w:r>
      <w:r w:rsidR="00545D1B" w:rsidRPr="00742A04">
        <w:t xml:space="preserve"> </w:t>
      </w:r>
      <w:r w:rsidR="00D238A4" w:rsidRPr="00742A04">
        <w:t>consideren el cuidado</w:t>
      </w:r>
      <w:r w:rsidR="00545D1B" w:rsidRPr="00742A04">
        <w:t xml:space="preserve">, </w:t>
      </w:r>
      <w:r w:rsidR="00D238A4" w:rsidRPr="00742A04">
        <w:t>la intimidad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238A4" w:rsidRPr="00742A04">
        <w:t xml:space="preserve">las </w:t>
      </w:r>
      <w:r w:rsidR="005C6D40" w:rsidRPr="00742A04">
        <w:t>rel</w:t>
      </w:r>
      <w:r w:rsidR="005C6D40" w:rsidRPr="00742A04">
        <w:t>a</w:t>
      </w:r>
      <w:r w:rsidR="005C6D40" w:rsidRPr="00742A04">
        <w:t>ciones</w:t>
      </w:r>
      <w:r w:rsidR="00545D1B" w:rsidRPr="00742A04">
        <w:t>.</w:t>
      </w:r>
    </w:p>
    <w:p w:rsidR="00545D1B" w:rsidRPr="00742A04" w:rsidRDefault="00D238A4" w:rsidP="00021DB5">
      <w:pPr>
        <w:pStyle w:val="SingleTxt"/>
        <w:ind w:firstLine="475"/>
      </w:pPr>
      <w:r w:rsidRPr="00742A04">
        <w:t>Precisamente, es</w:t>
      </w:r>
      <w:r w:rsidR="00545D1B" w:rsidRPr="00742A04">
        <w:t xml:space="preserve"> probabl</w:t>
      </w:r>
      <w:r w:rsidRPr="00742A04">
        <w:t>e que sea</w:t>
      </w:r>
      <w:r w:rsidR="00545D1B" w:rsidRPr="00742A04">
        <w:t xml:space="preserve"> </w:t>
      </w:r>
      <w:r w:rsidRPr="00742A04">
        <w:t>é</w:t>
      </w:r>
      <w:r w:rsidR="008F0C8E" w:rsidRPr="00742A04">
        <w:t>sta</w:t>
      </w:r>
      <w:r w:rsidRPr="00742A04">
        <w:t xml:space="preserve"> la</w:t>
      </w:r>
      <w:r w:rsidR="008F0C8E" w:rsidRPr="00742A04">
        <w:t xml:space="preserve"> esfera</w:t>
      </w:r>
      <w:r w:rsidR="00545D1B" w:rsidRPr="00742A04">
        <w:t xml:space="preserve"> </w:t>
      </w:r>
      <w:r w:rsidRPr="00742A04">
        <w:t>en que resulte más fácil</w:t>
      </w:r>
      <w:r w:rsidR="00545D1B" w:rsidRPr="00742A04">
        <w:t xml:space="preserve"> </w:t>
      </w:r>
      <w:r w:rsidR="007E0DFE" w:rsidRPr="00742A04">
        <w:t>pr</w:t>
      </w:r>
      <w:r w:rsidR="007E0DFE" w:rsidRPr="00742A04">
        <w:t>o</w:t>
      </w:r>
      <w:r w:rsidR="007E0DFE" w:rsidRPr="00742A04">
        <w:t>ducir</w:t>
      </w:r>
      <w:r w:rsidR="003E4840" w:rsidRPr="00742A04">
        <w:t xml:space="preserve"> </w:t>
      </w:r>
      <w:r w:rsidRPr="00742A04">
        <w:t>un cambio</w:t>
      </w:r>
      <w:r w:rsidR="00545D1B" w:rsidRPr="00742A04">
        <w:t xml:space="preserve">, </w:t>
      </w:r>
      <w:r w:rsidR="007E0DFE" w:rsidRPr="00742A04">
        <w:t>porque</w:t>
      </w:r>
      <w:r w:rsidR="00545D1B" w:rsidRPr="00742A04">
        <w:t xml:space="preserve"> gradua</w:t>
      </w:r>
      <w:r w:rsidR="005F7B32" w:rsidRPr="00742A04">
        <w:t xml:space="preserve">lmente </w:t>
      </w:r>
      <w:r w:rsidR="008D6EB3" w:rsidRPr="00742A04">
        <w:t>los hombres están percibiendo con mayor claridad</w:t>
      </w:r>
      <w:r w:rsidR="00545D1B" w:rsidRPr="00742A04">
        <w:t xml:space="preserve"> </w:t>
      </w:r>
      <w:r w:rsidR="008D6EB3" w:rsidRPr="00742A04">
        <w:t xml:space="preserve">lo que se </w:t>
      </w:r>
      <w:r w:rsidR="004C3EA4">
        <w:t>estaban perdiendo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8D6EB3" w:rsidRPr="00742A04">
        <w:t>mantenerse fieles al</w:t>
      </w:r>
      <w:r w:rsidR="00545D1B" w:rsidRPr="00742A04">
        <w:t xml:space="preserve"> </w:t>
      </w:r>
      <w:r w:rsidR="008D6EB3" w:rsidRPr="00742A04">
        <w:t>rol masculino tradici</w:t>
      </w:r>
      <w:r w:rsidR="008D6EB3" w:rsidRPr="00742A04">
        <w:t>o</w:t>
      </w:r>
      <w:r w:rsidR="008D6EB3" w:rsidRPr="00742A04">
        <w:t>nal</w:t>
      </w:r>
      <w:r w:rsidR="00545D1B" w:rsidRPr="00742A04">
        <w:t xml:space="preserve">. </w:t>
      </w:r>
      <w:r w:rsidR="00CF2F77" w:rsidRPr="00742A04">
        <w:t>Es</w:t>
      </w:r>
      <w:r w:rsidR="00545D1B" w:rsidRPr="00742A04">
        <w:t xml:space="preserve"> </w:t>
      </w:r>
      <w:r w:rsidR="00417824" w:rsidRPr="00742A04">
        <w:t>necesario</w:t>
      </w:r>
      <w:r w:rsidR="00545D1B" w:rsidRPr="00742A04">
        <w:t xml:space="preserve"> </w:t>
      </w:r>
      <w:r w:rsidR="008D6EB3" w:rsidRPr="00742A04">
        <w:t>seguir aplicando</w:t>
      </w:r>
      <w:r w:rsidR="00417824" w:rsidRPr="00742A04">
        <w:t xml:space="preserve"> medidas</w:t>
      </w:r>
      <w:r w:rsidR="00545D1B" w:rsidRPr="00742A04">
        <w:t xml:space="preserve"> </w:t>
      </w:r>
      <w:r w:rsidR="008D6EB3" w:rsidRPr="00742A04">
        <w:t>que contribuyan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8D6EB3" w:rsidRPr="00742A04">
        <w:t>la partic</w:t>
      </w:r>
      <w:r w:rsidR="008D6EB3" w:rsidRPr="00742A04">
        <w:t>i</w:t>
      </w:r>
      <w:r w:rsidR="008D6EB3" w:rsidRPr="00742A04">
        <w:t xml:space="preserve">pación </w:t>
      </w:r>
      <w:r w:rsidR="00C076F2" w:rsidRPr="00742A04">
        <w:t xml:space="preserve">de los </w:t>
      </w:r>
      <w:r w:rsidR="008D6EB3" w:rsidRPr="00742A04">
        <w:t xml:space="preserve">hombres </w:t>
      </w:r>
      <w:r w:rsidR="005E2D7A" w:rsidRPr="00742A04">
        <w:t xml:space="preserve">en relación con </w:t>
      </w:r>
      <w:r w:rsidR="002F3238" w:rsidRPr="00742A04">
        <w:t>los niños</w:t>
      </w:r>
      <w:r w:rsidR="00545D1B" w:rsidRPr="00742A04">
        <w:t xml:space="preserve">, </w:t>
      </w:r>
      <w:r w:rsidR="008D6EB3" w:rsidRPr="00742A04">
        <w:t>en las esferas privada y pública</w:t>
      </w:r>
      <w:r w:rsidR="00545D1B" w:rsidRPr="00742A04">
        <w:t xml:space="preserve">. </w:t>
      </w:r>
      <w:r w:rsidR="008D6EB3" w:rsidRPr="00742A04">
        <w:t>Esto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D6EB3" w:rsidRPr="00742A04">
        <w:t>sí mismo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8D6EB3" w:rsidRPr="00742A04">
        <w:t>produce</w:t>
      </w:r>
      <w:r w:rsidR="00545D1B" w:rsidRPr="00742A04">
        <w:t xml:space="preserve"> </w:t>
      </w:r>
      <w:r w:rsidR="00935A90" w:rsidRPr="00742A04">
        <w:t>cambios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D6EB3" w:rsidRPr="00742A04">
        <w:t>otros ámbitos</w:t>
      </w:r>
      <w:r w:rsidR="00545D1B" w:rsidRPr="00742A04">
        <w:t xml:space="preserve">, </w:t>
      </w:r>
      <w:r w:rsidR="00AD0883" w:rsidRPr="00742A04">
        <w:t>como</w:t>
      </w:r>
      <w:r w:rsidR="00545D1B" w:rsidRPr="00742A04">
        <w:t xml:space="preserve"> </w:t>
      </w:r>
      <w:r w:rsidR="00AD0883" w:rsidRPr="00742A04">
        <w:t>la vida l</w:t>
      </w:r>
      <w:r w:rsidR="00AD0883" w:rsidRPr="00742A04">
        <w:t>a</w:t>
      </w:r>
      <w:r w:rsidR="00AD0883" w:rsidRPr="00742A04">
        <w:t>boral</w:t>
      </w:r>
      <w:r w:rsidR="00545D1B" w:rsidRPr="00742A04">
        <w:t>.</w:t>
      </w:r>
    </w:p>
    <w:p w:rsidR="00545D1B" w:rsidRPr="00742A04" w:rsidRDefault="005F7B32" w:rsidP="00021DB5">
      <w:pPr>
        <w:pStyle w:val="SingleTxt"/>
        <w:ind w:firstLine="475"/>
      </w:pPr>
      <w:r w:rsidRPr="00742A04">
        <w:t>La</w:t>
      </w:r>
      <w:r w:rsidR="00545D1B" w:rsidRPr="00742A04">
        <w:t xml:space="preserve"> </w:t>
      </w:r>
      <w:r w:rsidRPr="00742A04">
        <w:t>actual</w:t>
      </w:r>
      <w:r w:rsidR="00545D1B" w:rsidRPr="00742A04">
        <w:t xml:space="preserve"> </w:t>
      </w:r>
      <w:r w:rsidR="005E6919" w:rsidRPr="00742A04">
        <w:t>concentración en</w:t>
      </w:r>
      <w:r w:rsidR="00545D1B" w:rsidRPr="00742A04">
        <w:t xml:space="preserve"> </w:t>
      </w:r>
      <w:r w:rsidRPr="00742A04">
        <w:t>el rol masculino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en parte</w:t>
      </w:r>
      <w:r w:rsidR="00545D1B" w:rsidRPr="00742A04">
        <w:t xml:space="preserve"> </w:t>
      </w:r>
      <w:r w:rsidR="00165357" w:rsidRPr="00742A04">
        <w:t xml:space="preserve">resultado </w:t>
      </w:r>
      <w:r w:rsidR="00C07ED9" w:rsidRPr="00742A04">
        <w:t xml:space="preserve">del </w:t>
      </w:r>
      <w:r w:rsidR="005E2D7A" w:rsidRPr="00742A04">
        <w:t>trabajo</w:t>
      </w:r>
      <w:r w:rsidR="00545D1B" w:rsidRPr="00742A04">
        <w:t xml:space="preserve"> </w:t>
      </w:r>
      <w:r w:rsidR="00165357" w:rsidRPr="00742A04">
        <w:t>hecho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B73629" w:rsidRPr="00742A04">
        <w:t>el movimiento femenino</w:t>
      </w:r>
      <w:r w:rsidR="00545D1B" w:rsidRPr="00742A04">
        <w:t xml:space="preserve">. </w:t>
      </w:r>
      <w:r w:rsidR="00B73629" w:rsidRPr="00742A04">
        <w:t>P</w:t>
      </w:r>
      <w:r w:rsidR="00F05119" w:rsidRPr="00742A04">
        <w:t>or consiguiente</w:t>
      </w:r>
      <w:r w:rsidR="00B245EB">
        <w:t>, e</w:t>
      </w:r>
      <w:r w:rsidR="00EF5B12" w:rsidRPr="00742A04">
        <w:t>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B73629" w:rsidRPr="00742A04">
        <w:t>prestar apoyo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73629" w:rsidRPr="00742A04">
        <w:t>la formación de redes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="005B2FE4" w:rsidRPr="00742A04">
        <w:t>investigador</w:t>
      </w:r>
      <w:r w:rsidR="00B73629" w:rsidRPr="00742A04">
        <w:t>e</w:t>
      </w:r>
      <w:r w:rsidR="00545D1B" w:rsidRPr="00742A04">
        <w:t xml:space="preserve">s, </w:t>
      </w:r>
      <w:r w:rsidR="00B73629" w:rsidRPr="00742A04">
        <w:t>organizaciones</w:t>
      </w:r>
      <w:r w:rsidR="00232DF9" w:rsidRPr="00742A04">
        <w:t xml:space="preserve"> voluntarias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53E81" w:rsidRPr="00742A04">
        <w:t>otros</w:t>
      </w:r>
      <w:r w:rsidR="00545D1B" w:rsidRPr="00742A04">
        <w:t xml:space="preserve"> </w:t>
      </w:r>
      <w:r w:rsidR="00400BD8">
        <w:t xml:space="preserve">actores </w:t>
      </w:r>
      <w:r w:rsidR="00B73629" w:rsidRPr="00742A04">
        <w:t>que trabajan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072AD7" w:rsidRPr="00742A04">
        <w:t>ho</w:t>
      </w:r>
      <w:r w:rsidR="00072AD7" w:rsidRPr="00742A04">
        <w:t>m</w:t>
      </w:r>
      <w:r w:rsidR="00072AD7" w:rsidRPr="00742A04">
        <w:t>bres</w:t>
      </w:r>
      <w:r w:rsidR="00545D1B" w:rsidRPr="00742A04">
        <w:t xml:space="preserve"> </w:t>
      </w:r>
      <w:r w:rsidR="00C14BFF" w:rsidRPr="00742A04">
        <w:t>en</w:t>
      </w:r>
      <w:r w:rsidR="00072AD7" w:rsidRPr="00742A04">
        <w:t xml:space="preserve"> </w:t>
      </w:r>
      <w:r w:rsidR="00B73629" w:rsidRPr="00742A04">
        <w:t>una perspectiva de igualdad de género</w:t>
      </w:r>
      <w:r w:rsidR="00545D1B" w:rsidRPr="00742A04">
        <w:t>.</w:t>
      </w:r>
    </w:p>
    <w:p w:rsidR="00545D1B" w:rsidRPr="00742A04" w:rsidRDefault="00B85404" w:rsidP="00021DB5">
      <w:pPr>
        <w:pStyle w:val="SingleTxt"/>
        <w:ind w:firstLine="475"/>
      </w:pPr>
      <w:r w:rsidRPr="00742A04">
        <w:t>Como</w:t>
      </w:r>
      <w:r w:rsidR="00545D1B" w:rsidRPr="00742A04">
        <w:t xml:space="preserve"> </w:t>
      </w:r>
      <w:r w:rsidR="00B73629" w:rsidRPr="00742A04">
        <w:t>ha</w:t>
      </w:r>
      <w:r w:rsidR="008D6EB3" w:rsidRPr="00742A04">
        <w:t xml:space="preserve">ce muy poco que los hombres </w:t>
      </w:r>
      <w:r w:rsidR="00400BD8">
        <w:t>comenzaron</w:t>
      </w:r>
      <w:r w:rsidR="00B73629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1633F4" w:rsidRPr="00742A04">
        <w:t>participar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73629" w:rsidRPr="00742A04">
        <w:t>el debate sobre la igualdad de género</w:t>
      </w:r>
      <w:r w:rsidR="00545D1B" w:rsidRPr="00742A04">
        <w:t xml:space="preserve">, </w:t>
      </w:r>
      <w:r w:rsidR="00B73629" w:rsidRPr="00742A04">
        <w:t>se sabe poco</w:t>
      </w:r>
      <w:r w:rsidR="00545D1B" w:rsidRPr="00742A04">
        <w:t xml:space="preserve"> </w:t>
      </w:r>
      <w:r w:rsidR="003E4840" w:rsidRPr="00742A04">
        <w:t xml:space="preserve">acerca </w:t>
      </w:r>
      <w:r w:rsidR="00C076F2" w:rsidRPr="00742A04">
        <w:t xml:space="preserve">de los </w:t>
      </w:r>
      <w:r w:rsidR="00072AD7" w:rsidRPr="00742A04">
        <w:t>hombres</w:t>
      </w:r>
      <w:r w:rsidR="00545D1B" w:rsidRPr="00742A04">
        <w:t xml:space="preserve">, </w:t>
      </w:r>
      <w:r w:rsidR="00B73629" w:rsidRPr="00742A04">
        <w:t xml:space="preserve">de </w:t>
      </w:r>
      <w:r w:rsidRPr="00742A04">
        <w:t>lo que pie</w:t>
      </w:r>
      <w:r w:rsidRPr="00742A04">
        <w:t>n</w:t>
      </w:r>
      <w:r w:rsidRPr="00742A04">
        <w:t>san y desean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6F2" w:rsidRPr="00742A04">
        <w:t xml:space="preserve">de los </w:t>
      </w:r>
      <w:r w:rsidRPr="00742A04">
        <w:t>tipos de confli</w:t>
      </w:r>
      <w:r w:rsidR="009451E4" w:rsidRPr="00742A04">
        <w:t>ctos</w:t>
      </w:r>
      <w:r w:rsidR="00545D1B" w:rsidRPr="00742A04">
        <w:t xml:space="preserve"> </w:t>
      </w:r>
      <w:r w:rsidRPr="00742A04">
        <w:t>a los que se enfrentan</w:t>
      </w:r>
      <w:r w:rsidR="00545D1B" w:rsidRPr="00742A04">
        <w:t xml:space="preserve">. </w:t>
      </w:r>
      <w:r w:rsidR="00B73629" w:rsidRPr="00742A04">
        <w:t>Gran parte d</w:t>
      </w:r>
      <w:r w:rsidR="00545D1B" w:rsidRPr="00742A04">
        <w:t xml:space="preserve">e </w:t>
      </w:r>
      <w:r w:rsidR="00844FDB" w:rsidRPr="00742A04">
        <w:t>la investig</w:t>
      </w:r>
      <w:r w:rsidR="00844FDB" w:rsidRPr="00742A04">
        <w:t>a</w:t>
      </w:r>
      <w:r w:rsidR="00844FDB" w:rsidRPr="00742A04">
        <w:t>ción</w:t>
      </w:r>
      <w:r w:rsidR="00545D1B" w:rsidRPr="00742A04">
        <w:t xml:space="preserve"> </w:t>
      </w:r>
      <w:r w:rsidR="00B73629" w:rsidRPr="00742A04">
        <w:t>sobre</w:t>
      </w:r>
      <w:r w:rsidR="0077058E" w:rsidRPr="00742A04">
        <w:t xml:space="preserve"> la igualdad</w:t>
      </w:r>
      <w:r w:rsidR="00A05847" w:rsidRPr="00742A04">
        <w:t xml:space="preserve"> de género</w:t>
      </w:r>
      <w:r w:rsidR="00545D1B" w:rsidRPr="00742A04">
        <w:t xml:space="preserve"> ha </w:t>
      </w:r>
      <w:r w:rsidR="00024DBC" w:rsidRPr="00742A04">
        <w:t>est</w:t>
      </w:r>
      <w:r w:rsidR="00B73629" w:rsidRPr="00742A04">
        <w:t>ad</w:t>
      </w:r>
      <w:r w:rsidR="00024DBC" w:rsidRPr="00742A04">
        <w:t>o centrada</w:t>
      </w:r>
      <w:r w:rsidR="00545D1B" w:rsidRPr="00742A04">
        <w:t xml:space="preserve"> </w:t>
      </w:r>
      <w:r w:rsidR="00B73629" w:rsidRPr="00742A04">
        <w:t>e</w:t>
      </w:r>
      <w:r w:rsidR="00545D1B" w:rsidRPr="00742A04">
        <w:t xml:space="preserve">n </w:t>
      </w:r>
      <w:r w:rsidR="00B73629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73629" w:rsidRPr="00742A04">
        <w:t>se h</w:t>
      </w:r>
      <w:r w:rsidR="00D52339" w:rsidRPr="00742A04">
        <w:t>a bas</w:t>
      </w:r>
      <w:r w:rsidR="00B73629" w:rsidRPr="00742A04">
        <w:t>ado en el punto de vista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73629" w:rsidRPr="00742A04">
        <w:t>la manera femenina de ver las cosas</w:t>
      </w:r>
      <w:r w:rsidR="00545D1B" w:rsidRPr="00742A04">
        <w:t xml:space="preserve">. </w:t>
      </w:r>
      <w:r w:rsidR="00B73629" w:rsidRPr="00742A04">
        <w:t>Hasta la f</w:t>
      </w:r>
      <w:r w:rsidR="00B73629" w:rsidRPr="00742A04">
        <w:t>e</w:t>
      </w:r>
      <w:r w:rsidR="00B73629" w:rsidRPr="00742A04">
        <w:t>cha, la mayor parte de</w:t>
      </w:r>
      <w:r w:rsidR="00545D1B" w:rsidRPr="00742A04">
        <w:t xml:space="preserve"> </w:t>
      </w:r>
      <w:r w:rsidR="00844FDB" w:rsidRPr="00742A04">
        <w:t>la</w:t>
      </w:r>
      <w:r w:rsidR="00B73629" w:rsidRPr="00742A04">
        <w:t>s</w:t>
      </w:r>
      <w:r w:rsidR="00844FDB" w:rsidRPr="00742A04">
        <w:t xml:space="preserve"> investiga</w:t>
      </w:r>
      <w:r w:rsidR="00B73629" w:rsidRPr="00742A04">
        <w:t>cio</w:t>
      </w:r>
      <w:r w:rsidR="00844FDB" w:rsidRPr="00742A04">
        <w:t>n</w:t>
      </w:r>
      <w:r w:rsidR="00B73629" w:rsidRPr="00742A04">
        <w:t>es</w:t>
      </w:r>
      <w:r w:rsidR="00545D1B" w:rsidRPr="00742A04">
        <w:t xml:space="preserve"> </w:t>
      </w:r>
      <w:r w:rsidR="00B73629" w:rsidRPr="00742A04">
        <w:t>sobre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B73629" w:rsidRPr="00742A04">
        <w:t xml:space="preserve">se ha basado en las </w:t>
      </w:r>
      <w:r w:rsidR="00545D1B" w:rsidRPr="00742A04">
        <w:t>pers</w:t>
      </w:r>
      <w:r w:rsidR="00B73629" w:rsidRPr="00742A04">
        <w:t>pectiva</w:t>
      </w:r>
      <w:r w:rsidR="00545D1B" w:rsidRPr="00742A04">
        <w:t xml:space="preserve">s </w:t>
      </w:r>
      <w:r w:rsidR="00B73629" w:rsidRPr="00742A04">
        <w:t xml:space="preserve">masculinas </w:t>
      </w:r>
      <w:r w:rsidR="00877AA0" w:rsidRPr="00742A04">
        <w:t>y</w:t>
      </w:r>
      <w:r w:rsidR="00545D1B" w:rsidRPr="00742A04">
        <w:t xml:space="preserve"> </w:t>
      </w:r>
      <w:r w:rsidR="00B73629" w:rsidRPr="00742A04">
        <w:t xml:space="preserve">los dominios </w:t>
      </w:r>
      <w:r w:rsidR="00C076F2" w:rsidRPr="00742A04">
        <w:t xml:space="preserve">de los </w:t>
      </w:r>
      <w:r w:rsidR="007E0DFE" w:rsidRPr="00742A04">
        <w:t>hombres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B73629" w:rsidRPr="00742A04">
        <w:t xml:space="preserve">no ha tomado </w:t>
      </w:r>
      <w:r w:rsidR="000472FC" w:rsidRPr="00742A04">
        <w:t xml:space="preserve">como punto de partida </w:t>
      </w:r>
      <w:r w:rsidR="00B73629" w:rsidRPr="00742A04">
        <w:t>a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0472FC" w:rsidRPr="00742A04">
        <w:t>como</w:t>
      </w:r>
      <w:r w:rsidR="00545D1B" w:rsidRPr="00742A04">
        <w:t xml:space="preserve"> </w:t>
      </w:r>
      <w:r w:rsidR="00A836A1" w:rsidRPr="00742A04">
        <w:rPr>
          <w:i/>
        </w:rPr>
        <w:t>género</w:t>
      </w:r>
      <w:r w:rsidR="00545D1B" w:rsidRPr="00742A04">
        <w:t xml:space="preserve">. </w:t>
      </w:r>
      <w:r w:rsidR="000472FC" w:rsidRPr="00742A04">
        <w:t>Se necesita contar con un mayor</w:t>
      </w:r>
      <w:r w:rsidR="00545D1B" w:rsidRPr="00742A04">
        <w:t xml:space="preserve"> </w:t>
      </w:r>
      <w:r w:rsidR="003E5775" w:rsidRPr="00742A04">
        <w:t>con</w:t>
      </w:r>
      <w:r w:rsidR="003E5775" w:rsidRPr="00742A04">
        <w:t>o</w:t>
      </w:r>
      <w:r w:rsidR="003E5775" w:rsidRPr="00742A04">
        <w:t>cimiento</w:t>
      </w:r>
      <w:r w:rsidR="00545D1B" w:rsidRPr="00742A04">
        <w:t xml:space="preserve"> </w:t>
      </w:r>
      <w:r w:rsidR="003E4840" w:rsidRPr="00742A04">
        <w:t>acerca de</w:t>
      </w:r>
      <w:r w:rsidR="000472FC" w:rsidRPr="00742A04">
        <w:t>l</w:t>
      </w:r>
      <w:r w:rsidR="00545D1B" w:rsidRPr="00742A04">
        <w:t xml:space="preserve"> </w:t>
      </w:r>
      <w:r w:rsidR="006B65CD" w:rsidRPr="00742A04">
        <w:t>rol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238A4" w:rsidRPr="00742A04">
        <w:t>padre</w:t>
      </w:r>
      <w:r w:rsidR="00545D1B" w:rsidRPr="00742A04">
        <w:t xml:space="preserve">, </w:t>
      </w:r>
      <w:r w:rsidR="000472FC" w:rsidRPr="00742A04">
        <w:t xml:space="preserve">de la cultura de </w:t>
      </w:r>
      <w:r w:rsidR="00AD0883" w:rsidRPr="00742A04">
        <w:t>la vida laboral</w:t>
      </w:r>
      <w:r w:rsidR="000472FC" w:rsidRPr="00742A04">
        <w:t xml:space="preserve"> masculina</w:t>
      </w:r>
      <w:r w:rsidR="00545D1B" w:rsidRPr="00742A04">
        <w:t>,</w:t>
      </w:r>
      <w:r w:rsidR="000472FC" w:rsidRPr="00742A04">
        <w:t xml:space="preserve"> de</w:t>
      </w:r>
      <w:r w:rsidR="00545D1B" w:rsidRPr="00742A04">
        <w:t xml:space="preserve"> </w:t>
      </w:r>
      <w:r w:rsidR="000472FC" w:rsidRPr="00742A04">
        <w:t>la s</w:t>
      </w:r>
      <w:r w:rsidR="000472FC" w:rsidRPr="00742A04">
        <w:t>i</w:t>
      </w:r>
      <w:r w:rsidR="000472FC" w:rsidRPr="00742A04">
        <w:t>tuación</w:t>
      </w:r>
      <w:r w:rsidR="00C14BFF" w:rsidRPr="00742A04">
        <w:t xml:space="preserve"> </w:t>
      </w:r>
      <w:r w:rsidR="00C076F2" w:rsidRPr="00742A04">
        <w:t xml:space="preserve">de los </w:t>
      </w:r>
      <w:r w:rsidR="00072AD7" w:rsidRPr="00742A04">
        <w:t>hombres</w:t>
      </w:r>
      <w:r w:rsidR="00545D1B" w:rsidRPr="00742A04">
        <w:t xml:space="preserve"> </w:t>
      </w:r>
      <w:r w:rsidR="003E4840" w:rsidRPr="00742A04">
        <w:t xml:space="preserve">después </w:t>
      </w:r>
      <w:r w:rsidR="000472FC" w:rsidRPr="00742A04">
        <w:t>del divorcio</w:t>
      </w:r>
      <w:r w:rsidR="00545D1B" w:rsidRPr="00742A04">
        <w:t xml:space="preserve">, </w:t>
      </w:r>
      <w:r w:rsidR="000472FC" w:rsidRPr="00742A04">
        <w:t>la violencia masculina</w:t>
      </w:r>
      <w:r w:rsidR="00545D1B" w:rsidRPr="00742A04">
        <w:t xml:space="preserve">, </w:t>
      </w:r>
      <w:r w:rsidR="000472FC" w:rsidRPr="00742A04">
        <w:t>la impo</w:t>
      </w:r>
      <w:r w:rsidR="000472FC" w:rsidRPr="00742A04">
        <w:t>r</w:t>
      </w:r>
      <w:r w:rsidR="000472FC" w:rsidRPr="00742A04">
        <w:t>tancia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472FC" w:rsidRPr="00742A04">
        <w:t xml:space="preserve">que los </w:t>
      </w:r>
      <w:r w:rsidR="00072AD7" w:rsidRPr="00742A04">
        <w:t>hombres</w:t>
      </w:r>
      <w:r w:rsidR="00545D1B" w:rsidRPr="00742A04">
        <w:t xml:space="preserve"> </w:t>
      </w:r>
      <w:r w:rsidR="000472FC" w:rsidRPr="00742A04">
        <w:t>estén au</w:t>
      </w:r>
      <w:r w:rsidR="00545D1B" w:rsidRPr="00742A04">
        <w:t>sent</w:t>
      </w:r>
      <w:r w:rsidR="000472FC" w:rsidRPr="00742A04">
        <w:t>es</w:t>
      </w:r>
      <w:r w:rsidR="00545D1B" w:rsidRPr="00742A04">
        <w:t xml:space="preserve"> </w:t>
      </w:r>
      <w:r w:rsidR="000472FC" w:rsidRPr="00742A04">
        <w:t>cuando</w:t>
      </w:r>
      <w:r w:rsidR="00545D1B" w:rsidRPr="00742A04">
        <w:t xml:space="preserve"> </w:t>
      </w:r>
      <w:r w:rsidR="005C6D40" w:rsidRPr="00742A04">
        <w:t>sus hijos</w:t>
      </w:r>
      <w:r w:rsidR="00545D1B" w:rsidRPr="00742A04">
        <w:t xml:space="preserve"> </w:t>
      </w:r>
      <w:r w:rsidR="000472FC" w:rsidRPr="00742A04">
        <w:t>están</w:t>
      </w:r>
      <w:r w:rsidR="00545D1B" w:rsidRPr="00742A04">
        <w:t xml:space="preserve"> </w:t>
      </w:r>
      <w:r w:rsidR="000472FC" w:rsidRPr="00742A04">
        <w:t>creciendo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472FC" w:rsidRPr="00742A04">
        <w:t xml:space="preserve">la </w:t>
      </w:r>
      <w:r w:rsidR="00545D1B" w:rsidRPr="00742A04">
        <w:t>social</w:t>
      </w:r>
      <w:r w:rsidR="00024DBC" w:rsidRPr="00742A04">
        <w:t>iz</w:t>
      </w:r>
      <w:r w:rsidR="00024DBC" w:rsidRPr="00742A04">
        <w:t>a</w:t>
      </w:r>
      <w:r w:rsidR="00024DBC" w:rsidRPr="00742A04">
        <w:t>ción</w:t>
      </w:r>
      <w:r w:rsidR="000472FC" w:rsidRPr="00742A04">
        <w:t xml:space="preserve"> </w:t>
      </w:r>
      <w:r w:rsidR="00C076F2" w:rsidRPr="00742A04">
        <w:t xml:space="preserve">de los </w:t>
      </w:r>
      <w:r w:rsidR="000472FC" w:rsidRPr="00742A04">
        <w:t>varones</w:t>
      </w:r>
      <w:r w:rsidR="00C27C42" w:rsidRPr="00742A04">
        <w:t>.</w:t>
      </w:r>
      <w:r w:rsidR="00545D1B" w:rsidRPr="00742A04">
        <w:t xml:space="preserve"> </w:t>
      </w:r>
      <w:r w:rsidR="000472FC" w:rsidRPr="00742A04">
        <w:t>Necesitamos saber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3E4840" w:rsidRPr="00742A04">
        <w:t xml:space="preserve">acerca </w:t>
      </w:r>
      <w:r w:rsidR="00C076F2" w:rsidRPr="00742A04">
        <w:t xml:space="preserve">de los </w:t>
      </w:r>
      <w:r w:rsidR="000472FC" w:rsidRPr="00742A04">
        <w:t>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472FC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CF2F77" w:rsidRPr="00742A04">
        <w:t xml:space="preserve"> una perspectiva</w:t>
      </w:r>
      <w:r w:rsidR="00587443" w:rsidRPr="00742A04">
        <w:t xml:space="preserve"> de género</w:t>
      </w:r>
      <w:r w:rsidR="00545D1B" w:rsidRPr="00742A04">
        <w:t xml:space="preserve">, </w:t>
      </w:r>
      <w:r w:rsidR="000472FC" w:rsidRPr="00742A04">
        <w:t>en particular acerca del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472FC" w:rsidRPr="00742A04">
        <w:t xml:space="preserve">la </w:t>
      </w:r>
      <w:r w:rsidR="00545D1B" w:rsidRPr="00742A04">
        <w:t>masculin</w:t>
      </w:r>
      <w:r w:rsidR="00502E16" w:rsidRPr="00742A04">
        <w:t>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472FC" w:rsidRPr="00742A04">
        <w:t xml:space="preserve">las </w:t>
      </w:r>
      <w:r w:rsidR="006C1297" w:rsidRPr="00742A04">
        <w:t>cult</w:t>
      </w:r>
      <w:r w:rsidR="006C1297" w:rsidRPr="00742A04">
        <w:t>u</w:t>
      </w:r>
      <w:r w:rsidR="006C1297" w:rsidRPr="00742A04">
        <w:t>ra</w:t>
      </w:r>
      <w:r w:rsidR="00545D1B" w:rsidRPr="00742A04">
        <w:t>s</w:t>
      </w:r>
      <w:r w:rsidR="000472FC" w:rsidRPr="00742A04">
        <w:t xml:space="preserve"> masculinas</w:t>
      </w:r>
      <w:r w:rsidR="00545D1B" w:rsidRPr="00742A04">
        <w:t>.</w:t>
      </w:r>
    </w:p>
    <w:p w:rsidR="00545D1B" w:rsidRPr="00742A04" w:rsidRDefault="008F0C8E" w:rsidP="00021DB5">
      <w:pPr>
        <w:pStyle w:val="SingleTxt"/>
        <w:ind w:firstLine="475"/>
      </w:pPr>
      <w:r w:rsidRPr="00742A04">
        <w:t>El Gobierno</w:t>
      </w:r>
      <w:r w:rsidR="00545D1B" w:rsidRPr="00742A04">
        <w:t xml:space="preserve"> </w:t>
      </w:r>
      <w:r w:rsidR="000472FC" w:rsidRPr="00742A04">
        <w:t>dará</w:t>
      </w:r>
      <w:r w:rsidR="00545D1B" w:rsidRPr="00742A04">
        <w:t xml:space="preserve"> prior</w:t>
      </w:r>
      <w:r w:rsidR="00502E16" w:rsidRPr="00742A04">
        <w:t>idad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02E16" w:rsidRPr="00742A04">
        <w:t>los esfuerzos</w:t>
      </w:r>
      <w:r w:rsidR="00545D1B" w:rsidRPr="00742A04">
        <w:t xml:space="preserve"> </w:t>
      </w:r>
      <w:r w:rsidR="00072AD7" w:rsidRPr="00742A04">
        <w:t>relativ</w:t>
      </w:r>
      <w:r w:rsidR="000472FC" w:rsidRPr="00742A04">
        <w:t>os</w:t>
      </w:r>
      <w:r w:rsidR="00072AD7" w:rsidRPr="00742A04">
        <w:t xml:space="preserve"> </w:t>
      </w:r>
      <w:r w:rsidR="000472FC" w:rsidRPr="00742A04">
        <w:t xml:space="preserve">a los roles </w:t>
      </w:r>
      <w:r w:rsidR="00C076F2" w:rsidRPr="00742A04">
        <w:t xml:space="preserve">de los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472FC" w:rsidRPr="00742A04">
        <w:t>presentará</w:t>
      </w:r>
      <w:r w:rsidR="00545D1B" w:rsidRPr="00742A04">
        <w:t xml:space="preserve"> </w:t>
      </w:r>
      <w:r w:rsidR="000472FC" w:rsidRPr="00742A04">
        <w:t>al Storting un informe</w:t>
      </w:r>
      <w:r w:rsidR="00545D1B" w:rsidRPr="00742A04">
        <w:t xml:space="preserve"> </w:t>
      </w:r>
      <w:r w:rsidR="000472FC" w:rsidRPr="00742A04">
        <w:t>sobre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472FC" w:rsidRPr="00742A04">
        <w:t>los</w:t>
      </w:r>
      <w:r w:rsidR="00545D1B" w:rsidRPr="00742A04">
        <w:t xml:space="preserve"> roles </w:t>
      </w:r>
      <w:r w:rsidR="00C076F2" w:rsidRPr="00742A04">
        <w:t xml:space="preserve">de los </w:t>
      </w:r>
      <w:r w:rsidR="00072AD7" w:rsidRPr="00742A04">
        <w:t>hombres</w:t>
      </w:r>
      <w:r w:rsidR="00545D1B" w:rsidRPr="00742A04">
        <w:t>.</w:t>
      </w:r>
    </w:p>
    <w:p w:rsidR="008D74DC" w:rsidRPr="00742A04" w:rsidRDefault="008D74DC" w:rsidP="008D74DC">
      <w:pPr>
        <w:pStyle w:val="H23"/>
        <w:spacing w:line="120" w:lineRule="exact"/>
        <w:ind w:left="1267"/>
        <w:rPr>
          <w:bCs/>
          <w:sz w:val="10"/>
        </w:rPr>
      </w:pPr>
      <w:bookmarkStart w:id="22" w:name="_Toc131924670"/>
      <w:bookmarkStart w:id="23" w:name="_Toc147129459"/>
    </w:p>
    <w:p w:rsidR="008D74DC" w:rsidRPr="00742A04" w:rsidRDefault="00814B5D" w:rsidP="009B3BF1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5</w:t>
      </w:r>
      <w:r w:rsidR="009B3BF1" w:rsidRPr="00742A04">
        <w:rPr>
          <w:bCs/>
        </w:rPr>
        <w:t xml:space="preserve"> </w:t>
      </w:r>
      <w:r w:rsidR="00545D1B" w:rsidRPr="00742A04">
        <w:rPr>
          <w:bCs/>
          <w:i/>
        </w:rPr>
        <w:t>b</w:t>
      </w:r>
      <w:bookmarkEnd w:id="22"/>
    </w:p>
    <w:p w:rsidR="00545D1B" w:rsidRPr="00742A04" w:rsidRDefault="00A05847" w:rsidP="009B3BF1">
      <w:pPr>
        <w:pStyle w:val="H23"/>
        <w:ind w:left="1267"/>
        <w:rPr>
          <w:bCs/>
        </w:rPr>
      </w:pPr>
      <w:r w:rsidRPr="00742A04">
        <w:rPr>
          <w:bCs/>
        </w:rPr>
        <w:t>La responsabilida</w:t>
      </w:r>
      <w:r w:rsidR="00B02D5C" w:rsidRPr="00742A04">
        <w:rPr>
          <w:bCs/>
        </w:rPr>
        <w:t xml:space="preserve">d conjunta </w:t>
      </w:r>
      <w:r w:rsidR="004D313C" w:rsidRPr="00742A04">
        <w:rPr>
          <w:bCs/>
        </w:rPr>
        <w:t>de las mujeres</w:t>
      </w:r>
      <w:r w:rsidR="00B02D5C" w:rsidRPr="00742A04">
        <w:rPr>
          <w:bCs/>
        </w:rPr>
        <w:t xml:space="preserve"> y</w:t>
      </w:r>
      <w:r w:rsidR="00B02D5C" w:rsidRPr="00742A04">
        <w:rPr>
          <w:bCs/>
        </w:rPr>
        <w:br/>
      </w:r>
      <w:r w:rsidR="009152AA">
        <w:rPr>
          <w:bCs/>
        </w:rPr>
        <w:t xml:space="preserve">los </w:t>
      </w:r>
      <w:r w:rsidR="00B02D5C" w:rsidRPr="00742A04">
        <w:rPr>
          <w:bCs/>
        </w:rPr>
        <w:t xml:space="preserve">hombres </w:t>
      </w:r>
      <w:r w:rsidRPr="00742A04">
        <w:rPr>
          <w:bCs/>
        </w:rPr>
        <w:t>por los hijos y las familias</w:t>
      </w:r>
      <w:bookmarkEnd w:id="23"/>
    </w:p>
    <w:p w:rsidR="008D74DC" w:rsidRPr="00742A04" w:rsidRDefault="008D74DC" w:rsidP="009B3BF1">
      <w:pPr>
        <w:pStyle w:val="H23"/>
        <w:ind w:left="1267"/>
        <w:rPr>
          <w:bCs/>
          <w:sz w:val="10"/>
        </w:rPr>
      </w:pPr>
    </w:p>
    <w:p w:rsidR="00545D1B" w:rsidRPr="00742A04" w:rsidRDefault="00EF5B12" w:rsidP="00021DB5">
      <w:pPr>
        <w:pStyle w:val="SingleTxt"/>
        <w:ind w:firstLine="475"/>
      </w:pPr>
      <w:r w:rsidRPr="00742A04">
        <w:t>En los últimos años la política sobre la familia ha estado centrada en partic</w:t>
      </w:r>
      <w:r w:rsidRPr="00742A04">
        <w:t>u</w:t>
      </w:r>
      <w:r w:rsidRPr="00742A04">
        <w:t xml:space="preserve">lar en el rol de los </w:t>
      </w:r>
      <w:r w:rsidRPr="00742A04">
        <w:rPr>
          <w:i/>
        </w:rPr>
        <w:t>padres</w:t>
      </w:r>
      <w:r w:rsidRPr="00742A04">
        <w:t xml:space="preserve">, y </w:t>
      </w:r>
      <w:r w:rsidR="009152AA">
        <w:t xml:space="preserve">en </w:t>
      </w:r>
      <w:r>
        <w:t>la</w:t>
      </w:r>
      <w:r w:rsidRPr="00742A04">
        <w:t xml:space="preserve"> necesidad de fortalecer su rol en </w:t>
      </w:r>
      <w:r>
        <w:t xml:space="preserve">aras del </w:t>
      </w:r>
      <w:r w:rsidRPr="00742A04">
        <w:t>inte</w:t>
      </w:r>
      <w:r>
        <w:t>ré</w:t>
      </w:r>
      <w:r w:rsidRPr="00742A04">
        <w:t>s</w:t>
      </w:r>
      <w:r>
        <w:t xml:space="preserve"> s</w:t>
      </w:r>
      <w:r>
        <w:t>u</w:t>
      </w:r>
      <w:r>
        <w:t>perior</w:t>
      </w:r>
      <w:r w:rsidRPr="00742A04">
        <w:t xml:space="preserve"> de los niños. </w:t>
      </w:r>
      <w:r w:rsidR="007B45F5" w:rsidRPr="00742A04">
        <w:t>La parte obligatoria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B45F5" w:rsidRPr="00742A04">
        <w:t>la parte de licencia por maternidad o p</w:t>
      </w:r>
      <w:r w:rsidR="007B45F5" w:rsidRPr="00742A04">
        <w:t>a</w:t>
      </w:r>
      <w:r w:rsidR="007B45F5" w:rsidRPr="00742A04">
        <w:t>ternidad c</w:t>
      </w:r>
      <w:r w:rsidR="007B45F5" w:rsidRPr="00742A04">
        <w:t>o</w:t>
      </w:r>
      <w:r w:rsidR="007B45F5" w:rsidRPr="00742A04">
        <w:t>rrespondiente al padre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B45F5" w:rsidRPr="00742A04">
        <w:t>el nacimiento</w:t>
      </w:r>
      <w:r w:rsidR="00545D1B" w:rsidRPr="00742A04">
        <w:t xml:space="preserve"> (“</w:t>
      </w:r>
      <w:r w:rsidR="007B45F5" w:rsidRPr="00742A04">
        <w:t xml:space="preserve">la </w:t>
      </w:r>
      <w:r w:rsidR="00436CEE" w:rsidRPr="00742A04">
        <w:t>cuota paterna</w:t>
      </w:r>
      <w:r w:rsidR="00545D1B" w:rsidRPr="00742A04">
        <w:t xml:space="preserve">”) </w:t>
      </w:r>
      <w:r w:rsidR="007B45F5" w:rsidRPr="00742A04">
        <w:t>es de</w:t>
      </w:r>
      <w:r w:rsidR="00545D1B" w:rsidRPr="00742A04">
        <w:t xml:space="preserve"> </w:t>
      </w:r>
      <w:r w:rsidR="00FF39FE" w:rsidRPr="00742A04">
        <w:t>seis semanas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B34971" w:rsidRPr="00742A04">
        <w:t>a partir de</w:t>
      </w:r>
      <w:r w:rsidR="00545D1B" w:rsidRPr="00742A04">
        <w:t xml:space="preserve"> </w:t>
      </w:r>
      <w:r w:rsidR="00194AB3" w:rsidRPr="00742A04">
        <w:t>1° de enero</w:t>
      </w:r>
      <w:r w:rsidR="004A0730" w:rsidRPr="00742A04">
        <w:t xml:space="preserve"> de</w:t>
      </w:r>
      <w:r w:rsidR="00545D1B" w:rsidRPr="00742A04">
        <w:t xml:space="preserve"> 2005 </w:t>
      </w:r>
      <w:r w:rsidR="007B45F5" w:rsidRPr="00742A04">
        <w:t>el padre</w:t>
      </w:r>
      <w:r w:rsidR="00545D1B" w:rsidRPr="00742A04">
        <w:t xml:space="preserve"> </w:t>
      </w:r>
      <w:r w:rsidR="003315C7" w:rsidRPr="00742A04">
        <w:t>tiene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315C7" w:rsidRPr="00742A04">
        <w:t>una prestación por paternidad</w:t>
      </w:r>
      <w:r w:rsidR="00545D1B" w:rsidRPr="00742A04">
        <w:t xml:space="preserve"> </w:t>
      </w:r>
      <w:r w:rsidR="003315C7" w:rsidRPr="00742A04">
        <w:t>durante</w:t>
      </w:r>
      <w:r w:rsidR="00545D1B" w:rsidRPr="00742A04">
        <w:t xml:space="preserve"> </w:t>
      </w:r>
      <w:r w:rsidR="007B45F5" w:rsidRPr="00742A04">
        <w:t>la cuota de licencia por maternidad o patern</w:t>
      </w:r>
      <w:r w:rsidR="007B45F5" w:rsidRPr="00742A04">
        <w:t>i</w:t>
      </w:r>
      <w:r w:rsidR="007B45F5" w:rsidRPr="00742A04">
        <w:t>dad correspondiente al padre</w:t>
      </w:r>
      <w:r w:rsidR="00545D1B" w:rsidRPr="00742A04">
        <w:t xml:space="preserve"> </w:t>
      </w:r>
      <w:r w:rsidR="00D52339" w:rsidRPr="00742A04">
        <w:t>sobre la base de</w:t>
      </w:r>
      <w:r w:rsidR="00545D1B" w:rsidRPr="00742A04">
        <w:t xml:space="preserve"> </w:t>
      </w:r>
      <w:r w:rsidR="003315C7" w:rsidRPr="00742A04">
        <w:t>su propia</w:t>
      </w:r>
      <w:r w:rsidR="00545D1B" w:rsidRPr="00742A04">
        <w:t xml:space="preserve"> </w:t>
      </w:r>
      <w:r w:rsidR="003315C7" w:rsidRPr="00742A04">
        <w:t>situación en materia de e</w:t>
      </w:r>
      <w:r w:rsidR="003315C7" w:rsidRPr="00742A04">
        <w:t>m</w:t>
      </w:r>
      <w:r w:rsidR="003315C7" w:rsidRPr="00742A04">
        <w:t>pleo</w:t>
      </w:r>
      <w:r w:rsidR="00C14BFF" w:rsidRPr="00742A04">
        <w:t xml:space="preserve"> </w:t>
      </w:r>
      <w:r w:rsidR="00545D1B" w:rsidRPr="00742A04">
        <w:t>(</w:t>
      </w:r>
      <w:r w:rsidR="00877AA0" w:rsidRPr="00742A04">
        <w:t>y</w:t>
      </w:r>
      <w:r w:rsidR="00545D1B" w:rsidRPr="00742A04">
        <w:t xml:space="preserve"> </w:t>
      </w:r>
      <w:r w:rsidR="002A7CCF" w:rsidRPr="00742A04">
        <w:t xml:space="preserve">su </w:t>
      </w:r>
      <w:r w:rsidR="00545D1B" w:rsidRPr="00742A04">
        <w:t>compensa</w:t>
      </w:r>
      <w:r w:rsidR="00C14BFF" w:rsidRPr="00742A04">
        <w:t xml:space="preserve">ción </w:t>
      </w:r>
      <w:r w:rsidR="002A7CCF" w:rsidRPr="00742A04">
        <w:t xml:space="preserve">de ingresos ya no se </w:t>
      </w:r>
      <w:r w:rsidR="00C938AE" w:rsidRPr="00742A04">
        <w:t>reduc</w:t>
      </w:r>
      <w:r w:rsidR="009152AA">
        <w:t>e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2A7CCF" w:rsidRPr="00742A04">
        <w:t>la madre</w:t>
      </w:r>
      <w:r w:rsidR="00545D1B" w:rsidRPr="00742A04">
        <w:t xml:space="preserve"> </w:t>
      </w:r>
      <w:r w:rsidR="0087447F" w:rsidRPr="00742A04">
        <w:t>trabajaba</w:t>
      </w:r>
      <w:r w:rsidR="00545D1B" w:rsidRPr="00742A04">
        <w:t xml:space="preserve"> </w:t>
      </w:r>
      <w:r w:rsidR="001633F4" w:rsidRPr="00742A04">
        <w:t>a tiempo parcial</w:t>
      </w:r>
      <w:r w:rsidR="00545D1B" w:rsidRPr="00742A04">
        <w:t xml:space="preserve"> </w:t>
      </w:r>
      <w:r w:rsidR="002A7CCF" w:rsidRPr="00742A04">
        <w:t>antes del parto</w:t>
      </w:r>
      <w:r w:rsidR="00545D1B" w:rsidRPr="00742A04">
        <w:t xml:space="preserve">). </w:t>
      </w:r>
      <w:r w:rsidR="002A7CCF" w:rsidRPr="00742A04">
        <w:t>Asimismo cabe remitirse</w:t>
      </w:r>
      <w:r w:rsidR="0046110E" w:rsidRPr="00742A04">
        <w:t xml:space="preserve"> a los artículos</w:t>
      </w:r>
      <w:r w:rsidR="00545D1B" w:rsidRPr="00742A04">
        <w:t xml:space="preserve"> </w:t>
      </w:r>
      <w:smartTag w:uri="urn:schemas-microsoft-com:office:smarttags" w:element="metricconverter">
        <w:smartTagPr>
          <w:attr w:name="ProductID" w:val="5 a"/>
        </w:smartTagPr>
        <w:r w:rsidR="00545D1B" w:rsidRPr="00742A04">
          <w:t xml:space="preserve">5 </w:t>
        </w:r>
        <w:r w:rsidR="00545D1B" w:rsidRPr="009152AA">
          <w:rPr>
            <w:i/>
          </w:rPr>
          <w:t>a</w:t>
        </w:r>
      </w:smartTag>
      <w:r w:rsidR="00545D1B" w:rsidRPr="00742A04">
        <w:t xml:space="preserve">, 11, 2 </w:t>
      </w:r>
      <w:r w:rsidR="00545D1B" w:rsidRPr="009152AA">
        <w:rPr>
          <w:i/>
        </w:rPr>
        <w:t>b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16.</w:t>
      </w:r>
    </w:p>
    <w:p w:rsidR="00545D1B" w:rsidRPr="00742A04" w:rsidRDefault="002A7CCF" w:rsidP="00021DB5">
      <w:pPr>
        <w:pStyle w:val="SingleTxt"/>
        <w:ind w:firstLine="475"/>
      </w:pPr>
      <w:r w:rsidRPr="00742A04">
        <w:t>Se han fortalecido los esfuerzos preventivos</w:t>
      </w:r>
      <w:r w:rsidR="00935A90" w:rsidRPr="00742A04">
        <w:t xml:space="preserve"> por </w:t>
      </w:r>
      <w:r w:rsidR="00545D1B" w:rsidRPr="00742A04">
        <w:t>ma</w:t>
      </w:r>
      <w:r w:rsidRPr="00742A04">
        <w:t>ntener buenas</w:t>
      </w:r>
      <w:r w:rsidR="00545D1B" w:rsidRPr="00742A04">
        <w:t xml:space="preserve"> </w:t>
      </w:r>
      <w:r w:rsidR="005C6D40" w:rsidRPr="00742A04">
        <w:t>relaciones</w:t>
      </w:r>
      <w:r w:rsidRPr="00742A04">
        <w:t xml:space="preserve"> de familia a fin de contribuir a</w:t>
      </w:r>
      <w:r w:rsidR="00545D1B" w:rsidRPr="00742A04">
        <w:t xml:space="preserve"> reduc</w:t>
      </w:r>
      <w:r w:rsidRPr="00742A04">
        <w:t>ir</w:t>
      </w:r>
      <w:r w:rsidR="00545D1B" w:rsidRPr="00742A04">
        <w:t xml:space="preserve"> </w:t>
      </w:r>
      <w:r w:rsidRPr="00742A04">
        <w:t>la cantidad</w:t>
      </w:r>
      <w:r w:rsidR="00545D1B" w:rsidRPr="00742A04">
        <w:t xml:space="preserve"> </w:t>
      </w:r>
      <w:r w:rsidRPr="00742A04">
        <w:t>de</w:t>
      </w:r>
      <w:r w:rsidR="000472FC" w:rsidRPr="00742A04">
        <w:t xml:space="preserve"> divorcio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Pr="00742A04">
        <w:t>rupturas familiares</w:t>
      </w:r>
      <w:r w:rsidR="00545D1B" w:rsidRPr="00742A04">
        <w:t xml:space="preserve">. </w:t>
      </w:r>
      <w:r w:rsidR="00D816F6">
        <w:t xml:space="preserve">Cuando </w:t>
      </w:r>
      <w:r w:rsidR="000C68A8" w:rsidRPr="00742A04">
        <w:t>l</w:t>
      </w:r>
      <w:r w:rsidR="0046110E" w:rsidRPr="00742A04">
        <w:t>as parejas</w:t>
      </w:r>
      <w:r w:rsidR="000C68A8" w:rsidRPr="00742A04">
        <w:t>,</w:t>
      </w:r>
      <w:r w:rsidR="0046110E" w:rsidRPr="00742A04">
        <w:t xml:space="preserve"> casadas o no</w:t>
      </w:r>
      <w:r w:rsidR="000C68A8" w:rsidRPr="00742A04">
        <w:t>,</w:t>
      </w:r>
      <w:r w:rsidR="00545D1B" w:rsidRPr="00742A04">
        <w:t xml:space="preserve"> </w:t>
      </w:r>
      <w:r w:rsidR="00D816F6">
        <w:t>tienen</w:t>
      </w:r>
      <w:r w:rsidR="00D816F6" w:rsidRPr="00742A04">
        <w:t xml:space="preserve"> su primer hijo</w:t>
      </w:r>
      <w:r w:rsidR="00D816F6">
        <w:t>, se les imparte</w:t>
      </w:r>
      <w:r w:rsidR="00D816F6" w:rsidRPr="00742A04">
        <w:t xml:space="preserve"> </w:t>
      </w:r>
      <w:r w:rsidR="000C68A8" w:rsidRPr="00742A04">
        <w:t>un curso gr</w:t>
      </w:r>
      <w:r w:rsidR="000C68A8" w:rsidRPr="00742A04">
        <w:t>a</w:t>
      </w:r>
      <w:r w:rsidR="000C68A8" w:rsidRPr="00742A04">
        <w:t>tuito</w:t>
      </w:r>
      <w:r w:rsidR="00545D1B" w:rsidRPr="00742A04">
        <w:t xml:space="preserve"> </w:t>
      </w:r>
      <w:r w:rsidR="000C68A8" w:rsidRPr="00742A04">
        <w:t>sobre</w:t>
      </w:r>
      <w:r w:rsidR="00545D1B" w:rsidRPr="00742A04">
        <w:t xml:space="preserve"> </w:t>
      </w:r>
      <w:r w:rsidR="005C6D40" w:rsidRPr="00742A04">
        <w:t>familia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rela</w:t>
      </w:r>
      <w:r w:rsidR="008907B8" w:rsidRPr="00742A04">
        <w:t>ciones</w:t>
      </w:r>
      <w:r w:rsidR="00545D1B" w:rsidRPr="00742A04">
        <w:t xml:space="preserve"> </w:t>
      </w:r>
      <w:r w:rsidR="009152AA" w:rsidRPr="00742A04">
        <w:t>sexual</w:t>
      </w:r>
      <w:r w:rsidR="009152AA">
        <w:t>es</w:t>
      </w:r>
      <w:r w:rsidR="00545D1B" w:rsidRPr="00742A04">
        <w:t>.</w:t>
      </w:r>
      <w:r w:rsidR="00D816F6" w:rsidRPr="00742A04">
        <w:t xml:space="preserve"> </w:t>
      </w:r>
      <w:r w:rsidR="00B815B8" w:rsidRPr="00742A04">
        <w:t xml:space="preserve">Desde el </w:t>
      </w:r>
      <w:r w:rsidR="00194AB3" w:rsidRPr="00742A04">
        <w:t>1° de enero</w:t>
      </w:r>
      <w:r w:rsidR="004A0730" w:rsidRPr="00742A04">
        <w:t xml:space="preserve"> de</w:t>
      </w:r>
      <w:r w:rsidR="00545D1B" w:rsidRPr="00742A04">
        <w:t xml:space="preserve"> 2006</w:t>
      </w:r>
      <w:r w:rsidR="005C1FFD" w:rsidRPr="00742A04">
        <w:t>,</w:t>
      </w:r>
      <w:r w:rsidR="00545D1B" w:rsidRPr="00742A04">
        <w:t xml:space="preserve"> </w:t>
      </w:r>
      <w:r w:rsidR="003315C7" w:rsidRPr="00742A04">
        <w:t xml:space="preserve">los padres y madres </w:t>
      </w:r>
      <w:r w:rsidR="005C1FFD" w:rsidRPr="00742A04">
        <w:t>que viven en concubinato</w:t>
      </w:r>
      <w:r w:rsidR="00545D1B" w:rsidRPr="00742A04">
        <w:t xml:space="preserve"> </w:t>
      </w:r>
      <w:r w:rsidR="005C1FFD" w:rsidRPr="00742A04">
        <w:t>comparten la</w:t>
      </w:r>
      <w:r w:rsidR="00545D1B" w:rsidRPr="00742A04">
        <w:t xml:space="preserve"> </w:t>
      </w:r>
      <w:r w:rsidR="00D816F6">
        <w:t>potestad parental</w:t>
      </w:r>
      <w:r w:rsidR="00545D1B" w:rsidRPr="00742A04">
        <w:t xml:space="preserve">. </w:t>
      </w:r>
      <w:r w:rsidR="00B815B8" w:rsidRPr="00742A04">
        <w:t xml:space="preserve">Desde el </w:t>
      </w:r>
      <w:r w:rsidR="003315C7" w:rsidRPr="00742A04">
        <w:t>1°</w:t>
      </w:r>
      <w:r w:rsidR="00194AB3" w:rsidRPr="00742A04">
        <w:t xml:space="preserve"> de enero</w:t>
      </w:r>
      <w:r w:rsidR="004A0730" w:rsidRPr="00742A04">
        <w:t xml:space="preserve"> de</w:t>
      </w:r>
      <w:r w:rsidR="00545D1B" w:rsidRPr="00742A04">
        <w:t xml:space="preserve"> 2007 </w:t>
      </w:r>
      <w:r w:rsidR="003315C7" w:rsidRPr="00742A04">
        <w:t xml:space="preserve">los </w:t>
      </w:r>
      <w:r w:rsidR="005C1FFD" w:rsidRPr="00742A04">
        <w:t>concubinos que tienen hij</w:t>
      </w:r>
      <w:r w:rsidR="002F3238" w:rsidRPr="00742A04">
        <w:t>os</w:t>
      </w:r>
      <w:r w:rsidR="00545D1B" w:rsidRPr="00742A04">
        <w:t xml:space="preserve"> </w:t>
      </w:r>
      <w:r w:rsidR="003315C7" w:rsidRPr="00742A04">
        <w:t xml:space="preserve">provenientes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3315C7" w:rsidRPr="00742A04">
        <w:t>relación</w:t>
      </w:r>
      <w:r w:rsidR="00545D1B" w:rsidRPr="00742A04">
        <w:t xml:space="preserve"> </w:t>
      </w:r>
      <w:r w:rsidR="003315C7" w:rsidRPr="00742A04">
        <w:t>deberán asistir a</w:t>
      </w:r>
      <w:r w:rsidR="00545D1B" w:rsidRPr="00742A04">
        <w:t xml:space="preserve"> </w:t>
      </w:r>
      <w:r w:rsidR="003315C7" w:rsidRPr="00742A04">
        <w:t>sesiones obligatorias</w:t>
      </w:r>
      <w:r w:rsidR="00545D1B" w:rsidRPr="00742A04">
        <w:t xml:space="preserve"> </w:t>
      </w:r>
      <w:r w:rsidR="003315C7" w:rsidRPr="00742A04">
        <w:t xml:space="preserve">de </w:t>
      </w:r>
      <w:r w:rsidR="00545D1B" w:rsidRPr="00742A04">
        <w:t>media</w:t>
      </w:r>
      <w:r w:rsidR="00C14BFF" w:rsidRPr="00742A04">
        <w:t xml:space="preserve">ción </w:t>
      </w:r>
      <w:r w:rsidR="00232DF9" w:rsidRPr="00742A04">
        <w:t>si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3315C7" w:rsidRPr="00742A04">
        <w:t>rel</w:t>
      </w:r>
      <w:r w:rsidR="003315C7" w:rsidRPr="00742A04">
        <w:t>a</w:t>
      </w:r>
      <w:r w:rsidR="003315C7" w:rsidRPr="00742A04">
        <w:t>ción</w:t>
      </w:r>
      <w:r w:rsidR="00545D1B" w:rsidRPr="00742A04">
        <w:t xml:space="preserve"> </w:t>
      </w:r>
      <w:r w:rsidR="003315C7" w:rsidRPr="00742A04">
        <w:t>se rompe</w:t>
      </w:r>
      <w:r w:rsidR="00545D1B" w:rsidRPr="00742A04">
        <w:t>.</w:t>
      </w:r>
    </w:p>
    <w:p w:rsidR="00545D1B" w:rsidRPr="00742A04" w:rsidRDefault="005C1FFD" w:rsidP="00021DB5">
      <w:pPr>
        <w:pStyle w:val="SingleTxt"/>
        <w:ind w:firstLine="475"/>
      </w:pPr>
      <w:r w:rsidRPr="00742A04">
        <w:t>L</w:t>
      </w:r>
      <w:r w:rsidR="00604B3A" w:rsidRPr="00742A04">
        <w:t xml:space="preserve">a información </w:t>
      </w:r>
      <w:r w:rsidRPr="00742A04">
        <w:t>sobre</w:t>
      </w:r>
      <w:r w:rsidR="00545D1B" w:rsidRPr="00742A04">
        <w:t xml:space="preserve"> </w:t>
      </w:r>
      <w:r w:rsidR="00242371" w:rsidRPr="00742A04">
        <w:t>las guarderías</w:t>
      </w:r>
      <w:r w:rsidRPr="00742A04">
        <w:t xml:space="preserve"> se proporciona en relación con</w:t>
      </w:r>
      <w:r w:rsidR="0046110E" w:rsidRPr="00742A04">
        <w:t xml:space="preserve"> los artíc</w:t>
      </w:r>
      <w:r w:rsidR="0046110E" w:rsidRPr="00742A04">
        <w:t>u</w:t>
      </w:r>
      <w:r w:rsidR="0046110E" w:rsidRPr="00742A04">
        <w:t>los</w:t>
      </w:r>
      <w:r w:rsidR="00545D1B" w:rsidRPr="00742A04">
        <w:t xml:space="preserve"> 11 </w:t>
      </w:r>
      <w:r w:rsidR="00877AA0" w:rsidRPr="00742A04">
        <w:t>y</w:t>
      </w:r>
      <w:r w:rsidRPr="00742A04">
        <w:t xml:space="preserve"> 2 </w:t>
      </w:r>
      <w:r w:rsidR="00545D1B" w:rsidRPr="00704D87">
        <w:rPr>
          <w:i/>
        </w:rPr>
        <w:t>c</w:t>
      </w:r>
      <w:r w:rsidR="00545D1B" w:rsidRPr="00742A04">
        <w:t>.</w:t>
      </w:r>
    </w:p>
    <w:p w:rsidR="008D74DC" w:rsidRPr="00742A04" w:rsidRDefault="008D74DC" w:rsidP="008D74DC">
      <w:pPr>
        <w:pStyle w:val="H23"/>
        <w:spacing w:line="120" w:lineRule="exact"/>
        <w:ind w:left="1267"/>
        <w:rPr>
          <w:bCs/>
          <w:sz w:val="10"/>
        </w:rPr>
      </w:pPr>
      <w:bookmarkStart w:id="24" w:name="_Toc147129460"/>
    </w:p>
    <w:p w:rsidR="008D74DC" w:rsidRPr="00742A04" w:rsidRDefault="00814B5D" w:rsidP="00B02D5C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8D74DC" w:rsidRPr="00742A04">
        <w:rPr>
          <w:bCs/>
        </w:rPr>
        <w:t xml:space="preserve"> 6</w:t>
      </w:r>
    </w:p>
    <w:p w:rsidR="00545D1B" w:rsidRPr="00742A04" w:rsidRDefault="00A05847" w:rsidP="00B02D5C">
      <w:pPr>
        <w:pStyle w:val="H1"/>
        <w:ind w:left="1267"/>
        <w:rPr>
          <w:bCs/>
        </w:rPr>
      </w:pPr>
      <w:r w:rsidRPr="00742A04">
        <w:rPr>
          <w:bCs/>
        </w:rPr>
        <w:t xml:space="preserve">Violencia, trata </w:t>
      </w:r>
      <w:r w:rsidR="004D313C" w:rsidRPr="00742A04">
        <w:rPr>
          <w:bCs/>
        </w:rPr>
        <w:t>de mujeres</w:t>
      </w:r>
      <w:r w:rsidRPr="00742A04">
        <w:rPr>
          <w:bCs/>
        </w:rPr>
        <w:t xml:space="preserve"> y prostitución</w:t>
      </w:r>
      <w:bookmarkEnd w:id="24"/>
    </w:p>
    <w:p w:rsidR="008D74DC" w:rsidRPr="00742A04" w:rsidRDefault="008D74DC" w:rsidP="008D74DC">
      <w:pPr>
        <w:pStyle w:val="H23"/>
        <w:spacing w:line="120" w:lineRule="exact"/>
        <w:ind w:left="1267"/>
        <w:rPr>
          <w:b w:val="0"/>
          <w:bCs/>
          <w:sz w:val="10"/>
        </w:rPr>
      </w:pPr>
    </w:p>
    <w:p w:rsidR="00545D1B" w:rsidRPr="00742A04" w:rsidRDefault="00D238A4" w:rsidP="008D74DC">
      <w:pPr>
        <w:pStyle w:val="H23"/>
        <w:ind w:left="1267"/>
      </w:pPr>
      <w:r w:rsidRPr="00742A04">
        <w:rPr>
          <w:bCs/>
        </w:rPr>
        <w:t>Violencia doméstica</w:t>
      </w:r>
      <w:r w:rsidR="00545D1B" w:rsidRPr="00742A04">
        <w:t xml:space="preserve"> </w:t>
      </w:r>
    </w:p>
    <w:p w:rsidR="008D74DC" w:rsidRPr="00742A04" w:rsidRDefault="008D74DC" w:rsidP="008D74DC">
      <w:pPr>
        <w:pStyle w:val="SingleTxt"/>
        <w:spacing w:after="0" w:line="120" w:lineRule="exact"/>
        <w:rPr>
          <w:i/>
          <w:sz w:val="10"/>
        </w:rPr>
      </w:pPr>
    </w:p>
    <w:p w:rsidR="00545D1B" w:rsidRPr="00742A04" w:rsidRDefault="00604B3A" w:rsidP="00604B3A">
      <w:pPr>
        <w:pStyle w:val="SingleTxt"/>
        <w:jc w:val="left"/>
      </w:pPr>
      <w:r w:rsidRPr="00742A04">
        <w:rPr>
          <w:i/>
        </w:rPr>
        <w:t>Estrategias</w:t>
      </w:r>
      <w:r w:rsidR="00545D1B" w:rsidRPr="00742A04">
        <w:rPr>
          <w:i/>
        </w:rPr>
        <w:t xml:space="preserve"> </w:t>
      </w:r>
      <w:r w:rsidRPr="00742A04">
        <w:rPr>
          <w:i/>
        </w:rPr>
        <w:t xml:space="preserve">empleadas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="00502E16" w:rsidRPr="00742A04">
        <w:rPr>
          <w:i/>
        </w:rPr>
        <w:t xml:space="preserve">los </w:t>
      </w:r>
      <w:r w:rsidR="00935A90" w:rsidRPr="00742A04">
        <w:rPr>
          <w:i/>
        </w:rPr>
        <w:t xml:space="preserve">esfuerzos </w:t>
      </w:r>
      <w:r w:rsidRPr="00742A04">
        <w:rPr>
          <w:i/>
        </w:rPr>
        <w:t>de</w:t>
      </w:r>
      <w:r w:rsidR="00935A90" w:rsidRPr="00742A04">
        <w:rPr>
          <w:i/>
        </w:rPr>
        <w:t xml:space="preserve"> </w:t>
      </w:r>
      <w:r w:rsidR="00502E16" w:rsidRPr="00742A04">
        <w:rPr>
          <w:i/>
        </w:rPr>
        <w:t>preven</w:t>
      </w:r>
      <w:r w:rsidRPr="00742A04">
        <w:rPr>
          <w:i/>
        </w:rPr>
        <w:t>ción</w:t>
      </w:r>
      <w:r w:rsidRPr="00742A04">
        <w:rPr>
          <w:i/>
        </w:rPr>
        <w:br/>
        <w:t>de la</w:t>
      </w:r>
      <w:r w:rsidR="00545D1B" w:rsidRPr="00742A04">
        <w:rPr>
          <w:i/>
        </w:rPr>
        <w:t xml:space="preserve"> </w:t>
      </w:r>
      <w:r w:rsidR="00CB2022" w:rsidRPr="00742A04">
        <w:rPr>
          <w:i/>
        </w:rPr>
        <w:t>violencia doméstica</w:t>
      </w:r>
      <w:r w:rsidR="00545D1B" w:rsidRPr="00742A04">
        <w:rPr>
          <w:i/>
        </w:rPr>
        <w:t xml:space="preserve"> </w:t>
      </w:r>
      <w:r w:rsidR="00F650FB" w:rsidRPr="00742A04">
        <w:rPr>
          <w:i/>
        </w:rPr>
        <w:t>c</w:t>
      </w:r>
      <w:r w:rsidR="00F650FB" w:rsidRPr="00742A04">
        <w:rPr>
          <w:i/>
        </w:rPr>
        <w:t>o</w:t>
      </w:r>
      <w:r w:rsidR="00F650FB" w:rsidRPr="00742A04">
        <w:rPr>
          <w:i/>
        </w:rPr>
        <w:t>ntra</w:t>
      </w:r>
      <w:r w:rsidR="00545D1B" w:rsidRPr="00742A04">
        <w:rPr>
          <w:i/>
        </w:rPr>
        <w:t xml:space="preserve"> </w:t>
      </w:r>
      <w:r w:rsidR="000C68A8" w:rsidRPr="00742A04">
        <w:rPr>
          <w:i/>
        </w:rPr>
        <w:t xml:space="preserve">las </w:t>
      </w:r>
      <w:r w:rsidR="00072AD7" w:rsidRPr="00742A04">
        <w:rPr>
          <w:i/>
        </w:rPr>
        <w:t>mujeres</w:t>
      </w:r>
    </w:p>
    <w:p w:rsidR="00545D1B" w:rsidRPr="00742A04" w:rsidRDefault="00F43124" w:rsidP="00021DB5">
      <w:pPr>
        <w:pStyle w:val="SingleTxt"/>
        <w:ind w:firstLine="475"/>
      </w:pPr>
      <w:r w:rsidRPr="00742A04">
        <w:t>Hay</w:t>
      </w:r>
      <w:r w:rsidR="00545D1B" w:rsidRPr="00742A04">
        <w:t xml:space="preserve"> </w:t>
      </w:r>
      <w:r w:rsidR="0003183A" w:rsidRPr="00742A04">
        <w:t>consenso político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3375CC" w:rsidRPr="00742A04">
        <w:t xml:space="preserve">acerca de </w:t>
      </w:r>
      <w:r w:rsidR="000C68A8" w:rsidRPr="00742A04">
        <w:t xml:space="preserve">que la </w:t>
      </w:r>
      <w:r w:rsidR="00550986" w:rsidRPr="00742A04">
        <w:t>violencia contra la mujer</w:t>
      </w:r>
      <w:r w:rsidR="00545D1B" w:rsidRPr="00742A04">
        <w:t xml:space="preserve"> </w:t>
      </w:r>
      <w:r w:rsidR="00673B5D" w:rsidRPr="00742A04">
        <w:t xml:space="preserve">no es </w:t>
      </w:r>
      <w:r w:rsidR="004F2F8A" w:rsidRPr="00742A04">
        <w:t>un asunto privado</w:t>
      </w:r>
      <w:r w:rsidR="00545D1B" w:rsidRPr="00742A04">
        <w:t xml:space="preserve">, </w:t>
      </w:r>
      <w:r w:rsidR="00024DBC" w:rsidRPr="00742A04">
        <w:t>y que</w:t>
      </w:r>
      <w:r w:rsidR="00545D1B" w:rsidRPr="00742A04">
        <w:t xml:space="preserve"> </w:t>
      </w:r>
      <w:r w:rsidR="004F2F8A" w:rsidRPr="00742A04">
        <w:t xml:space="preserve">las </w:t>
      </w:r>
      <w:r w:rsidR="00552048" w:rsidRPr="00742A04">
        <w:t>autoridades públicas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4F2F8A" w:rsidRPr="00742A04">
        <w:t>responsables</w:t>
      </w:r>
      <w:r w:rsidR="00545D1B" w:rsidRPr="00742A04">
        <w:t xml:space="preserve"> </w:t>
      </w:r>
      <w:r w:rsidR="004F2F8A" w:rsidRPr="00742A04">
        <w:t>de prevenir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F5B12" w:rsidRPr="00742A04">
        <w:t>contribuir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4F2F8A" w:rsidRPr="00742A04">
        <w:t>evitar</w:t>
      </w:r>
      <w:r w:rsidR="00545D1B" w:rsidRPr="00742A04">
        <w:t xml:space="preserve"> </w:t>
      </w:r>
      <w:r w:rsidR="004F2F8A" w:rsidRPr="00742A04">
        <w:t>este tipo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. </w:t>
      </w:r>
      <w:r w:rsidR="00232DF9" w:rsidRPr="00742A04">
        <w:t>Los</w:t>
      </w:r>
      <w:r w:rsidR="00502E16" w:rsidRPr="00742A04">
        <w:t xml:space="preserve"> esfuerzos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F2F8A" w:rsidRPr="00742A04">
        <w:t xml:space="preserve">las </w:t>
      </w:r>
      <w:r w:rsidR="00552048" w:rsidRPr="00742A04">
        <w:t>autoridades públ</w:t>
      </w:r>
      <w:r w:rsidR="00552048" w:rsidRPr="00742A04">
        <w:t>i</w:t>
      </w:r>
      <w:r w:rsidR="00552048" w:rsidRPr="00742A04">
        <w:t>cas</w:t>
      </w:r>
      <w:r w:rsidR="00545D1B" w:rsidRPr="00742A04">
        <w:t xml:space="preserve"> </w:t>
      </w:r>
      <w:r w:rsidR="003C5A2B" w:rsidRPr="00742A04">
        <w:t>se basan</w:t>
      </w:r>
      <w:r w:rsidR="006137EC" w:rsidRPr="00742A04">
        <w:t xml:space="preserve"> en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4F2F8A" w:rsidRPr="00742A04">
        <w:t>reconocimiento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F2F8A" w:rsidRPr="00742A04">
        <w:t>esa</w:t>
      </w:r>
      <w:r w:rsidR="00545D1B" w:rsidRPr="00742A04">
        <w:t xml:space="preserve"> </w:t>
      </w:r>
      <w:r w:rsidR="008E5EBF" w:rsidRPr="00742A04">
        <w:t>responsabilidad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4D313C" w:rsidRPr="00742A04">
        <w:t>los últimos años</w:t>
      </w:r>
      <w:r w:rsidR="00545D1B" w:rsidRPr="00742A04">
        <w:t xml:space="preserve">, </w:t>
      </w:r>
      <w:r w:rsidR="004F2F8A" w:rsidRPr="00742A04">
        <w:t xml:space="preserve">las </w:t>
      </w:r>
      <w:r w:rsidR="00D42876" w:rsidRPr="00742A04">
        <w:t>aut</w:t>
      </w:r>
      <w:r w:rsidR="00D42876" w:rsidRPr="00742A04">
        <w:t>o</w:t>
      </w:r>
      <w:r w:rsidR="00D42876" w:rsidRPr="00742A04">
        <w:t>ridades de Noruega</w:t>
      </w:r>
      <w:r w:rsidR="00545D1B" w:rsidRPr="00742A04">
        <w:t xml:space="preserve"> </w:t>
      </w:r>
      <w:r w:rsidR="004F2F8A" w:rsidRPr="00742A04">
        <w:t>han aplicado</w:t>
      </w:r>
      <w:r w:rsidR="00545D1B" w:rsidRPr="00742A04">
        <w:t xml:space="preserve"> </w:t>
      </w:r>
      <w:r w:rsidR="004F2F8A" w:rsidRPr="00742A04">
        <w:t>una gran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7C341F" w:rsidRPr="00742A04">
        <w:t>de lucha contra la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 xml:space="preserve">. </w:t>
      </w:r>
      <w:r w:rsidRPr="00742A04">
        <w:t>Esos</w:t>
      </w:r>
      <w:r w:rsidR="00502E16" w:rsidRPr="00742A04">
        <w:t xml:space="preserve"> esfuerzos</w:t>
      </w:r>
      <w:r w:rsidR="00545D1B" w:rsidRPr="00742A04">
        <w:t xml:space="preserve"> </w:t>
      </w:r>
      <w:r w:rsidR="004F2F8A" w:rsidRPr="00742A04">
        <w:t xml:space="preserve">se </w:t>
      </w:r>
      <w:r w:rsidR="00545D1B" w:rsidRPr="00742A04">
        <w:t>ha</w:t>
      </w:r>
      <w:r w:rsidR="004F2F8A" w:rsidRPr="00742A04">
        <w:t>n canalizado</w:t>
      </w:r>
      <w:r w:rsidR="00545D1B" w:rsidRPr="00742A04">
        <w:t xml:space="preserve"> </w:t>
      </w:r>
      <w:r w:rsidR="007E0DFE" w:rsidRPr="00742A04">
        <w:t>esencia</w:t>
      </w:r>
      <w:r w:rsidR="005F7B32" w:rsidRPr="00742A04">
        <w:t xml:space="preserve">lmente </w:t>
      </w:r>
      <w:r w:rsidR="004F2F8A" w:rsidRPr="00742A04">
        <w:t>mediante</w:t>
      </w:r>
      <w:r w:rsidR="00545D1B" w:rsidRPr="00742A04">
        <w:t xml:space="preserve"> </w:t>
      </w:r>
      <w:r w:rsidR="007C341F" w:rsidRPr="00742A04">
        <w:t>dos planes de acción del Gobierno: el Plan de Acción de Lucha contra la</w:t>
      </w:r>
      <w:r w:rsidR="00545D1B" w:rsidRPr="00742A04">
        <w:t xml:space="preserve"> </w:t>
      </w:r>
      <w:r w:rsidR="0046110E" w:rsidRPr="00742A04">
        <w:t xml:space="preserve">Violencia </w:t>
      </w:r>
      <w:r w:rsidR="00704D87">
        <w:t>con</w:t>
      </w:r>
      <w:r w:rsidR="00704D87">
        <w:softHyphen/>
      </w:r>
      <w:r w:rsidR="0046110E" w:rsidRPr="00742A04">
        <w:t>tra</w:t>
      </w:r>
      <w:r w:rsidR="00704D87">
        <w:t xml:space="preserve"> </w:t>
      </w:r>
      <w:r w:rsidR="0046110E" w:rsidRPr="00742A04">
        <w:t>la Mujer</w:t>
      </w:r>
      <w:r w:rsidR="00545D1B" w:rsidRPr="00742A04">
        <w:t xml:space="preserve"> (2000-2003) </w:t>
      </w:r>
      <w:r w:rsidR="00BB4DB1" w:rsidRPr="00742A04">
        <w:t xml:space="preserve">y el </w:t>
      </w:r>
      <w:r w:rsidR="007C341F" w:rsidRPr="00742A04">
        <w:t>Plan de Acción de Lucha contra</w:t>
      </w:r>
      <w:r w:rsidR="00A30B35" w:rsidRPr="00742A04">
        <w:t xml:space="preserve"> la </w:t>
      </w:r>
      <w:r w:rsidR="005E603B" w:rsidRPr="00742A04">
        <w:t>Violencia Domést</w:t>
      </w:r>
      <w:r w:rsidR="005E603B" w:rsidRPr="00742A04">
        <w:t>i</w:t>
      </w:r>
      <w:r w:rsidR="005E603B" w:rsidRPr="00742A04">
        <w:t>ca</w:t>
      </w:r>
      <w:r w:rsidR="00545D1B" w:rsidRPr="00742A04">
        <w:t xml:space="preserve"> (2004-2007).</w:t>
      </w:r>
    </w:p>
    <w:p w:rsidR="00545D1B" w:rsidRPr="00742A04" w:rsidRDefault="004F2F8A" w:rsidP="00021DB5">
      <w:pPr>
        <w:pStyle w:val="SingleTxt"/>
        <w:ind w:firstLine="475"/>
      </w:pPr>
      <w:r w:rsidRPr="00742A04">
        <w:t xml:space="preserve">La implementación del </w:t>
      </w:r>
      <w:r w:rsidR="00C05B34" w:rsidRPr="00742A04">
        <w:t>Plan</w:t>
      </w:r>
      <w:r w:rsidR="00F650FB" w:rsidRPr="00742A04">
        <w:t xml:space="preserve"> de Acción</w:t>
      </w:r>
      <w:r w:rsidR="00545D1B" w:rsidRPr="00742A04">
        <w:t xml:space="preserve"> </w:t>
      </w:r>
      <w:r w:rsidR="007C341F" w:rsidRPr="00742A04">
        <w:t>de Lucha contra la</w:t>
      </w:r>
      <w:r w:rsidR="00545D1B" w:rsidRPr="00742A04">
        <w:t xml:space="preserve"> </w:t>
      </w:r>
      <w:r w:rsidR="0046110E" w:rsidRPr="00742A04">
        <w:t>Violencia contra la Mujer</w:t>
      </w:r>
      <w:r w:rsidR="00545D1B" w:rsidRPr="00742A04">
        <w:t xml:space="preserve"> </w:t>
      </w:r>
      <w:r w:rsidRPr="00742A04">
        <w:t>produjo</w:t>
      </w:r>
      <w:r w:rsidR="00545D1B" w:rsidRPr="00742A04">
        <w:t xml:space="preserve"> </w:t>
      </w:r>
      <w:r w:rsidRPr="00742A04">
        <w:t>resultados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0C68A8" w:rsidRPr="00742A04">
        <w:t>puso de relieve</w:t>
      </w:r>
      <w:r w:rsidR="00545D1B" w:rsidRPr="00742A04">
        <w:t xml:space="preserve"> </w:t>
      </w:r>
      <w:r w:rsidRPr="00742A04">
        <w:t>puntos débiles, así como</w:t>
      </w:r>
      <w:r w:rsidR="00545D1B" w:rsidRPr="00742A04">
        <w:t xml:space="preserve"> </w:t>
      </w:r>
      <w:r w:rsidR="00B31D97" w:rsidRPr="00742A04">
        <w:t>la necesidad de</w:t>
      </w:r>
      <w:r w:rsidR="00545D1B" w:rsidRPr="00742A04">
        <w:t xml:space="preserve"> </w:t>
      </w:r>
      <w:r w:rsidR="00B31D97" w:rsidRPr="00742A04">
        <w:t>intensificar</w:t>
      </w:r>
      <w:r w:rsidR="00545D1B" w:rsidRPr="00742A04">
        <w:t xml:space="preserve"> </w:t>
      </w:r>
      <w:r w:rsidR="00502E16" w:rsidRPr="00742A04">
        <w:t>los esfuerzos</w:t>
      </w:r>
      <w:r w:rsidR="00545D1B" w:rsidRPr="00742A04">
        <w:t xml:space="preserve">, </w:t>
      </w:r>
      <w:r w:rsidR="00230F13" w:rsidRPr="00742A04">
        <w:t>en particular</w:t>
      </w:r>
      <w:r w:rsidR="00545D1B" w:rsidRPr="00742A04">
        <w:t xml:space="preserve"> </w:t>
      </w:r>
      <w:r w:rsidR="00B31D97" w:rsidRPr="00742A04">
        <w:t xml:space="preserve">respecto </w:t>
      </w:r>
      <w:r w:rsidR="00C076F2" w:rsidRPr="00742A04">
        <w:t xml:space="preserve">de los </w:t>
      </w:r>
      <w:r w:rsidR="002F3238" w:rsidRPr="00742A04">
        <w:t>niños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E603B" w:rsidRPr="00742A04">
        <w:t>pr</w:t>
      </w:r>
      <w:r w:rsidR="005E603B" w:rsidRPr="00742A04">
        <w:t>e</w:t>
      </w:r>
      <w:r w:rsidR="005E603B" w:rsidRPr="00742A04">
        <w:t>sencian actos de 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6F2" w:rsidRPr="00742A04">
        <w:t xml:space="preserve">de los </w:t>
      </w:r>
      <w:r w:rsidR="00704D87">
        <w:t>infractores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31D97" w:rsidRPr="00742A04">
        <w:t>actos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vi</w:t>
      </w:r>
      <w:r w:rsidR="00A05847" w:rsidRPr="00742A04">
        <w:t>o</w:t>
      </w:r>
      <w:r w:rsidR="00A05847" w:rsidRPr="00742A04">
        <w:t>lencia</w:t>
      </w:r>
      <w:r w:rsidR="00545D1B" w:rsidRPr="00742A04">
        <w:t>.</w:t>
      </w:r>
    </w:p>
    <w:p w:rsidR="00545D1B" w:rsidRPr="00742A04" w:rsidRDefault="004A0730" w:rsidP="00021DB5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CE1CFC" w:rsidRPr="00742A04">
        <w:t>diciembre de</w:t>
      </w:r>
      <w:r w:rsidR="00545D1B" w:rsidRPr="00742A04">
        <w:t xml:space="preserve"> 2003</w:t>
      </w:r>
      <w:r w:rsidR="00B31D97" w:rsidRPr="00742A04">
        <w:t>,</w:t>
      </w:r>
      <w:r w:rsidR="00545D1B" w:rsidRPr="00742A04">
        <w:t xml:space="preserve"> </w:t>
      </w:r>
      <w:r w:rsidR="00CE1CFC" w:rsidRPr="00742A04">
        <w:t xml:space="preserve">el </w:t>
      </w:r>
      <w:r w:rsidR="0046110E" w:rsidRPr="00742A04">
        <w:t>Comité sobre la Violencia contra la Mujer</w:t>
      </w:r>
      <w:r w:rsidR="00545D1B" w:rsidRPr="00742A04">
        <w:t xml:space="preserve">, </w:t>
      </w:r>
      <w:r w:rsidR="00B31D97" w:rsidRPr="00742A04">
        <w:t>que era un comité</w:t>
      </w:r>
      <w:r w:rsidR="00545D1B" w:rsidRPr="00742A04">
        <w:t xml:space="preserve"> </w:t>
      </w:r>
      <w:r w:rsidR="00614C7D" w:rsidRPr="00742A04">
        <w:t>independiente</w:t>
      </w:r>
      <w:r w:rsidR="00545D1B" w:rsidRPr="00742A04">
        <w:t xml:space="preserve">, </w:t>
      </w:r>
      <w:r w:rsidR="00B31D97" w:rsidRPr="00742A04">
        <w:t>presentó</w:t>
      </w:r>
      <w:r w:rsidR="00545D1B" w:rsidRPr="00742A04">
        <w:t xml:space="preserve"> </w:t>
      </w:r>
      <w:r w:rsidRPr="00742A04">
        <w:t>su</w:t>
      </w:r>
      <w:r w:rsidR="00545D1B" w:rsidRPr="00742A04">
        <w:t xml:space="preserve"> </w:t>
      </w:r>
      <w:r w:rsidR="00B31D97" w:rsidRPr="00742A04">
        <w:t>informe</w:t>
      </w:r>
      <w:r w:rsidR="00545D1B" w:rsidRPr="00742A04">
        <w:t xml:space="preserve"> (NOU 2003: 31 </w:t>
      </w:r>
      <w:r w:rsidR="00545D1B" w:rsidRPr="00742A04">
        <w:rPr>
          <w:i/>
        </w:rPr>
        <w:t xml:space="preserve">Retten til et liv uten vold </w:t>
      </w:r>
      <w:r w:rsidR="00545D1B" w:rsidRPr="00742A04">
        <w:t>(</w:t>
      </w:r>
      <w:r w:rsidR="0046110E" w:rsidRPr="00742A04">
        <w:t>Informe Oficial de Noruega</w:t>
      </w:r>
      <w:r w:rsidR="00545D1B" w:rsidRPr="00742A04">
        <w:t xml:space="preserve"> 2003:31</w:t>
      </w:r>
      <w:r w:rsidR="000C68A8" w:rsidRPr="00742A04">
        <w:t>, titulado</w:t>
      </w:r>
      <w:r w:rsidR="00545D1B" w:rsidRPr="00742A04">
        <w:t xml:space="preserve"> </w:t>
      </w:r>
      <w:r w:rsidR="00B31D97" w:rsidRPr="00742A04">
        <w:t>“</w:t>
      </w:r>
      <w:r w:rsidR="000C68A8" w:rsidRPr="00742A04">
        <w:t>El Derecho a una Vida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A05847" w:rsidRPr="00742A04">
        <w:t>Viole</w:t>
      </w:r>
      <w:r w:rsidR="00A05847" w:rsidRPr="00742A04">
        <w:t>n</w:t>
      </w:r>
      <w:r w:rsidR="00A05847" w:rsidRPr="00742A04">
        <w:t>cia</w:t>
      </w:r>
      <w:r w:rsidR="00B31D97" w:rsidRPr="00742A04">
        <w:t>”</w:t>
      </w:r>
      <w:r w:rsidR="00545D1B" w:rsidRPr="00742A04">
        <w:t xml:space="preserve">). </w:t>
      </w:r>
      <w:r w:rsidRPr="00742A04">
        <w:t>En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="00B31D97" w:rsidRPr="00742A04">
        <w:t>se proponen</w:t>
      </w:r>
      <w:r w:rsidR="00545D1B" w:rsidRPr="00742A04">
        <w:t xml:space="preserve"> </w:t>
      </w:r>
      <w:r w:rsidR="00B31D97" w:rsidRPr="00742A04">
        <w:t>varias medidas para mejorar</w:t>
      </w:r>
      <w:r w:rsidR="00545D1B" w:rsidRPr="00742A04">
        <w:t xml:space="preserve"> </w:t>
      </w:r>
      <w:r w:rsidR="000472FC" w:rsidRPr="00742A04">
        <w:t>la situación</w:t>
      </w:r>
      <w:r w:rsidR="00C14BFF" w:rsidRPr="00742A04">
        <w:t xml:space="preserve"> </w:t>
      </w:r>
      <w:r w:rsidR="004D313C" w:rsidRPr="00742A04">
        <w:t>de las m</w:t>
      </w:r>
      <w:r w:rsidR="004D313C" w:rsidRPr="00742A04">
        <w:t>u</w:t>
      </w:r>
      <w:r w:rsidR="004D313C" w:rsidRPr="00742A04">
        <w:t>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 xml:space="preserve">, </w:t>
      </w:r>
      <w:r w:rsidR="006137EC" w:rsidRPr="00742A04">
        <w:t xml:space="preserve">por </w:t>
      </w:r>
      <w:r w:rsidR="00040B78" w:rsidRPr="00742A04">
        <w:t>ejemplo</w:t>
      </w:r>
      <w:r w:rsidR="00B31D97" w:rsidRPr="00742A04">
        <w:t>,</w:t>
      </w:r>
      <w:r w:rsidR="00545D1B" w:rsidRPr="00742A04">
        <w:t xml:space="preserve"> </w:t>
      </w:r>
      <w:r w:rsidR="00B31D97" w:rsidRPr="00742A04">
        <w:t>fortalecie</w:t>
      </w:r>
      <w:r w:rsidR="00B31D97" w:rsidRPr="00742A04">
        <w:t>n</w:t>
      </w:r>
      <w:r w:rsidR="00B31D97" w:rsidRPr="00742A04">
        <w:t>do</w:t>
      </w:r>
      <w:r w:rsidR="00545D1B" w:rsidRPr="00742A04">
        <w:t xml:space="preserve"> </w:t>
      </w:r>
      <w:r w:rsidR="00B31D97" w:rsidRPr="00742A04">
        <w:t>los programas de tratamiento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31D97" w:rsidRPr="00742A04">
        <w:t xml:space="preserve">los </w:t>
      </w:r>
      <w:r w:rsidR="00704D87">
        <w:t>infractores</w:t>
      </w:r>
      <w:r w:rsidR="002E5047" w:rsidRPr="00742A04">
        <w:t xml:space="preserve"> </w:t>
      </w:r>
      <w:r w:rsidR="00B31D97" w:rsidRPr="00742A04">
        <w:t>y mejorando</w:t>
      </w:r>
      <w:r w:rsidR="00545D1B" w:rsidRPr="00742A04">
        <w:t xml:space="preserve"> </w:t>
      </w:r>
      <w:r w:rsidR="00B31D97" w:rsidRPr="00742A04">
        <w:t>los servicios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E603B" w:rsidRPr="00742A04">
        <w:t>presencian actos de violencia</w:t>
      </w:r>
      <w:r w:rsidR="00B31D97" w:rsidRPr="00742A04">
        <w:t>, así como</w:t>
      </w:r>
      <w:r w:rsidR="00545D1B" w:rsidRPr="00742A04">
        <w:t xml:space="preserve"> </w:t>
      </w:r>
      <w:r w:rsidR="00B31D97" w:rsidRPr="00742A04">
        <w:t>incorporando</w:t>
      </w:r>
      <w:r w:rsidR="00B05988" w:rsidRPr="00742A04">
        <w:t xml:space="preserve"> un</w:t>
      </w:r>
      <w:r w:rsidR="00B31D97" w:rsidRPr="00742A04">
        <w:t>a nueva</w:t>
      </w:r>
      <w:r w:rsidR="00545D1B" w:rsidRPr="00742A04">
        <w:t xml:space="preserve"> </w:t>
      </w:r>
      <w:r w:rsidR="00B31D97" w:rsidRPr="00742A04">
        <w:t>di</w:t>
      </w:r>
      <w:r w:rsidR="00B31D97" w:rsidRPr="00742A04">
        <w:t>s</w:t>
      </w:r>
      <w:r w:rsidR="00B31D97" w:rsidRPr="00742A04">
        <w:t>posición penal</w:t>
      </w:r>
      <w:r w:rsidR="005E6919" w:rsidRPr="00742A04">
        <w:t xml:space="preserve"> </w:t>
      </w:r>
      <w:r w:rsidR="00B31D97" w:rsidRPr="00742A04">
        <w:t>que tipifique la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B31D97" w:rsidRPr="00742A04">
        <w:t>Esas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6137EC" w:rsidRPr="00742A04">
        <w:t>s</w:t>
      </w:r>
      <w:r w:rsidR="00B31D97" w:rsidRPr="00742A04">
        <w:t>e</w:t>
      </w:r>
      <w:r w:rsidR="00545D1B" w:rsidRPr="00742A04">
        <w:t xml:space="preserve"> </w:t>
      </w:r>
      <w:r w:rsidR="00B31D97" w:rsidRPr="00742A04">
        <w:t>están</w:t>
      </w:r>
      <w:r w:rsidR="00545D1B" w:rsidRPr="00742A04">
        <w:t xml:space="preserve"> implement</w:t>
      </w:r>
      <w:r w:rsidR="00B31D97" w:rsidRPr="00742A04">
        <w:t>ando</w:t>
      </w:r>
      <w:r w:rsidR="00545D1B" w:rsidRPr="00742A04">
        <w:t xml:space="preserve"> </w:t>
      </w:r>
      <w:r w:rsidR="00C14BFF" w:rsidRPr="00742A04">
        <w:t>en</w:t>
      </w:r>
      <w:r w:rsidR="00C05B34" w:rsidRPr="00742A04">
        <w:t xml:space="preserve"> el Plan</w:t>
      </w:r>
      <w:r w:rsidR="00F650FB" w:rsidRPr="00742A04">
        <w:t xml:space="preserve"> de A</w:t>
      </w:r>
      <w:r w:rsidR="00F650FB" w:rsidRPr="00742A04">
        <w:t>c</w:t>
      </w:r>
      <w:r w:rsidR="00F650FB" w:rsidRPr="00742A04">
        <w:t>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2004-2007.</w:t>
      </w:r>
    </w:p>
    <w:p w:rsidR="00545D1B" w:rsidRPr="00742A04" w:rsidRDefault="004A0730" w:rsidP="00021DB5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EA776F" w:rsidRPr="00742A04">
        <w:t>junio de</w:t>
      </w:r>
      <w:r w:rsidR="00545D1B" w:rsidRPr="00742A04">
        <w:t xml:space="preserve"> 2004</w:t>
      </w:r>
      <w:r w:rsidR="00C05B34" w:rsidRPr="00742A04">
        <w:t xml:space="preserve"> </w:t>
      </w:r>
      <w:r w:rsidR="00B31D97" w:rsidRPr="00742A04">
        <w:t xml:space="preserve">se lanzó </w:t>
      </w:r>
      <w:r w:rsidR="00C05B34" w:rsidRPr="00742A04">
        <w:t>el Plan</w:t>
      </w:r>
      <w:r w:rsidR="00F650FB" w:rsidRPr="00742A04">
        <w:t xml:space="preserve"> de Acción</w:t>
      </w:r>
      <w:r w:rsidR="00545D1B" w:rsidRPr="00742A04">
        <w:t xml:space="preserve"> </w:t>
      </w:r>
      <w:r w:rsidR="007C341F" w:rsidRPr="00742A04">
        <w:t>de Lucha contra</w:t>
      </w:r>
      <w:r w:rsidR="00A30B35" w:rsidRPr="00742A04">
        <w:t xml:space="preserve"> la </w:t>
      </w:r>
      <w:r w:rsidR="005E603B" w:rsidRPr="00742A04">
        <w:t>Violencia D</w:t>
      </w:r>
      <w:r w:rsidR="005E603B" w:rsidRPr="00742A04">
        <w:t>o</w:t>
      </w:r>
      <w:r w:rsidR="005E603B" w:rsidRPr="00742A04">
        <w:t>méstica</w:t>
      </w:r>
      <w:r w:rsidR="00545D1B" w:rsidRPr="00742A04">
        <w:t xml:space="preserve"> </w:t>
      </w:r>
      <w:r w:rsidR="00B31D97" w:rsidRPr="00742A04">
        <w:t xml:space="preserve">para </w:t>
      </w:r>
      <w:r w:rsidR="00CF2F77" w:rsidRPr="00742A04">
        <w:t>asegurar</w:t>
      </w:r>
      <w:r w:rsidR="00545D1B" w:rsidRPr="00742A04">
        <w:t xml:space="preserve"> </w:t>
      </w:r>
      <w:r w:rsidR="00B31D97" w:rsidRPr="00742A04">
        <w:t xml:space="preserve">la </w:t>
      </w:r>
      <w:r w:rsidR="00545D1B" w:rsidRPr="00742A04">
        <w:t>continu</w:t>
      </w:r>
      <w:r w:rsidR="00502E16" w:rsidRPr="00742A04">
        <w:t>idad</w:t>
      </w:r>
      <w:r w:rsidR="00545D1B" w:rsidRPr="00742A04">
        <w:t xml:space="preserve"> </w:t>
      </w:r>
      <w:r w:rsidR="00C076F2" w:rsidRPr="00742A04">
        <w:t xml:space="preserve">de los </w:t>
      </w:r>
      <w:r w:rsidR="00502E16" w:rsidRPr="00742A04">
        <w:t>esfuerzos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. </w:t>
      </w:r>
      <w:r w:rsidR="008A0C75" w:rsidRPr="00742A04">
        <w:t xml:space="preserve">El Plan </w:t>
      </w:r>
      <w:r w:rsidR="005E6919" w:rsidRPr="00742A04">
        <w:t>co</w:t>
      </w:r>
      <w:r w:rsidR="005E6919" w:rsidRPr="00742A04">
        <w:t>m</w:t>
      </w:r>
      <w:r w:rsidR="005E6919" w:rsidRPr="00742A04">
        <w:t>prende</w:t>
      </w:r>
      <w:r w:rsidR="00545D1B" w:rsidRPr="00742A04">
        <w:t xml:space="preserve"> 30 </w:t>
      </w:r>
      <w:r w:rsidR="00893DF9" w:rsidRPr="00742A04">
        <w:t>medidas específicas</w:t>
      </w:r>
      <w:r w:rsidR="00545D1B" w:rsidRPr="00742A04">
        <w:t xml:space="preserve"> </w:t>
      </w:r>
      <w:r w:rsidR="00B31D97" w:rsidRPr="00742A04">
        <w:t xml:space="preserve">que pueden agruparse en las </w:t>
      </w:r>
      <w:r w:rsidR="00A60159" w:rsidRPr="00742A04">
        <w:t>cuatro</w:t>
      </w:r>
      <w:r w:rsidR="00545D1B" w:rsidRPr="00742A04">
        <w:t xml:space="preserve"> </w:t>
      </w:r>
      <w:r w:rsidR="00417824" w:rsidRPr="00742A04">
        <w:t>categorías</w:t>
      </w:r>
      <w:r w:rsidR="00B31D97" w:rsidRPr="00742A04">
        <w:t xml:space="preserve"> princ</w:t>
      </w:r>
      <w:r w:rsidR="00B31D97" w:rsidRPr="00742A04">
        <w:t>i</w:t>
      </w:r>
      <w:r w:rsidR="00B31D97" w:rsidRPr="00742A04">
        <w:t>pales siguientes</w:t>
      </w:r>
      <w:r w:rsidR="00545D1B" w:rsidRPr="00742A04">
        <w:t>:</w:t>
      </w:r>
    </w:p>
    <w:p w:rsidR="00545D1B" w:rsidRPr="00742A04" w:rsidRDefault="00B31D97" w:rsidP="00021DB5">
      <w:pPr>
        <w:pStyle w:val="SingleTxt"/>
        <w:numPr>
          <w:ilvl w:val="0"/>
          <w:numId w:val="38"/>
        </w:numPr>
        <w:tabs>
          <w:tab w:val="clear" w:pos="1742"/>
        </w:tabs>
      </w:pPr>
      <w:r w:rsidRPr="00742A04">
        <w:t>Esfuerzos</w:t>
      </w:r>
      <w:r w:rsidR="00935A90" w:rsidRPr="00742A04">
        <w:t xml:space="preserve"> por </w:t>
      </w:r>
      <w:r w:rsidRPr="00742A04">
        <w:t>mejorar</w:t>
      </w:r>
      <w:r w:rsidR="00545D1B" w:rsidRPr="00742A04">
        <w:t xml:space="preserve"> </w:t>
      </w:r>
      <w:r w:rsidRPr="00742A04">
        <w:t>el nivel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3E5775" w:rsidRPr="00742A04">
        <w:t>conocimiento</w:t>
      </w:r>
      <w:r w:rsidR="00545D1B" w:rsidRPr="00742A04">
        <w:t xml:space="preserve"> </w:t>
      </w:r>
      <w:r w:rsidR="00C076F2" w:rsidRPr="00742A04">
        <w:t xml:space="preserve">de los </w:t>
      </w:r>
      <w:r w:rsidRPr="00742A04">
        <w:t>serv</w:t>
      </w:r>
      <w:r w:rsidRPr="00742A04">
        <w:t>i</w:t>
      </w:r>
      <w:r w:rsidRPr="00742A04">
        <w:t>cios de apoyo</w:t>
      </w:r>
      <w:r w:rsidR="00545D1B" w:rsidRPr="00742A04">
        <w:t xml:space="preserve"> </w:t>
      </w:r>
    </w:p>
    <w:p w:rsidR="00545D1B" w:rsidRPr="00742A04" w:rsidRDefault="00B31D97" w:rsidP="00021DB5">
      <w:pPr>
        <w:pStyle w:val="SingleTxt"/>
        <w:numPr>
          <w:ilvl w:val="0"/>
          <w:numId w:val="38"/>
        </w:numPr>
        <w:tabs>
          <w:tab w:val="clear" w:pos="1742"/>
        </w:tabs>
      </w:pPr>
      <w:r w:rsidRPr="00742A04">
        <w:t>Esfuerzos</w:t>
      </w:r>
      <w:r w:rsidR="00935A90" w:rsidRPr="00742A04">
        <w:t xml:space="preserve"> por </w:t>
      </w:r>
      <w:r w:rsidR="00242371" w:rsidRPr="00742A04">
        <w:t>incrementar</w:t>
      </w:r>
      <w:r w:rsidR="00545D1B" w:rsidRPr="00742A04">
        <w:t xml:space="preserve"> </w:t>
      </w:r>
      <w:r w:rsidRPr="00742A04">
        <w:t>el nivel de conciencia</w:t>
      </w:r>
      <w:r w:rsidR="00545D1B" w:rsidRPr="00742A04">
        <w:t xml:space="preserve"> </w:t>
      </w:r>
      <w:r w:rsidRPr="00742A04">
        <w:t xml:space="preserve">sobre la </w:t>
      </w:r>
      <w:r w:rsidR="00CB2022" w:rsidRPr="00742A04">
        <w:t>violencia domé</w:t>
      </w:r>
      <w:r w:rsidR="00CB2022" w:rsidRPr="00742A04">
        <w:t>s</w:t>
      </w:r>
      <w:r w:rsidR="00CB2022" w:rsidRPr="00742A04">
        <w:t>tica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por evitarla</w:t>
      </w:r>
      <w:r w:rsidR="00545D1B" w:rsidRPr="00742A04">
        <w:t xml:space="preserve"> </w:t>
      </w:r>
      <w:r w:rsidRPr="00742A04">
        <w:t>cambiando</w:t>
      </w:r>
      <w:r w:rsidR="00545D1B" w:rsidRPr="00742A04">
        <w:t xml:space="preserve"> </w:t>
      </w:r>
      <w:r w:rsidR="007E0DFE" w:rsidRPr="00742A04">
        <w:t>las actitudes</w:t>
      </w:r>
    </w:p>
    <w:p w:rsidR="00545D1B" w:rsidRPr="00742A04" w:rsidRDefault="00B31D97" w:rsidP="00021DB5">
      <w:pPr>
        <w:pStyle w:val="SingleTxt"/>
        <w:numPr>
          <w:ilvl w:val="0"/>
          <w:numId w:val="38"/>
        </w:numPr>
        <w:tabs>
          <w:tab w:val="clear" w:pos="1742"/>
        </w:tabs>
      </w:pPr>
      <w:r w:rsidRPr="00742A04">
        <w:t>Esfuerzos</w:t>
      </w:r>
      <w:r w:rsidR="00935A90" w:rsidRPr="00742A04">
        <w:t xml:space="preserve"> por </w:t>
      </w:r>
      <w:r w:rsidRPr="00742A04">
        <w:t>asegurar que</w:t>
      </w:r>
      <w:r w:rsidR="00545D1B" w:rsidRPr="00742A04">
        <w:t xml:space="preserve"> </w:t>
      </w:r>
      <w:r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 </w:t>
      </w:r>
      <w:r w:rsidR="00CB2022" w:rsidRPr="00742A04">
        <w:t>violencia doméstica</w:t>
      </w:r>
      <w:r w:rsidR="00545D1B" w:rsidRPr="00742A04">
        <w:t xml:space="preserve"> rec</w:t>
      </w:r>
      <w:r w:rsidRPr="00742A04">
        <w:t>iban</w:t>
      </w:r>
      <w:r w:rsidR="00545D1B" w:rsidRPr="00742A04">
        <w:t xml:space="preserve"> </w:t>
      </w:r>
      <w:r w:rsidRPr="00742A04">
        <w:t>ayuda</w:t>
      </w:r>
      <w:r w:rsidR="00545D1B" w:rsidRPr="00742A04">
        <w:t>, protec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502E16" w:rsidRPr="00742A04">
        <w:t>asistencia</w:t>
      </w:r>
      <w:r w:rsidRPr="00742A04">
        <w:t xml:space="preserve"> adecuados</w:t>
      </w:r>
    </w:p>
    <w:p w:rsidR="00545D1B" w:rsidRPr="00742A04" w:rsidRDefault="00B31D97" w:rsidP="00021DB5">
      <w:pPr>
        <w:pStyle w:val="SingleTxt"/>
        <w:numPr>
          <w:ilvl w:val="0"/>
          <w:numId w:val="38"/>
        </w:numPr>
        <w:tabs>
          <w:tab w:val="clear" w:pos="1742"/>
        </w:tabs>
      </w:pPr>
      <w:r w:rsidRPr="00742A04">
        <w:t>Esfuerzos</w:t>
      </w:r>
      <w:r w:rsidR="00935A90" w:rsidRPr="00742A04">
        <w:t xml:space="preserve"> por </w:t>
      </w:r>
      <w:r w:rsidRPr="00742A04">
        <w:t>quebrar</w:t>
      </w:r>
      <w:r w:rsidR="00545D1B" w:rsidRPr="00742A04">
        <w:t xml:space="preserve"> </w:t>
      </w:r>
      <w:r w:rsidRPr="00742A04">
        <w:t>la espiral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Pr="00742A04">
        <w:t>fortaleciendo</w:t>
      </w:r>
      <w:r w:rsidR="00545D1B" w:rsidRPr="00742A04">
        <w:t xml:space="preserve"> </w:t>
      </w:r>
      <w:r w:rsidRPr="00742A04">
        <w:t>los programas de tr</w:t>
      </w:r>
      <w:r w:rsidRPr="00742A04">
        <w:t>a</w:t>
      </w:r>
      <w:r w:rsidRPr="00742A04">
        <w:t>tamiento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los </w:t>
      </w:r>
      <w:r w:rsidR="00704D87">
        <w:t>infractores</w:t>
      </w:r>
    </w:p>
    <w:p w:rsidR="00021DB5" w:rsidRPr="00742A04" w:rsidRDefault="00A30B35" w:rsidP="00021DB5">
      <w:pPr>
        <w:pStyle w:val="SingleTxt"/>
        <w:ind w:firstLine="475"/>
      </w:pPr>
      <w:r w:rsidRPr="00742A04">
        <w:t>A fin de alentar a una mayor cantidad de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violencia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que se po</w:t>
      </w:r>
      <w:r w:rsidRPr="00742A04">
        <w:t>n</w:t>
      </w:r>
      <w:r w:rsidRPr="00742A04">
        <w:t xml:space="preserve">gan en </w:t>
      </w:r>
      <w:r w:rsidR="00545D1B" w:rsidRPr="00742A04">
        <w:t>contact</w:t>
      </w:r>
      <w:r w:rsidRPr="00742A04">
        <w:t>o</w:t>
      </w:r>
      <w:r w:rsidR="00545D1B" w:rsidRPr="00742A04">
        <w:t xml:space="preserve"> </w:t>
      </w:r>
      <w:r w:rsidR="00B31D97" w:rsidRPr="00742A04">
        <w:t>los servicios de apoyo</w:t>
      </w:r>
      <w:r w:rsidR="00545D1B" w:rsidRPr="00742A04">
        <w:t xml:space="preserve">, </w:t>
      </w:r>
      <w:r w:rsidRPr="00742A04">
        <w:t xml:space="preserve">se aplicarán </w:t>
      </w:r>
      <w:r w:rsidR="00DC0DB8" w:rsidRPr="00742A04">
        <w:t>medidas</w:t>
      </w:r>
      <w:r w:rsidR="00545D1B" w:rsidRPr="00742A04">
        <w:t xml:space="preserve"> </w:t>
      </w:r>
      <w:r w:rsidR="00230F13" w:rsidRPr="00742A04">
        <w:t>con miras a</w:t>
      </w:r>
      <w:r w:rsidR="00545D1B" w:rsidRPr="00742A04">
        <w:t xml:space="preserve"> </w:t>
      </w:r>
      <w:r w:rsidR="00E542AA" w:rsidRPr="00742A04">
        <w:t>increme</w:t>
      </w:r>
      <w:r w:rsidR="00E542AA" w:rsidRPr="00742A04">
        <w:t>n</w:t>
      </w:r>
      <w:r w:rsidRPr="00742A04">
        <w:t>tar</w:t>
      </w:r>
      <w:r w:rsidR="00E542AA" w:rsidRPr="00742A04">
        <w:t xml:space="preserve"> </w:t>
      </w:r>
      <w:r w:rsidRPr="00742A04">
        <w:t>la apertura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fortalecer</w:t>
      </w:r>
      <w:r w:rsidR="00545D1B" w:rsidRPr="00742A04">
        <w:t xml:space="preserve"> </w:t>
      </w:r>
      <w:r w:rsidR="007E0DFE" w:rsidRPr="00742A04">
        <w:t>las actitudes</w:t>
      </w:r>
      <w:r w:rsidR="00545D1B" w:rsidRPr="00742A04">
        <w:t xml:space="preserve"> </w:t>
      </w:r>
      <w:r w:rsidRPr="00742A04">
        <w:t>de condena de esa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Pr="00742A04">
        <w:t>tanto en</w:t>
      </w:r>
      <w:r w:rsidR="00545D1B" w:rsidRPr="00742A04">
        <w:t xml:space="preserve"> </w:t>
      </w:r>
      <w:r w:rsidR="00B31D97" w:rsidRPr="00742A04">
        <w:t>los se</w:t>
      </w:r>
      <w:r w:rsidR="00B31D97" w:rsidRPr="00742A04">
        <w:t>r</w:t>
      </w:r>
      <w:r w:rsidR="00B31D97" w:rsidRPr="00742A04">
        <w:t>vicios de apoyo</w:t>
      </w:r>
      <w:r w:rsidR="00545D1B" w:rsidRPr="00742A04">
        <w:t xml:space="preserve"> </w:t>
      </w:r>
      <w:r w:rsidRPr="00742A04">
        <w:t>co</w:t>
      </w:r>
      <w:r w:rsidR="00E37CA3">
        <w:t>m</w:t>
      </w:r>
      <w:r w:rsidRPr="00742A04">
        <w:t>o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Pr="00742A04">
        <w:t>la población en general</w:t>
      </w:r>
      <w:r w:rsidR="00C27C42" w:rsidRPr="00742A04">
        <w:t>.</w:t>
      </w:r>
      <w:r w:rsidR="00545D1B" w:rsidRPr="00742A04">
        <w:t xml:space="preserve"> </w:t>
      </w:r>
      <w:r w:rsidRPr="00742A04">
        <w:t>Las encuestas sobre la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Pr="00742A04">
        <w:t>llevadas a cabo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2003 </w:t>
      </w:r>
      <w:r w:rsidR="00877AA0" w:rsidRPr="00742A04">
        <w:t>y</w:t>
      </w:r>
      <w:r w:rsidR="00545D1B" w:rsidRPr="00742A04">
        <w:t xml:space="preserve"> 2005 </w:t>
      </w:r>
      <w:r w:rsidR="006137EC" w:rsidRPr="00742A04">
        <w:t>son</w:t>
      </w:r>
      <w:r w:rsidR="00545D1B" w:rsidRPr="00742A04">
        <w:t xml:space="preserve"> </w:t>
      </w:r>
      <w:r w:rsidRPr="00742A04">
        <w:t>un ejemplo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m</w:t>
      </w:r>
      <w:r w:rsidRPr="00742A04">
        <w:t>e</w:t>
      </w:r>
      <w:r w:rsidRPr="00742A04">
        <w:t>didas adoptadas para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B31D97" w:rsidRPr="00742A04">
        <w:t>el nivel de conciencia</w:t>
      </w:r>
      <w:r w:rsidR="00545D1B" w:rsidRPr="00742A04">
        <w:t xml:space="preserve"> </w:t>
      </w:r>
      <w:r w:rsidR="00C076F2" w:rsidRPr="00742A04">
        <w:t xml:space="preserve">de los </w:t>
      </w:r>
      <w:r w:rsidRPr="00742A04">
        <w:t xml:space="preserve">servicios de apoyo acerca </w:t>
      </w:r>
      <w:r w:rsidR="004A0730" w:rsidRPr="00742A04">
        <w:t>de</w:t>
      </w:r>
      <w:r w:rsidRPr="00742A04">
        <w:t xml:space="preserve"> la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>.</w:t>
      </w:r>
    </w:p>
    <w:p w:rsidR="00545D1B" w:rsidRPr="00742A04" w:rsidRDefault="004A0730" w:rsidP="00021DB5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Pr="00742A04">
        <w:t>su</w:t>
      </w:r>
      <w:r w:rsidR="00545D1B" w:rsidRPr="00742A04">
        <w:t xml:space="preserve"> </w:t>
      </w:r>
      <w:r w:rsidR="00CF2F77" w:rsidRPr="00742A04">
        <w:t>plataforma política</w:t>
      </w:r>
      <w:r w:rsidR="00545D1B" w:rsidRPr="00742A04">
        <w:t xml:space="preserve"> (</w:t>
      </w:r>
      <w:r w:rsidR="00644C8F" w:rsidRPr="00742A04">
        <w:t>la Declaración de Soria Moria</w:t>
      </w:r>
      <w:r w:rsidR="00545D1B" w:rsidRPr="00742A04">
        <w:t xml:space="preserve">), </w:t>
      </w:r>
      <w:r w:rsidR="008F0C8E" w:rsidRPr="00742A04">
        <w:t>el Gobierno</w:t>
      </w:r>
      <w:r w:rsidR="00545D1B" w:rsidRPr="00742A04">
        <w:t xml:space="preserve"> </w:t>
      </w:r>
      <w:r w:rsidR="005E2D7A" w:rsidRPr="00742A04">
        <w:t>anunció que</w:t>
      </w:r>
      <w:r w:rsidR="00545D1B" w:rsidRPr="00742A04">
        <w:t xml:space="preserve"> </w:t>
      </w:r>
      <w:r w:rsidR="00A30B35" w:rsidRPr="00742A04">
        <w:t>se proponía</w:t>
      </w:r>
      <w:r w:rsidR="00545D1B" w:rsidRPr="00742A04">
        <w:t xml:space="preserve"> </w:t>
      </w:r>
      <w:r w:rsidR="00B31D97" w:rsidRPr="00742A04">
        <w:t>intensificar</w:t>
      </w:r>
      <w:r w:rsidR="00545D1B" w:rsidRPr="00742A04">
        <w:t xml:space="preserve"> </w:t>
      </w:r>
      <w:r w:rsidR="00502E16" w:rsidRPr="00742A04">
        <w:t>los esfuerzos</w:t>
      </w:r>
      <w:r w:rsidR="00545D1B" w:rsidRPr="00742A04">
        <w:t xml:space="preserve"> </w:t>
      </w:r>
      <w:r w:rsidR="007C341F" w:rsidRPr="00742A04">
        <w:t>de lucha contra</w:t>
      </w:r>
      <w:r w:rsidR="00A30B35" w:rsidRPr="00742A04">
        <w:t xml:space="preserve"> la </w:t>
      </w:r>
      <w:r w:rsidR="00550986" w:rsidRPr="00742A04">
        <w:t xml:space="preserve">violencia contra </w:t>
      </w:r>
      <w:r w:rsidR="00A30B35" w:rsidRPr="00742A04">
        <w:t>las m</w:t>
      </w:r>
      <w:r w:rsidR="00A30B35" w:rsidRPr="00742A04">
        <w:t>u</w:t>
      </w:r>
      <w:r w:rsidR="00A30B35" w:rsidRPr="00742A04">
        <w:t>jeres y los niños</w:t>
      </w:r>
      <w:r w:rsidR="00545D1B" w:rsidRPr="00742A04">
        <w:t>.</w:t>
      </w:r>
    </w:p>
    <w:p w:rsidR="00545D1B" w:rsidRPr="00742A04" w:rsidRDefault="008F0C8E" w:rsidP="002C4922">
      <w:pPr>
        <w:pStyle w:val="SingleTxt"/>
        <w:rPr>
          <w:i/>
        </w:rPr>
      </w:pPr>
      <w:r w:rsidRPr="00742A04">
        <w:rPr>
          <w:i/>
        </w:rPr>
        <w:t>Organiza</w:t>
      </w:r>
      <w:r w:rsidR="00C14BFF" w:rsidRPr="00742A04">
        <w:rPr>
          <w:i/>
        </w:rPr>
        <w:t xml:space="preserve">ción </w:t>
      </w:r>
      <w:r w:rsidR="00C076F2" w:rsidRPr="00742A04">
        <w:rPr>
          <w:i/>
        </w:rPr>
        <w:t xml:space="preserve">de los </w:t>
      </w:r>
      <w:r w:rsidR="00A30B35" w:rsidRPr="00742A04">
        <w:rPr>
          <w:i/>
        </w:rPr>
        <w:t>esfuerzos oficiales</w:t>
      </w:r>
      <w:r w:rsidR="00545D1B" w:rsidRPr="00742A04">
        <w:rPr>
          <w:i/>
        </w:rPr>
        <w:t xml:space="preserve"> </w:t>
      </w:r>
      <w:r w:rsidR="007C341F" w:rsidRPr="00742A04">
        <w:rPr>
          <w:i/>
        </w:rPr>
        <w:t>de lucha contra la</w:t>
      </w:r>
      <w:r w:rsidR="00545D1B" w:rsidRPr="00742A04">
        <w:rPr>
          <w:i/>
        </w:rPr>
        <w:t xml:space="preserve"> </w:t>
      </w:r>
      <w:r w:rsidR="00CB2022" w:rsidRPr="00742A04">
        <w:rPr>
          <w:i/>
        </w:rPr>
        <w:t>violencia doméstica</w:t>
      </w:r>
    </w:p>
    <w:p w:rsidR="00545D1B" w:rsidRPr="00742A04" w:rsidRDefault="004A0730" w:rsidP="00021DB5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4F2F8A" w:rsidRPr="00742A04">
        <w:t>responsable</w:t>
      </w:r>
      <w:r w:rsidR="00A30B35" w:rsidRPr="00742A04">
        <w:t xml:space="preserve"> de</w:t>
      </w:r>
      <w:r w:rsidR="00545D1B" w:rsidRPr="00742A04">
        <w:t xml:space="preserve"> coordina</w:t>
      </w:r>
      <w:r w:rsidR="00A30B35" w:rsidRPr="00742A04">
        <w:t>r</w:t>
      </w:r>
      <w:r w:rsidR="00545D1B" w:rsidRPr="00742A04">
        <w:t xml:space="preserve"> </w:t>
      </w:r>
      <w:r w:rsidR="00A30B35" w:rsidRPr="00742A04">
        <w:t>los esfuerzos gubern</w:t>
      </w:r>
      <w:r w:rsidR="00A30B35" w:rsidRPr="00742A04">
        <w:t>a</w:t>
      </w:r>
      <w:r w:rsidR="00A30B35" w:rsidRPr="00742A04">
        <w:t>mentales</w:t>
      </w:r>
      <w:r w:rsidR="00545D1B" w:rsidRPr="00742A04">
        <w:t xml:space="preserve"> </w:t>
      </w:r>
      <w:r w:rsidR="007C341F" w:rsidRPr="00742A04">
        <w:t>de lucha contra la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A30B35" w:rsidRPr="00742A04">
        <w:t xml:space="preserve">en esta esfera </w:t>
      </w:r>
      <w:r w:rsidR="00021DB5" w:rsidRPr="00742A04">
        <w:t>hay</w:t>
      </w:r>
      <w:r w:rsidR="00545D1B" w:rsidRPr="00742A04">
        <w:t xml:space="preserve"> </w:t>
      </w:r>
      <w:r w:rsidR="00A30B35" w:rsidRPr="00742A04">
        <w:t>v</w:t>
      </w:r>
      <w:r w:rsidR="00A30B35" w:rsidRPr="00742A04">
        <w:t>a</w:t>
      </w:r>
      <w:r w:rsidR="00A30B35" w:rsidRPr="00742A04">
        <w:t>rias cuestiones</w:t>
      </w:r>
      <w:r w:rsidR="00545D1B" w:rsidRPr="00742A04">
        <w:t xml:space="preserve"> </w:t>
      </w:r>
      <w:r w:rsidR="00A30B35" w:rsidRPr="00742A04">
        <w:t>que no pueden resolverse</w:t>
      </w:r>
      <w:r w:rsidR="00545D1B" w:rsidRPr="00742A04">
        <w:t xml:space="preserve"> </w:t>
      </w:r>
      <w:r w:rsidR="00A30B35" w:rsidRPr="00742A04">
        <w:t>utilizando solamente</w:t>
      </w:r>
      <w:r w:rsidR="00545D1B" w:rsidRPr="00742A04">
        <w:t xml:space="preserve"> </w:t>
      </w:r>
      <w:r w:rsidR="003C5A2B" w:rsidRPr="00742A04">
        <w:t>instrumentos</w:t>
      </w:r>
      <w:r w:rsidR="00545D1B" w:rsidRPr="00742A04">
        <w:t xml:space="preserve"> </w:t>
      </w:r>
      <w:r w:rsidR="00A30B35" w:rsidRPr="00742A04">
        <w:t>de pol</w:t>
      </w:r>
      <w:r w:rsidR="00A30B35" w:rsidRPr="00742A04">
        <w:t>í</w:t>
      </w:r>
      <w:r w:rsidR="00A30B35" w:rsidRPr="00742A04">
        <w:t>tica criminal</w:t>
      </w:r>
      <w:r w:rsidR="00545D1B" w:rsidRPr="00742A04">
        <w:t xml:space="preserve">. </w:t>
      </w:r>
      <w:r w:rsidR="00A30B35" w:rsidRPr="00742A04">
        <w:t>A fin de</w:t>
      </w:r>
      <w:r w:rsidR="00545D1B" w:rsidRPr="00742A04">
        <w:t xml:space="preserve"> </w:t>
      </w:r>
      <w:r w:rsidR="00A30B35" w:rsidRPr="00742A04">
        <w:t>luchar eficazmente</w:t>
      </w:r>
      <w:r w:rsidR="00545D1B" w:rsidRPr="00742A04">
        <w:t xml:space="preserve"> </w:t>
      </w:r>
      <w:r w:rsidR="00A30B35" w:rsidRPr="00742A04">
        <w:t>contra la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, </w:t>
      </w:r>
      <w:r w:rsidR="00495D7B" w:rsidRPr="00742A04">
        <w:t>se necesita una estr</w:t>
      </w:r>
      <w:r w:rsidR="00495D7B" w:rsidRPr="00742A04">
        <w:t>e</w:t>
      </w:r>
      <w:r w:rsidR="00495D7B" w:rsidRPr="00742A04">
        <w:t>cha cooperación</w:t>
      </w:r>
      <w:r w:rsidR="00C14BFF" w:rsidRPr="00742A04">
        <w:t xml:space="preserve"> </w:t>
      </w:r>
      <w:r w:rsidRPr="00742A04">
        <w:t>con</w:t>
      </w:r>
      <w:r w:rsidR="00545D1B" w:rsidRPr="00742A04">
        <w:t xml:space="preserve"> </w:t>
      </w:r>
      <w:r w:rsidR="00495D7B" w:rsidRPr="00742A04">
        <w:t>otras</w:t>
      </w:r>
      <w:r w:rsidR="00545D1B" w:rsidRPr="00742A04">
        <w:t xml:space="preserve"> </w:t>
      </w:r>
      <w:r w:rsidR="0056679F" w:rsidRPr="00742A04">
        <w:t>autoridades</w:t>
      </w:r>
      <w:r w:rsidR="00495D7B" w:rsidRPr="00742A04">
        <w:t xml:space="preserve"> claves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8E5EBF" w:rsidRPr="00742A04">
        <w:t>responsabilidad</w:t>
      </w:r>
      <w:r w:rsidR="00545D1B" w:rsidRPr="00742A04">
        <w:t xml:space="preserve"> </w:t>
      </w:r>
      <w:r w:rsidR="00495D7B" w:rsidRPr="00742A04">
        <w:t>en materia</w:t>
      </w:r>
      <w:r w:rsidR="008C4612" w:rsidRPr="00742A04">
        <w:t xml:space="preserve"> de </w:t>
      </w:r>
      <w:r w:rsidR="002E5047" w:rsidRPr="00742A04">
        <w:t>cuestiones</w:t>
      </w:r>
      <w:r w:rsidR="00495D7B" w:rsidRPr="00742A04">
        <w:t xml:space="preserve"> sociales, de</w:t>
      </w:r>
      <w:r w:rsidR="00545D1B" w:rsidRPr="00742A04">
        <w:t xml:space="preserve"> </w:t>
      </w:r>
      <w:r w:rsidR="00495D7B" w:rsidRPr="00742A04">
        <w:t xml:space="preserve">salud </w:t>
      </w:r>
      <w:r w:rsidR="00877AA0" w:rsidRPr="00742A04">
        <w:t>y</w:t>
      </w:r>
      <w:r w:rsidR="00545D1B" w:rsidRPr="00742A04">
        <w:t xml:space="preserve"> </w:t>
      </w:r>
      <w:r w:rsidR="00495D7B" w:rsidRPr="00742A04">
        <w:t>de política de género</w:t>
      </w:r>
      <w:r w:rsidR="00545D1B" w:rsidRPr="00742A04">
        <w:t xml:space="preserve">. </w:t>
      </w:r>
      <w:r w:rsidR="00495D7B" w:rsidRPr="00742A04">
        <w:t>Para satisfacer la necesidad de</w:t>
      </w:r>
      <w:r w:rsidR="00545D1B" w:rsidRPr="00742A04">
        <w:t xml:space="preserve"> coordina</w:t>
      </w:r>
      <w:r w:rsidR="00C14BFF" w:rsidRPr="00742A04">
        <w:t xml:space="preserve">ción </w:t>
      </w:r>
      <w:r w:rsidR="00495D7B" w:rsidRPr="00742A04">
        <w:t>a nivel</w:t>
      </w:r>
      <w:r w:rsidR="00545D1B" w:rsidRPr="00742A04">
        <w:t xml:space="preserve"> central, </w:t>
      </w:r>
      <w:r w:rsidR="006B65CD" w:rsidRPr="00742A04">
        <w:t>se ha establecido</w:t>
      </w:r>
      <w:r w:rsidR="00545D1B" w:rsidRPr="00742A04">
        <w:t xml:space="preserve"> </w:t>
      </w:r>
      <w:r w:rsidR="00495D7B" w:rsidRPr="00742A04">
        <w:t xml:space="preserve">un grupo de trabajo interministerial </w:t>
      </w:r>
      <w:r w:rsidR="00495D7B" w:rsidRPr="00742A04">
        <w:rPr>
          <w:i/>
        </w:rPr>
        <w:t>permanente</w:t>
      </w:r>
      <w:r w:rsidR="00495D7B" w:rsidRPr="00742A04">
        <w:t xml:space="preserve"> </w:t>
      </w:r>
      <w:r w:rsidR="006B65CD" w:rsidRPr="00742A04">
        <w:t>integrado por representantes</w:t>
      </w:r>
      <w:r w:rsidR="0030626A" w:rsidRPr="00742A04">
        <w:t xml:space="preserve"> del </w:t>
      </w:r>
      <w:r w:rsidRPr="00742A04">
        <w:t>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7C341F" w:rsidRPr="00742A04">
        <w:t>y Servicios Asi</w:t>
      </w:r>
      <w:r w:rsidR="007C341F" w:rsidRPr="00742A04">
        <w:t>s</w:t>
      </w:r>
      <w:r w:rsidR="007C341F" w:rsidRPr="00742A04">
        <w:t>tenciales</w:t>
      </w:r>
      <w:r w:rsidR="00545D1B" w:rsidRPr="00742A04">
        <w:t xml:space="preserve">, </w:t>
      </w: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C341F" w:rsidRPr="00742A04">
        <w:t>Trabajo e Integración Social</w:t>
      </w:r>
      <w:r w:rsidR="00545D1B" w:rsidRPr="00742A04">
        <w:t xml:space="preserve">, </w:t>
      </w:r>
      <w:r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</w:t>
      </w:r>
      <w:r w:rsidR="004B2748" w:rsidRPr="00742A04">
        <w:t>n</w:t>
      </w:r>
      <w:r w:rsidR="004B2748" w:rsidRPr="00742A04">
        <w:t>fancia y la Igualdad</w:t>
      </w:r>
      <w:r w:rsidR="00545D1B" w:rsidRPr="00742A04">
        <w:t xml:space="preserve"> </w:t>
      </w:r>
      <w:r w:rsidR="00BB4DB1" w:rsidRPr="00742A04">
        <w:t xml:space="preserve">y el </w:t>
      </w:r>
      <w:r w:rsidRPr="00742A04">
        <w:t>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. </w:t>
      </w:r>
      <w:r w:rsidR="00495D7B" w:rsidRPr="00742A04">
        <w:t>Este grupo</w:t>
      </w:r>
      <w:r w:rsidR="005E2D7A" w:rsidRPr="00742A04">
        <w:t xml:space="preserve"> de trabajo</w:t>
      </w:r>
      <w:r w:rsidR="00545D1B" w:rsidRPr="00742A04">
        <w:t xml:space="preserve"> </w:t>
      </w:r>
      <w:r w:rsidR="00495D7B" w:rsidRPr="00742A04">
        <w:t>fue</w:t>
      </w:r>
      <w:r w:rsidR="006B65CD" w:rsidRPr="00742A04">
        <w:t xml:space="preserve"> resultado</w:t>
      </w:r>
      <w:r w:rsidR="00C07ED9" w:rsidRPr="00742A04">
        <w:t xml:space="preserve"> del </w:t>
      </w:r>
      <w:r w:rsidR="005E2D7A" w:rsidRPr="00742A04">
        <w:t>tr</w:t>
      </w:r>
      <w:r w:rsidR="005E2D7A" w:rsidRPr="00742A04">
        <w:t>a</w:t>
      </w:r>
      <w:r w:rsidR="005E2D7A" w:rsidRPr="00742A04">
        <w:t>bajo</w:t>
      </w:r>
      <w:r w:rsidR="00545D1B" w:rsidRPr="00742A04">
        <w:t xml:space="preserve"> </w:t>
      </w:r>
      <w:r w:rsidR="00495D7B" w:rsidRPr="00742A04">
        <w:t xml:space="preserve">sobre </w:t>
      </w:r>
      <w:r w:rsidR="00C05B34" w:rsidRPr="00742A04">
        <w:t>el Plan</w:t>
      </w:r>
      <w:r w:rsidR="00F650FB" w:rsidRPr="00742A04">
        <w:t xml:space="preserve"> de Acción</w:t>
      </w:r>
      <w:r w:rsidR="00545D1B" w:rsidRPr="00742A04">
        <w:t xml:space="preserve"> </w:t>
      </w:r>
      <w:r w:rsidR="007C341F" w:rsidRPr="00742A04">
        <w:t>de Lucha contra la</w:t>
      </w:r>
      <w:r w:rsidR="00545D1B" w:rsidRPr="00742A04">
        <w:t xml:space="preserve"> </w:t>
      </w:r>
      <w:r w:rsidR="0046110E" w:rsidRPr="00742A04">
        <w:t>Violencia contra la Mujer</w:t>
      </w:r>
      <w:r w:rsidR="00545D1B" w:rsidRPr="00742A04">
        <w:t xml:space="preserve"> (2000-2003), </w:t>
      </w:r>
      <w:r w:rsidR="00877AA0" w:rsidRPr="00742A04">
        <w:t>y</w:t>
      </w:r>
      <w:r w:rsidR="00545D1B" w:rsidRPr="00742A04">
        <w:t xml:space="preserve"> </w:t>
      </w:r>
      <w:r w:rsidR="00495D7B" w:rsidRPr="00742A04">
        <w:t>contribuye a</w:t>
      </w:r>
      <w:r w:rsidR="00545D1B" w:rsidRPr="00742A04">
        <w:t xml:space="preserve"> </w:t>
      </w:r>
      <w:r w:rsidR="00B31D97" w:rsidRPr="00742A04">
        <w:t>asegurar que</w:t>
      </w:r>
      <w:r w:rsidR="00545D1B" w:rsidRPr="00742A04">
        <w:t xml:space="preserve"> </w:t>
      </w:r>
      <w:r w:rsidR="00495D7B" w:rsidRPr="00742A04">
        <w:t>las enseñanzas obtenidas gracias a las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495D7B" w:rsidRPr="00742A04">
        <w:t>ya</w:t>
      </w:r>
      <w:r w:rsidR="00545D1B" w:rsidRPr="00742A04">
        <w:t xml:space="preserve"> implement</w:t>
      </w:r>
      <w:r w:rsidR="00495D7B" w:rsidRPr="00742A04">
        <w:t>adas</w:t>
      </w:r>
      <w:r w:rsidR="00545D1B" w:rsidRPr="00742A04">
        <w:t xml:space="preserve"> </w:t>
      </w:r>
      <w:r w:rsidR="00495D7B" w:rsidRPr="00742A04">
        <w:t>incidan en</w:t>
      </w:r>
      <w:r w:rsidR="00545D1B" w:rsidRPr="00742A04">
        <w:t xml:space="preserve"> </w:t>
      </w:r>
      <w:r w:rsidR="00495D7B" w:rsidRPr="00742A04">
        <w:t>las actividades de</w:t>
      </w:r>
      <w:r w:rsidR="00545D1B" w:rsidRPr="00742A04">
        <w:t xml:space="preserve"> formula</w:t>
      </w:r>
      <w:r w:rsidR="00C14BFF" w:rsidRPr="00742A04">
        <w:t xml:space="preserve">ción </w:t>
      </w:r>
      <w:r w:rsidRPr="00742A04">
        <w:t>de</w:t>
      </w:r>
      <w:r w:rsidR="00545D1B" w:rsidRPr="00742A04">
        <w:t xml:space="preserve"> </w:t>
      </w:r>
      <w:r w:rsidR="00552048" w:rsidRPr="00742A04">
        <w:t>política</w:t>
      </w:r>
      <w:r w:rsidR="00495D7B" w:rsidRPr="00742A04">
        <w:t>s en curso</w:t>
      </w:r>
      <w:r w:rsidR="00545D1B" w:rsidRPr="00742A04">
        <w:t xml:space="preserve">. </w:t>
      </w:r>
      <w:r w:rsidR="00495D7B" w:rsidRPr="00742A04">
        <w:t>Uno</w:t>
      </w:r>
      <w:r w:rsidR="00545D1B" w:rsidRPr="00742A04">
        <w:t xml:space="preserve"> </w:t>
      </w:r>
      <w:r w:rsidR="00C076F2" w:rsidRPr="00742A04">
        <w:t xml:space="preserve">de los </w:t>
      </w:r>
      <w:r w:rsidR="008A0C75" w:rsidRPr="00742A04">
        <w:t>objetivos principales</w:t>
      </w:r>
      <w:r w:rsidR="00545D1B" w:rsidRPr="00742A04">
        <w:t xml:space="preserve"> </w:t>
      </w:r>
      <w:r w:rsidR="00495D7B" w:rsidRPr="00742A04">
        <w:t xml:space="preserve">del grupo de trabajo </w:t>
      </w:r>
      <w:r w:rsidR="00BB4DB1" w:rsidRPr="00742A04">
        <w:t>es</w:t>
      </w:r>
      <w:r w:rsidR="00545D1B" w:rsidRPr="00742A04">
        <w:t xml:space="preserve"> </w:t>
      </w:r>
      <w:r w:rsidR="004D313C" w:rsidRPr="00742A04">
        <w:t>examinar</w:t>
      </w:r>
      <w:r w:rsidR="00545D1B" w:rsidRPr="00742A04">
        <w:t xml:space="preserve"> </w:t>
      </w:r>
      <w:r w:rsidR="00495D7B" w:rsidRPr="00742A04">
        <w:t>las consecuencias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495D7B" w:rsidRPr="00742A04">
        <w:t>las medidas aplicadas</w:t>
      </w:r>
      <w:r w:rsidR="00545D1B" w:rsidRPr="00742A04">
        <w:t>.</w:t>
      </w:r>
    </w:p>
    <w:p w:rsidR="00545D1B" w:rsidRPr="00742A04" w:rsidRDefault="00495D7B" w:rsidP="00495D7B">
      <w:pPr>
        <w:pStyle w:val="SingleTxt"/>
        <w:keepNext/>
        <w:rPr>
          <w:i/>
        </w:rPr>
      </w:pPr>
      <w:r w:rsidRPr="00742A04">
        <w:rPr>
          <w:i/>
        </w:rPr>
        <w:t>E</w:t>
      </w:r>
      <w:r w:rsidR="002213CF" w:rsidRPr="00742A04">
        <w:rPr>
          <w:i/>
        </w:rPr>
        <w:t>fecto</w:t>
      </w:r>
      <w:r w:rsidR="00545D1B" w:rsidRPr="00742A04">
        <w:rPr>
          <w:i/>
        </w:rPr>
        <w:t xml:space="preserve"> </w:t>
      </w:r>
      <w:r w:rsidR="004A0730" w:rsidRPr="00742A04">
        <w:rPr>
          <w:i/>
        </w:rPr>
        <w:t>de</w:t>
      </w:r>
      <w:r w:rsidR="00545D1B" w:rsidRPr="00742A04">
        <w:rPr>
          <w:i/>
        </w:rPr>
        <w:t xml:space="preserve"> </w:t>
      </w:r>
      <w:r w:rsidRPr="00742A04">
        <w:rPr>
          <w:i/>
        </w:rPr>
        <w:t>las medidas aplicadas</w:t>
      </w:r>
    </w:p>
    <w:p w:rsidR="00545D1B" w:rsidRPr="00742A04" w:rsidRDefault="00545D1B" w:rsidP="00021DB5">
      <w:pPr>
        <w:pStyle w:val="SingleTxt"/>
        <w:ind w:firstLine="475"/>
      </w:pPr>
      <w:r w:rsidRPr="00742A04">
        <w:t xml:space="preserve">No </w:t>
      </w:r>
      <w:r w:rsidR="00242371" w:rsidRPr="00742A04">
        <w:t xml:space="preserve">se ha llevado </w:t>
      </w:r>
      <w:r w:rsidR="00495D7B" w:rsidRPr="00742A04">
        <w:t xml:space="preserve">a cabo una evaluación global </w:t>
      </w:r>
      <w:r w:rsidR="004A0730" w:rsidRPr="00742A04">
        <w:t>de</w:t>
      </w:r>
      <w:r w:rsidRPr="00742A04">
        <w:t xml:space="preserve"> </w:t>
      </w:r>
      <w:r w:rsidR="00495D7B" w:rsidRPr="00742A04">
        <w:t xml:space="preserve">las medidas </w:t>
      </w:r>
      <w:r w:rsidR="007C341F" w:rsidRPr="00742A04">
        <w:t>de lucha contra la</w:t>
      </w:r>
      <w:r w:rsidRPr="00742A04">
        <w:t xml:space="preserve"> </w:t>
      </w:r>
      <w:r w:rsidR="00CB2022" w:rsidRPr="00742A04">
        <w:t>violencia doméstica</w:t>
      </w:r>
      <w:r w:rsidRPr="00742A04">
        <w:t xml:space="preserve"> </w:t>
      </w:r>
      <w:r w:rsidR="00495D7B" w:rsidRPr="00742A04">
        <w:t xml:space="preserve">aplicadas </w:t>
      </w:r>
      <w:r w:rsidR="00C14BFF" w:rsidRPr="00742A04">
        <w:t>en</w:t>
      </w:r>
      <w:r w:rsidRPr="00742A04">
        <w:t xml:space="preserve"> </w:t>
      </w:r>
      <w:r w:rsidR="00EA26AB" w:rsidRPr="00742A04">
        <w:t>Noruega</w:t>
      </w:r>
      <w:r w:rsidRPr="00742A04">
        <w:t xml:space="preserve">. </w:t>
      </w:r>
      <w:r w:rsidR="00495D7B" w:rsidRPr="00742A04">
        <w:t>Por consiguiente, es</w:t>
      </w:r>
      <w:r w:rsidRPr="00742A04">
        <w:t xml:space="preserve"> </w:t>
      </w:r>
      <w:r w:rsidR="00F05119" w:rsidRPr="00742A04">
        <w:t>difícil</w:t>
      </w:r>
      <w:r w:rsidRPr="00742A04">
        <w:t xml:space="preserve"> </w:t>
      </w:r>
      <w:r w:rsidR="00495D7B" w:rsidRPr="00742A04">
        <w:t>hacer una reseña detallada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495D7B" w:rsidRPr="00742A04">
        <w:t>la incidencia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495D7B" w:rsidRPr="00742A04">
        <w:t>dichas</w:t>
      </w:r>
      <w:r w:rsidRPr="00742A04">
        <w:t xml:space="preserve"> </w:t>
      </w:r>
      <w:r w:rsidR="00DC0DB8" w:rsidRPr="00742A04">
        <w:t>medidas</w:t>
      </w:r>
      <w:r w:rsidRPr="00742A04">
        <w:t xml:space="preserve">. </w:t>
      </w:r>
      <w:r w:rsidR="00CB0483" w:rsidRPr="00742A04">
        <w:t>Sin embargo</w:t>
      </w:r>
      <w:r w:rsidRPr="00742A04">
        <w:t xml:space="preserve">, </w:t>
      </w:r>
      <w:r w:rsidR="00495D7B" w:rsidRPr="00742A04">
        <w:t xml:space="preserve">se han llevado a cabo </w:t>
      </w:r>
      <w:r w:rsidR="00550986" w:rsidRPr="00742A04">
        <w:t>vari</w:t>
      </w:r>
      <w:r w:rsidR="00495D7B" w:rsidRPr="00742A04">
        <w:t>a</w:t>
      </w:r>
      <w:r w:rsidR="00550986" w:rsidRPr="00742A04">
        <w:t>s</w:t>
      </w:r>
      <w:r w:rsidRPr="00742A04">
        <w:t xml:space="preserve"> evalua</w:t>
      </w:r>
      <w:r w:rsidR="008907B8" w:rsidRPr="00742A04">
        <w:t>ciones</w:t>
      </w:r>
      <w:r w:rsidR="00495D7B" w:rsidRPr="00742A04">
        <w:t xml:space="preserve"> más limitadas</w:t>
      </w:r>
      <w:r w:rsidRPr="00742A04">
        <w:t xml:space="preserve">, </w:t>
      </w:r>
      <w:r w:rsidR="00495D7B" w:rsidRPr="00742A04">
        <w:t>entre ellas, una</w:t>
      </w:r>
      <w:r w:rsidRPr="00742A04">
        <w:t xml:space="preserve"> evalua</w:t>
      </w:r>
      <w:r w:rsidR="00C14BFF" w:rsidRPr="00742A04">
        <w:t xml:space="preserve">ción </w:t>
      </w:r>
      <w:r w:rsidR="00AC1BF5" w:rsidRPr="00742A04">
        <w:t xml:space="preserve">del programa del coordinador de </w:t>
      </w:r>
      <w:r w:rsidR="00CB2022" w:rsidRPr="00742A04">
        <w:t>violencia doméstica</w:t>
      </w:r>
      <w:r w:rsidRPr="00742A04">
        <w:t xml:space="preserve"> </w:t>
      </w:r>
      <w:r w:rsidR="00AC1BF5" w:rsidRPr="00742A04">
        <w:t xml:space="preserve">de la policía </w:t>
      </w:r>
      <w:r w:rsidR="00877AA0" w:rsidRPr="00742A04">
        <w:t>y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4F2F8A" w:rsidRPr="00742A04">
        <w:t>la implementación</w:t>
      </w:r>
      <w:r w:rsidR="00C14BFF" w:rsidRPr="00742A04">
        <w:t xml:space="preserve"> </w:t>
      </w:r>
      <w:r w:rsidR="004A0730" w:rsidRPr="00742A04">
        <w:t>de</w:t>
      </w:r>
      <w:r w:rsidRPr="00742A04">
        <w:t xml:space="preserve"> </w:t>
      </w:r>
      <w:r w:rsidR="00AC1BF5" w:rsidRPr="00742A04">
        <w:t>alarmas móviles</w:t>
      </w:r>
      <w:r w:rsidRPr="00742A04">
        <w:t xml:space="preserve"> </w:t>
      </w:r>
      <w:r w:rsidR="00AC1BF5" w:rsidRPr="00742A04">
        <w:t xml:space="preserve">de </w:t>
      </w:r>
      <w:r w:rsidR="00A05847" w:rsidRPr="00742A04">
        <w:t>violencia</w:t>
      </w:r>
      <w:r w:rsidRPr="00742A04">
        <w:t>.</w:t>
      </w:r>
    </w:p>
    <w:p w:rsidR="00545D1B" w:rsidRPr="00742A04" w:rsidRDefault="00AC1BF5" w:rsidP="00021DB5">
      <w:pPr>
        <w:pStyle w:val="SingleTxt"/>
        <w:ind w:firstLine="475"/>
      </w:pPr>
      <w:r w:rsidRPr="00742A04">
        <w:t>Se espera que</w:t>
      </w:r>
      <w:r w:rsidR="00545D1B" w:rsidRPr="00742A04">
        <w:t xml:space="preserve"> </w:t>
      </w:r>
      <w:r w:rsidRPr="00742A04">
        <w:t>el establecimiento</w:t>
      </w:r>
      <w:r w:rsidR="00545D1B" w:rsidRPr="00742A04">
        <w:t xml:space="preserve"> </w:t>
      </w:r>
      <w:r w:rsidR="004A0730" w:rsidRPr="00742A04">
        <w:t>de</w:t>
      </w:r>
      <w:r w:rsidR="008F32FC" w:rsidRPr="00742A04">
        <w:t>l</w:t>
      </w:r>
      <w:r w:rsidR="00545D1B" w:rsidRPr="00742A04">
        <w:t xml:space="preserve"> </w:t>
      </w:r>
      <w:r w:rsidR="007C341F" w:rsidRPr="00742A04">
        <w:t xml:space="preserve">Centro de </w:t>
      </w:r>
      <w:r w:rsidRPr="00742A04">
        <w:t xml:space="preserve">Recursos Especiales para </w:t>
      </w:r>
      <w:r w:rsidR="007C341F" w:rsidRPr="00742A04">
        <w:t>Est</w:t>
      </w:r>
      <w:r w:rsidR="007C341F" w:rsidRPr="00742A04">
        <w:t>u</w:t>
      </w:r>
      <w:r w:rsidR="007C341F" w:rsidRPr="00742A04">
        <w:t xml:space="preserve">dios sobre la Violencia </w:t>
      </w:r>
      <w:r w:rsidR="00BB4DB1" w:rsidRPr="00742A04">
        <w:t xml:space="preserve">y el </w:t>
      </w:r>
      <w:r w:rsidR="007C341F" w:rsidRPr="00742A04">
        <w:t>Estrés Traumático</w:t>
      </w:r>
      <w:r w:rsidR="00545D1B" w:rsidRPr="00742A04">
        <w:t xml:space="preserve"> (</w:t>
      </w:r>
      <w:r w:rsidR="007C341F" w:rsidRPr="00742A04">
        <w:t>NKVTS</w:t>
      </w:r>
      <w:r w:rsidR="00545D1B" w:rsidRPr="00742A04">
        <w:t xml:space="preserve">) </w:t>
      </w:r>
      <w:r w:rsidRPr="00742A04">
        <w:t>contribuya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Pr="00742A04">
        <w:t xml:space="preserve">en los próximos años los conocimientos </w:t>
      </w:r>
      <w:r w:rsidR="00545D1B" w:rsidRPr="00742A04">
        <w:t>general</w:t>
      </w:r>
      <w:r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42371" w:rsidRPr="00742A04">
        <w:t xml:space="preserve">las capacidades </w:t>
      </w:r>
      <w:r w:rsidRPr="00742A04">
        <w:t xml:space="preserve">profesionales </w:t>
      </w:r>
      <w:r w:rsidR="00242371" w:rsidRPr="00742A04">
        <w:t>especializadas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. </w:t>
      </w:r>
      <w:r w:rsidRPr="00742A04">
        <w:t>La</w:t>
      </w:r>
      <w:r w:rsidR="00545D1B" w:rsidRPr="00742A04">
        <w:t xml:space="preserve"> re</w:t>
      </w:r>
      <w:r w:rsidR="008F0C8E" w:rsidRPr="00742A04">
        <w:t>organiza</w:t>
      </w:r>
      <w:r w:rsidR="00C14BFF" w:rsidRPr="00742A04">
        <w:t>ción</w:t>
      </w:r>
      <w:r w:rsidRPr="00742A04">
        <w:t xml:space="preserve"> en curso</w:t>
      </w:r>
      <w:r w:rsidR="00C14BFF" w:rsidRPr="00742A04">
        <w:t xml:space="preserve"> </w:t>
      </w:r>
      <w:r w:rsidRPr="00742A04">
        <w:t>del sector de la salud</w:t>
      </w:r>
      <w:r w:rsidR="00545D1B" w:rsidRPr="00742A04">
        <w:t xml:space="preserve"> </w:t>
      </w:r>
      <w:r w:rsidRPr="00742A04">
        <w:t>ta</w:t>
      </w:r>
      <w:r w:rsidRPr="00742A04">
        <w:t>m</w:t>
      </w:r>
      <w:r w:rsidRPr="00742A04">
        <w:t xml:space="preserve">bién </w:t>
      </w:r>
      <w:r w:rsidR="00EF5B12" w:rsidRPr="00742A04">
        <w:t>llevará</w:t>
      </w:r>
      <w:r w:rsidR="00545D1B" w:rsidRPr="00742A04">
        <w:t xml:space="preserve">, </w:t>
      </w:r>
      <w:r w:rsidRPr="00742A04">
        <w:t>a largo plazo</w:t>
      </w:r>
      <w:r w:rsidR="00545D1B" w:rsidRPr="00742A04">
        <w:t xml:space="preserve">, </w:t>
      </w:r>
      <w:r w:rsidRPr="00742A04">
        <w:t>a un</w:t>
      </w:r>
      <w:r w:rsidR="00545D1B" w:rsidRPr="00742A04">
        <w:t xml:space="preserve"> </w:t>
      </w:r>
      <w:r w:rsidRPr="00742A04">
        <w:t>incremento de las</w:t>
      </w:r>
      <w:r w:rsidR="00242371" w:rsidRPr="00742A04">
        <w:t xml:space="preserve"> capacidades especializadas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las </w:t>
      </w:r>
      <w:r w:rsidR="00EF5B12" w:rsidRPr="00742A04">
        <w:t>actividades</w:t>
      </w:r>
      <w:r w:rsidR="00545D1B" w:rsidRPr="00742A04">
        <w:t xml:space="preserve"> </w:t>
      </w:r>
      <w:r w:rsidRPr="00742A04">
        <w:t>del sector de la salud</w:t>
      </w:r>
      <w:r w:rsidR="00545D1B" w:rsidRPr="00742A04">
        <w:t xml:space="preserve"> </w:t>
      </w:r>
      <w:r w:rsidR="00F43124" w:rsidRPr="00742A04">
        <w:t>en lo tocante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CB2022" w:rsidRPr="00742A04">
        <w:t>violencia domé</w:t>
      </w:r>
      <w:r w:rsidR="00CB2022" w:rsidRPr="00742A04">
        <w:t>s</w:t>
      </w:r>
      <w:r w:rsidR="00CB2022" w:rsidRPr="00742A04">
        <w:t>tica</w:t>
      </w:r>
      <w:r w:rsidR="00545D1B" w:rsidRPr="00742A04">
        <w:t>.</w:t>
      </w:r>
    </w:p>
    <w:p w:rsidR="00545D1B" w:rsidRPr="00742A04" w:rsidRDefault="00AC1BF5" w:rsidP="00495D7B">
      <w:pPr>
        <w:pStyle w:val="SingleTxt"/>
        <w:keepNext/>
        <w:rPr>
          <w:i/>
        </w:rPr>
      </w:pPr>
      <w:r w:rsidRPr="00742A04">
        <w:rPr>
          <w:i/>
        </w:rPr>
        <w:t xml:space="preserve">Encuesta </w:t>
      </w:r>
      <w:r w:rsidR="00F67A1B" w:rsidRPr="00742A04">
        <w:rPr>
          <w:i/>
        </w:rPr>
        <w:t>sobre</w:t>
      </w:r>
      <w:r w:rsidRPr="00742A04">
        <w:rPr>
          <w:i/>
        </w:rPr>
        <w:t xml:space="preserve"> la violencia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Pr="00742A04">
        <w:rPr>
          <w:i/>
        </w:rPr>
        <w:t>las parejas</w:t>
      </w:r>
    </w:p>
    <w:p w:rsidR="00545D1B" w:rsidRPr="00742A04" w:rsidRDefault="00024DBC" w:rsidP="00021DB5">
      <w:pPr>
        <w:pStyle w:val="SingleTxt"/>
        <w:ind w:firstLine="475"/>
      </w:pPr>
      <w:r w:rsidRPr="00742A04">
        <w:t>Los resultados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67A1B" w:rsidRPr="00742A04">
        <w:t>la primera encuesta a nivel nacional</w:t>
      </w:r>
      <w:r w:rsidR="00545D1B" w:rsidRPr="00742A04">
        <w:t xml:space="preserve"> </w:t>
      </w:r>
      <w:r w:rsidR="00F67A1B" w:rsidRPr="00742A04">
        <w:t>acerca del alcance de la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C1BF5" w:rsidRPr="00742A04">
        <w:t>las parejas</w:t>
      </w:r>
      <w:r w:rsidR="00545D1B" w:rsidRPr="00742A04">
        <w:t xml:space="preserve"> </w:t>
      </w:r>
      <w:r w:rsidRPr="00742A04">
        <w:t>fueron presentados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D2FF0" w:rsidRPr="00742A04">
        <w:t>mayo de</w:t>
      </w:r>
      <w:r w:rsidR="00545D1B" w:rsidRPr="00742A04">
        <w:t xml:space="preserve"> 2005. </w:t>
      </w:r>
      <w:r w:rsidR="00F67A1B" w:rsidRPr="00742A04">
        <w:t>La encuesta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F67A1B" w:rsidRPr="00742A04">
        <w:t>fue realizada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F67A1B" w:rsidRPr="00742A04">
        <w:t>el</w:t>
      </w:r>
      <w:r w:rsidR="00545D1B" w:rsidRPr="00742A04">
        <w:t xml:space="preserve"> </w:t>
      </w:r>
      <w:r w:rsidR="00F67A1B" w:rsidRPr="00742A04">
        <w:t>Instituto de</w:t>
      </w:r>
      <w:r w:rsidR="00545D1B" w:rsidRPr="00742A04">
        <w:t xml:space="preserve"> </w:t>
      </w:r>
      <w:r w:rsidR="00F67A1B" w:rsidRPr="00742A04">
        <w:t>Investigacio</w:t>
      </w:r>
      <w:r w:rsidR="001902F8" w:rsidRPr="00742A04">
        <w:t>n</w:t>
      </w:r>
      <w:r w:rsidR="00F67A1B" w:rsidRPr="00742A04">
        <w:t>es Urbanas y Regionales de Noruega</w:t>
      </w:r>
      <w:r w:rsidR="00545D1B" w:rsidRPr="00742A04">
        <w:t xml:space="preserve">, </w:t>
      </w:r>
      <w:r w:rsidR="0028385C" w:rsidRPr="00742A04">
        <w:t>d</w:t>
      </w:r>
      <w:r w:rsidR="0028385C" w:rsidRPr="00742A04">
        <w:t>e</w:t>
      </w:r>
      <w:r w:rsidR="0028385C" w:rsidRPr="00742A04">
        <w:t>mostró</w:t>
      </w:r>
      <w:r w:rsidR="00E575DB" w:rsidRPr="00742A04">
        <w:t xml:space="preserve"> que</w:t>
      </w:r>
      <w:r w:rsidR="00545D1B" w:rsidRPr="00742A04">
        <w:t xml:space="preserve"> </w:t>
      </w:r>
      <w:r w:rsidR="00E575DB" w:rsidRPr="00742A04">
        <w:t>en Noruega está muy difundido el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575DB" w:rsidRPr="00742A04">
        <w:t>la fuerza física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575DB" w:rsidRPr="00742A04">
        <w:t xml:space="preserve">la </w:t>
      </w:r>
      <w:r w:rsidR="00A05847" w:rsidRPr="00742A04">
        <w:t>violencia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C1BF5" w:rsidRPr="00742A04">
        <w:t>las parejas</w:t>
      </w:r>
      <w:r w:rsidR="00E575DB" w:rsidRPr="00742A04">
        <w:t>.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</w:t>
      </w:r>
      <w:r w:rsidR="00495D7B" w:rsidRPr="00742A04">
        <w:t>un</w:t>
      </w:r>
      <w:r w:rsidR="00AD5494" w:rsidRPr="00742A04">
        <w:t>a de cada cuatro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575DB" w:rsidRPr="00742A04">
        <w:t xml:space="preserve">más </w:t>
      </w:r>
      <w:r w:rsidR="007722B4">
        <w:t xml:space="preserve">de </w:t>
      </w:r>
      <w:r w:rsidR="00495D7B" w:rsidRPr="00742A04">
        <w:t>uno</w:t>
      </w:r>
      <w:r w:rsidR="00545D1B" w:rsidRPr="00742A04">
        <w:t xml:space="preserve"> </w:t>
      </w:r>
      <w:r w:rsidR="00AD5494" w:rsidRPr="00742A04">
        <w:t>de cada cuatro ho</w:t>
      </w:r>
      <w:r w:rsidR="00AD5494" w:rsidRPr="00742A04">
        <w:t>m</w:t>
      </w:r>
      <w:r w:rsidR="00AD5494" w:rsidRPr="00742A04">
        <w:t>bres</w:t>
      </w:r>
      <w:r w:rsidR="00545D1B" w:rsidRPr="00742A04">
        <w:t xml:space="preserve"> </w:t>
      </w:r>
      <w:r w:rsidR="00AD5494" w:rsidRPr="00742A04">
        <w:t>de más de</w:t>
      </w:r>
      <w:r w:rsidR="00545D1B" w:rsidRPr="00742A04">
        <w:t xml:space="preserve"> 15 </w:t>
      </w:r>
      <w:r w:rsidR="004D313C" w:rsidRPr="00742A04">
        <w:t>años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 </w:t>
      </w:r>
      <w:r w:rsidR="00AD5494" w:rsidRPr="00742A04">
        <w:t>declaró que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AD5494" w:rsidRPr="00742A04">
        <w:t>cónyuge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AD5494" w:rsidRPr="00742A04">
        <w:t>concubino</w:t>
      </w:r>
      <w:r w:rsidR="00545D1B" w:rsidRPr="00742A04">
        <w:t xml:space="preserve"> </w:t>
      </w:r>
      <w:r w:rsidR="00AD5494" w:rsidRPr="00742A04">
        <w:t>había usado</w:t>
      </w:r>
      <w:r w:rsidR="00E575DB" w:rsidRPr="00742A04">
        <w:t xml:space="preserve"> fuerza física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AD5494" w:rsidRPr="00742A04">
        <w:t>había amenazado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AD5494" w:rsidRPr="00742A04">
        <w:t>recurrir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AD5494" w:rsidRPr="00742A04">
        <w:t>por lo menos en una oc</w:t>
      </w:r>
      <w:r w:rsidR="00AD5494" w:rsidRPr="00742A04">
        <w:t>a</w:t>
      </w:r>
      <w:r w:rsidR="00AD5494" w:rsidRPr="00742A04">
        <w:t>sión</w:t>
      </w:r>
      <w:r w:rsidR="00545D1B" w:rsidRPr="00742A04">
        <w:t xml:space="preserve">. </w:t>
      </w:r>
      <w:r w:rsidR="00E575DB" w:rsidRPr="00742A04">
        <w:t>Más de</w:t>
      </w:r>
      <w:r w:rsidR="00AD5494" w:rsidRPr="00742A04">
        <w:t>l</w:t>
      </w:r>
      <w:r w:rsidR="00545D1B" w:rsidRPr="00742A04">
        <w:t xml:space="preserve"> </w:t>
      </w:r>
      <w:r w:rsidR="00AD5494" w:rsidRPr="00742A04">
        <w:t>5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242371" w:rsidRPr="00742A04">
        <w:t xml:space="preserve"> y </w:t>
      </w:r>
      <w:r w:rsidR="00AD5494" w:rsidRPr="00742A04">
        <w:t xml:space="preserve">los </w:t>
      </w:r>
      <w:r w:rsidR="00242371" w:rsidRPr="00742A04">
        <w:t>hombres</w:t>
      </w:r>
      <w:r w:rsidR="00545D1B" w:rsidRPr="00742A04">
        <w:t xml:space="preserve"> </w:t>
      </w:r>
      <w:r w:rsidR="00AD5494" w:rsidRPr="00742A04">
        <w:t>declararon que</w:t>
      </w:r>
      <w:r w:rsidR="00545D1B" w:rsidRPr="00742A04">
        <w:t xml:space="preserve"> </w:t>
      </w:r>
      <w:r w:rsidR="00AD5494" w:rsidRPr="00742A04">
        <w:t>su pareja lo</w:t>
      </w:r>
      <w:r w:rsidR="00545D1B" w:rsidRPr="00742A04">
        <w:t xml:space="preserve"> </w:t>
      </w:r>
      <w:r w:rsidR="00AD5494" w:rsidRPr="00742A04">
        <w:t>había hecho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5494" w:rsidRPr="00742A04">
        <w:t>los últimos doce meses</w:t>
      </w:r>
      <w:r w:rsidR="00545D1B" w:rsidRPr="00742A04">
        <w:t>.</w:t>
      </w:r>
    </w:p>
    <w:p w:rsidR="00545D1B" w:rsidRPr="00742A04" w:rsidRDefault="00AD5494" w:rsidP="00021DB5">
      <w:pPr>
        <w:pStyle w:val="SingleTxt"/>
        <w:ind w:firstLine="475"/>
      </w:pPr>
      <w:r w:rsidRPr="00742A04">
        <w:t>La encuesta</w:t>
      </w:r>
      <w:r w:rsidR="00AC1BF5" w:rsidRPr="00742A04">
        <w:t xml:space="preserve"> </w:t>
      </w:r>
      <w:r w:rsidR="00F67A1B" w:rsidRPr="00742A04">
        <w:t>sobre</w:t>
      </w:r>
      <w:r w:rsidR="00AC1BF5" w:rsidRPr="00742A04">
        <w:t xml:space="preserve"> la violencia</w:t>
      </w:r>
      <w:r w:rsidR="00545D1B" w:rsidRPr="00742A04">
        <w:t xml:space="preserve"> </w:t>
      </w:r>
      <w:r w:rsidRPr="00742A04">
        <w:t>llevada a cabo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 verano de</w:t>
      </w:r>
      <w:r w:rsidR="00545D1B" w:rsidRPr="00742A04">
        <w:t xml:space="preserve"> 2005 </w:t>
      </w:r>
      <w:r w:rsidR="0028385C" w:rsidRPr="00742A04">
        <w:t>demostró</w:t>
      </w:r>
      <w:r w:rsidR="00E575DB" w:rsidRPr="00742A04">
        <w:t xml:space="preserve"> que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311327" w:rsidRPr="00742A04">
        <w:t>el curso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95D7B" w:rsidRPr="00742A04">
        <w:t>un</w:t>
      </w:r>
      <w:r w:rsidR="00311327" w:rsidRPr="00742A04">
        <w:t>a</w:t>
      </w:r>
      <w:r w:rsidR="00545D1B" w:rsidRPr="00742A04">
        <w:t xml:space="preserve"> </w:t>
      </w:r>
      <w:r w:rsidR="00311327" w:rsidRPr="00742A04">
        <w:t>semana de la encuesta</w:t>
      </w:r>
      <w:r w:rsidR="00545D1B" w:rsidRPr="00742A04">
        <w:t xml:space="preserve">, </w:t>
      </w:r>
      <w:r w:rsidR="00FC59C5" w:rsidRPr="00742A04">
        <w:t>la policía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11327" w:rsidRPr="00742A04">
        <w:t>los servicios de apoyo</w:t>
      </w:r>
      <w:r w:rsidR="00545D1B" w:rsidRPr="00742A04">
        <w:t xml:space="preserve"> </w:t>
      </w:r>
      <w:r w:rsidR="00311327" w:rsidRPr="00742A04">
        <w:t>registraron</w:t>
      </w:r>
      <w:r w:rsidR="00545D1B" w:rsidRPr="00742A04">
        <w:t xml:space="preserve"> </w:t>
      </w:r>
      <w:r w:rsidR="00311327" w:rsidRPr="00742A04">
        <w:t>aproximadamente</w:t>
      </w:r>
      <w:r w:rsidR="00545D1B" w:rsidRPr="00742A04">
        <w:t xml:space="preserve"> </w:t>
      </w:r>
      <w:r w:rsidR="00311327" w:rsidRPr="00742A04">
        <w:t>1.000</w:t>
      </w:r>
      <w:r w:rsidR="00545D1B" w:rsidRPr="00742A04">
        <w:t xml:space="preserve"> </w:t>
      </w:r>
      <w:r w:rsidR="00311327" w:rsidRPr="00742A04">
        <w:t>averiguaciones sobre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311327" w:rsidRPr="00742A04">
        <w:t>habían sufrido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3C25BF" w:rsidRPr="00742A04">
        <w:t>la misma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, </w:t>
      </w:r>
      <w:r w:rsidR="00311327" w:rsidRPr="00742A04">
        <w:t>según las aver</w:t>
      </w:r>
      <w:r w:rsidR="00311327" w:rsidRPr="00742A04">
        <w:t>i</w:t>
      </w:r>
      <w:r w:rsidR="00311327" w:rsidRPr="00742A04">
        <w:t>guaciones</w:t>
      </w:r>
      <w:r w:rsidR="00545D1B" w:rsidRPr="00742A04">
        <w:t xml:space="preserve"> </w:t>
      </w:r>
      <w:r w:rsidR="00311327" w:rsidRPr="00742A04">
        <w:t>registradas</w:t>
      </w:r>
      <w:r w:rsidR="00545D1B" w:rsidRPr="00742A04">
        <w:t xml:space="preserve">, </w:t>
      </w:r>
      <w:r w:rsidR="00311327" w:rsidRPr="00742A04">
        <w:t>aproximadamente</w:t>
      </w:r>
      <w:r w:rsidR="00545D1B" w:rsidRPr="00742A04">
        <w:t xml:space="preserve"> 2</w:t>
      </w:r>
      <w:r w:rsidR="00E575DB" w:rsidRPr="00742A04">
        <w:t>.000</w:t>
      </w:r>
      <w:r w:rsidR="00545D1B" w:rsidRPr="00742A04">
        <w:t xml:space="preserve"> </w:t>
      </w:r>
      <w:r w:rsidR="002F3238" w:rsidRPr="00742A04">
        <w:t>niños</w:t>
      </w:r>
      <w:r w:rsidR="00545D1B" w:rsidRPr="00742A04">
        <w:t xml:space="preserve"> </w:t>
      </w:r>
      <w:r w:rsidR="00311327" w:rsidRPr="00742A04">
        <w:t>fueron afectados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A05847" w:rsidRPr="00742A04">
        <w:t>violencia</w:t>
      </w:r>
      <w:r w:rsidR="00311327" w:rsidRPr="00742A04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11327" w:rsidRPr="00742A04">
        <w:t>amenazas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8E5EBF" w:rsidRPr="00742A04">
        <w:t xml:space="preserve">una persona </w:t>
      </w:r>
      <w:r w:rsidR="00311327" w:rsidRPr="00742A04">
        <w:t>con la que estaban estrechamente relacionados</w:t>
      </w:r>
      <w:r w:rsidR="00545D1B" w:rsidRPr="00742A04">
        <w:t xml:space="preserve">. </w:t>
      </w:r>
      <w:r w:rsidR="003C25BF" w:rsidRPr="00742A04">
        <w:t>Casi</w:t>
      </w:r>
      <w:r w:rsidR="00545D1B" w:rsidRPr="00742A04">
        <w:t xml:space="preserve"> </w:t>
      </w:r>
      <w:r w:rsidR="00311327" w:rsidRPr="00742A04">
        <w:t>t</w:t>
      </w:r>
      <w:r w:rsidR="00311327" w:rsidRPr="00742A04">
        <w:t>o</w:t>
      </w:r>
      <w:r w:rsidR="00311327" w:rsidRPr="00742A04">
        <w:t>dos los</w:t>
      </w:r>
      <w:r w:rsidR="002F3238" w:rsidRPr="00742A04">
        <w:t xml:space="preserve"> niños</w:t>
      </w:r>
      <w:r w:rsidR="00545D1B" w:rsidRPr="00742A04">
        <w:t xml:space="preserve"> </w:t>
      </w:r>
      <w:r w:rsidR="00311327" w:rsidRPr="00742A04">
        <w:t>afectados eran menores de</w:t>
      </w:r>
      <w:r w:rsidR="00545D1B" w:rsidRPr="00742A04">
        <w:t xml:space="preserve"> 15 </w:t>
      </w:r>
      <w:r w:rsidR="004D313C" w:rsidRPr="00742A04">
        <w:t>años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, </w:t>
      </w:r>
      <w:r w:rsidR="00311327" w:rsidRPr="00742A04">
        <w:t>y muchos de ellos eran de edad preescolar</w:t>
      </w:r>
      <w:r w:rsidR="00545D1B" w:rsidRPr="00742A04">
        <w:t xml:space="preserve">. </w:t>
      </w:r>
      <w:r w:rsidR="00F67A1B" w:rsidRPr="00742A04">
        <w:t>La encuesta</w:t>
      </w:r>
      <w:r w:rsidR="00545D1B" w:rsidRPr="00742A04">
        <w:t xml:space="preserve"> </w:t>
      </w:r>
      <w:r w:rsidR="003E5775" w:rsidRPr="00742A04">
        <w:t>indica que</w:t>
      </w:r>
      <w:r w:rsidR="00545D1B" w:rsidRPr="00742A04">
        <w:t xml:space="preserve"> </w:t>
      </w:r>
      <w:r w:rsidR="00311327" w:rsidRPr="00742A04">
        <w:t>los</w:t>
      </w:r>
      <w:r w:rsidR="00B31D97" w:rsidRPr="00742A04">
        <w:t xml:space="preserve"> </w:t>
      </w:r>
      <w:r w:rsidR="00704D87">
        <w:t>infractores</w:t>
      </w:r>
      <w:r w:rsidR="00545D1B" w:rsidRPr="00742A04">
        <w:t xml:space="preserve"> </w:t>
      </w:r>
      <w:r w:rsidR="00311327" w:rsidRPr="00742A04">
        <w:t>eran en mayoritariamente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311327" w:rsidRPr="00742A04">
        <w:t xml:space="preserve">el </w:t>
      </w:r>
      <w:r w:rsidR="00545D1B" w:rsidRPr="00742A04">
        <w:t>85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11327" w:rsidRPr="00742A04">
        <w:t>las averiguaciones</w:t>
      </w:r>
      <w:r w:rsidR="00545D1B" w:rsidRPr="00742A04">
        <w:t xml:space="preserve">, </w:t>
      </w:r>
      <w:r w:rsidR="00311327" w:rsidRPr="00742A04">
        <w:t>el autor</w:t>
      </w:r>
      <w:r w:rsidR="00545D1B" w:rsidRPr="00742A04">
        <w:t xml:space="preserve"> </w:t>
      </w:r>
      <w:r w:rsidR="00311327" w:rsidRPr="00742A04">
        <w:t>era</w:t>
      </w:r>
      <w:r w:rsidR="00FF39FE" w:rsidRPr="00742A04">
        <w:t xml:space="preserve"> un hombre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E575DB" w:rsidRPr="00742A04">
        <w:t>más de</w:t>
      </w:r>
      <w:r w:rsidR="00311327" w:rsidRPr="00742A04">
        <w:t>l</w:t>
      </w:r>
      <w:r w:rsidR="00545D1B" w:rsidRPr="00742A04">
        <w:t xml:space="preserve"> 60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11327" w:rsidRPr="00742A04">
        <w:t>las averiguaciones</w:t>
      </w:r>
      <w:r w:rsidR="00545D1B" w:rsidRPr="00742A04">
        <w:t xml:space="preserve">, </w:t>
      </w:r>
      <w:r w:rsidR="00311327" w:rsidRPr="00742A04">
        <w:t>había habido violencia física</w:t>
      </w:r>
      <w:r w:rsidR="00545D1B" w:rsidRPr="00742A04">
        <w:t xml:space="preserve">. </w:t>
      </w:r>
      <w:r w:rsidR="00311327" w:rsidRPr="00742A04">
        <w:t>Se habían hecho amenazas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11327" w:rsidRPr="00742A04">
        <w:t>aproximadamente el</w:t>
      </w:r>
      <w:r w:rsidR="00545D1B" w:rsidRPr="00742A04">
        <w:t xml:space="preserve"> 40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311327" w:rsidRPr="00742A04">
        <w:t>casos</w:t>
      </w:r>
      <w:r w:rsidR="00545D1B" w:rsidRPr="00742A04">
        <w:t xml:space="preserve">, </w:t>
      </w:r>
      <w:r w:rsidR="00311327" w:rsidRPr="00742A04">
        <w:t xml:space="preserve">y </w:t>
      </w:r>
      <w:r w:rsidR="00C14BFF" w:rsidRPr="00742A04">
        <w:t>en</w:t>
      </w:r>
      <w:r w:rsidR="00545D1B" w:rsidRPr="00742A04">
        <w:t xml:space="preserve"> </w:t>
      </w:r>
      <w:r w:rsidR="00311327" w:rsidRPr="00742A04">
        <w:t>cerca del</w:t>
      </w:r>
      <w:r w:rsidR="00545D1B" w:rsidRPr="00742A04">
        <w:t xml:space="preserve"> 60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11327" w:rsidRPr="00742A04">
        <w:t>las</w:t>
      </w:r>
      <w:r w:rsidR="00545D1B" w:rsidRPr="00742A04">
        <w:t xml:space="preserve"> </w:t>
      </w:r>
      <w:r w:rsidR="00311327" w:rsidRPr="00742A04">
        <w:t>averiguaciones r</w:t>
      </w:r>
      <w:r w:rsidR="00311327" w:rsidRPr="00742A04">
        <w:t>e</w:t>
      </w:r>
      <w:r w:rsidR="00311327" w:rsidRPr="00742A04">
        <w:t xml:space="preserve">gistradas </w:t>
      </w:r>
      <w:r w:rsidR="00982243" w:rsidRPr="00742A04">
        <w:t xml:space="preserve">se habían producido </w:t>
      </w:r>
      <w:r w:rsidR="00311327" w:rsidRPr="00742A04">
        <w:t>otras formas de abuso físico</w:t>
      </w:r>
      <w:r w:rsidR="00545D1B" w:rsidRPr="00742A04">
        <w:t>.</w:t>
      </w:r>
    </w:p>
    <w:p w:rsidR="00545D1B" w:rsidRPr="00742A04" w:rsidRDefault="00982243" w:rsidP="00021DB5">
      <w:pPr>
        <w:pStyle w:val="SingleTxt"/>
        <w:ind w:firstLine="475"/>
      </w:pPr>
      <w:r w:rsidRPr="00742A04">
        <w:t>La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rPr>
          <w:i/>
        </w:rPr>
        <w:t>denuncias formales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 xml:space="preserve"> </w:t>
      </w:r>
      <w:r w:rsidRPr="00742A04">
        <w:t>se ha</w:t>
      </w:r>
      <w:r w:rsidR="00545D1B" w:rsidRPr="00742A04">
        <w:t xml:space="preserve"> </w:t>
      </w:r>
      <w:r w:rsidR="00AC1BF5" w:rsidRPr="00742A04">
        <w:t>increment</w:t>
      </w:r>
      <w:r w:rsidRPr="00742A04">
        <w:t>ad</w:t>
      </w:r>
      <w:r w:rsidR="00AC1BF5" w:rsidRPr="00742A04">
        <w:t>o</w:t>
      </w:r>
      <w:r w:rsidRPr="00742A04">
        <w:t>, pasando</w:t>
      </w:r>
      <w:r w:rsidR="00AC1BF5" w:rsidRPr="00742A04">
        <w:t xml:space="preserve"> de</w:t>
      </w:r>
      <w:r w:rsidR="00545D1B" w:rsidRPr="00742A04">
        <w:t xml:space="preserve"> </w:t>
      </w:r>
      <w:r w:rsidRPr="00742A04">
        <w:t>3.</w:t>
      </w:r>
      <w:r w:rsidR="00545D1B" w:rsidRPr="00742A04">
        <w:t xml:space="preserve">890 </w:t>
      </w:r>
      <w:r w:rsidR="008A2682" w:rsidRPr="00742A04">
        <w:t>casos</w:t>
      </w:r>
      <w:r w:rsidR="00545D1B" w:rsidRPr="00742A04">
        <w:t xml:space="preserve"> </w:t>
      </w:r>
      <w:r w:rsidRPr="00742A04">
        <w:t>denunciados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2003 </w:t>
      </w:r>
      <w:r w:rsidR="0030626A" w:rsidRPr="00742A04">
        <w:t>a</w:t>
      </w:r>
      <w:r w:rsidRPr="00742A04">
        <w:t xml:space="preserve"> 4.</w:t>
      </w:r>
      <w:r w:rsidR="00545D1B" w:rsidRPr="00742A04">
        <w:t xml:space="preserve">348 </w:t>
      </w:r>
      <w:r w:rsidR="008A2682" w:rsidRPr="00742A04">
        <w:t>casos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2005. </w:t>
      </w:r>
      <w:r w:rsidRPr="00742A04">
        <w:t xml:space="preserve">No </w:t>
      </w:r>
      <w:r w:rsidR="00D97ADA">
        <w:t>h</w:t>
      </w:r>
      <w:r w:rsidR="00394F2F" w:rsidRPr="00742A04">
        <w:t>ay raz</w:t>
      </w:r>
      <w:r w:rsidR="00394F2F" w:rsidRPr="00742A04">
        <w:t>o</w:t>
      </w:r>
      <w:r w:rsidR="00394F2F" w:rsidRPr="00742A04">
        <w:t>nes para</w:t>
      </w:r>
      <w:r w:rsidRPr="00742A04">
        <w:t xml:space="preserve"> creer</w:t>
      </w:r>
      <w:r w:rsidR="00545D1B" w:rsidRPr="00742A04">
        <w:t xml:space="preserve"> </w:t>
      </w:r>
      <w:r w:rsidRPr="00742A04">
        <w:t>que ello se debe</w:t>
      </w:r>
      <w:r w:rsidR="00545D1B" w:rsidRPr="00742A04">
        <w:t xml:space="preserve"> </w:t>
      </w:r>
      <w:r w:rsidR="0030626A" w:rsidRPr="00742A04">
        <w:t>a</w:t>
      </w:r>
      <w:r w:rsidRPr="00742A04">
        <w:t xml:space="preserve"> u</w:t>
      </w:r>
      <w:r w:rsidR="00545D1B" w:rsidRPr="00742A04">
        <w:t xml:space="preserve">n </w:t>
      </w:r>
      <w:r w:rsidR="00242371" w:rsidRPr="00742A04">
        <w:t>increment</w:t>
      </w:r>
      <w:r w:rsidRPr="00742A04">
        <w:t>o de la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, </w:t>
      </w:r>
      <w:r w:rsidRPr="00742A04">
        <w:t>sino que más bien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prob</w:t>
      </w:r>
      <w:r w:rsidRPr="00742A04">
        <w:t>ablemente una</w:t>
      </w:r>
      <w:r w:rsidR="00545D1B" w:rsidRPr="00742A04">
        <w:t xml:space="preserve"> indica</w:t>
      </w:r>
      <w:r w:rsidR="00C14BFF" w:rsidRPr="00742A04">
        <w:t xml:space="preserve">ción </w:t>
      </w:r>
      <w:r w:rsidRPr="00742A04">
        <w:t>de que es mayor la cantidad de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Pr="00742A04">
        <w:t>que</w:t>
      </w:r>
      <w:r w:rsidR="00545D1B" w:rsidRPr="00742A04">
        <w:t xml:space="preserve"> </w:t>
      </w:r>
      <w:r w:rsidRPr="00742A04">
        <w:t>acuden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C59C5" w:rsidRPr="00742A04">
        <w:t>policía</w:t>
      </w:r>
      <w:r w:rsidR="00545D1B" w:rsidRPr="00742A04">
        <w:t xml:space="preserve"> </w:t>
      </w:r>
      <w:r w:rsidR="00024DBC" w:rsidRPr="00742A04">
        <w:t>y que</w:t>
      </w:r>
      <w:r w:rsidR="00545D1B" w:rsidRPr="00742A04">
        <w:t xml:space="preserve"> </w:t>
      </w:r>
      <w:r w:rsidR="00F43124" w:rsidRPr="00742A04">
        <w:t>hay</w:t>
      </w:r>
      <w:r w:rsidR="00545D1B" w:rsidRPr="00742A04">
        <w:t xml:space="preserve"> </w:t>
      </w:r>
      <w:r w:rsidRPr="00742A04">
        <w:t>un mayor grado de</w:t>
      </w:r>
      <w:r w:rsidR="00545D1B" w:rsidRPr="00742A04">
        <w:t xml:space="preserve"> </w:t>
      </w:r>
      <w:r w:rsidRPr="00742A04">
        <w:t>apertura</w:t>
      </w:r>
      <w:r w:rsidR="00545D1B" w:rsidRPr="00742A04">
        <w:t xml:space="preserve"> </w:t>
      </w:r>
      <w:r w:rsidR="003E4840" w:rsidRPr="00742A04">
        <w:t>acerca de</w:t>
      </w:r>
      <w:r w:rsidR="00545D1B" w:rsidRPr="00742A04">
        <w:t xml:space="preserve"> </w:t>
      </w:r>
      <w:r w:rsidRPr="00742A04">
        <w:t xml:space="preserve">este problema </w:t>
      </w:r>
      <w:r w:rsidR="00877AA0" w:rsidRPr="00742A04">
        <w:t>y</w:t>
      </w:r>
      <w:r w:rsidRPr="00742A04">
        <w:t xml:space="preserve"> que </w:t>
      </w:r>
      <w:r w:rsidR="00170E24" w:rsidRPr="00742A04">
        <w:t xml:space="preserve">ser víctima de violencia en la pareja es </w:t>
      </w:r>
      <w:r w:rsidRPr="00742A04">
        <w:t>actualmente</w:t>
      </w:r>
      <w:r w:rsidR="00545D1B" w:rsidRPr="00742A04">
        <w:t xml:space="preserve"> </w:t>
      </w:r>
      <w:r w:rsidRPr="00742A04">
        <w:t>menos</w:t>
      </w:r>
      <w:r w:rsidR="00545D1B" w:rsidRPr="00742A04">
        <w:t xml:space="preserve"> </w:t>
      </w:r>
      <w:r w:rsidRPr="00742A04">
        <w:t>tabú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170E24" w:rsidRPr="00742A04">
        <w:t>hace algunos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>.</w:t>
      </w:r>
    </w:p>
    <w:p w:rsidR="00545D1B" w:rsidRPr="00742A04" w:rsidRDefault="003E5775" w:rsidP="002C4922">
      <w:pPr>
        <w:pStyle w:val="SingleTxt"/>
        <w:rPr>
          <w:i/>
        </w:rPr>
      </w:pPr>
      <w:r w:rsidRPr="00742A04">
        <w:rPr>
          <w:i/>
        </w:rPr>
        <w:t>Centros de crisis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</w:t>
      </w:r>
      <w:r w:rsidR="0030689C" w:rsidRPr="00742A04">
        <w:rPr>
          <w:i/>
        </w:rPr>
        <w:t>centro</w:t>
      </w:r>
      <w:r w:rsidR="00BC2FBE" w:rsidRPr="00742A04">
        <w:rPr>
          <w:i/>
        </w:rPr>
        <w:t>s</w:t>
      </w:r>
      <w:r w:rsidR="0030689C" w:rsidRPr="00742A04">
        <w:rPr>
          <w:i/>
        </w:rPr>
        <w:t xml:space="preserve"> de </w:t>
      </w:r>
      <w:r w:rsidR="00AD5494" w:rsidRPr="00742A04">
        <w:rPr>
          <w:i/>
        </w:rPr>
        <w:t>recursos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</w:t>
      </w:r>
      <w:r w:rsidR="00982243" w:rsidRPr="00742A04">
        <w:rPr>
          <w:i/>
        </w:rPr>
        <w:t>las víctimas de violación</w:t>
      </w:r>
    </w:p>
    <w:p w:rsidR="00545D1B" w:rsidRPr="00742A04" w:rsidRDefault="00021DB5" w:rsidP="00021DB5">
      <w:pPr>
        <w:pStyle w:val="SingleTxt"/>
        <w:ind w:firstLine="475"/>
      </w:pPr>
      <w:r w:rsidRPr="00742A04">
        <w:t>Hay</w:t>
      </w:r>
      <w:r w:rsidR="00545D1B" w:rsidRPr="00742A04">
        <w:t xml:space="preserve"> 50 </w:t>
      </w:r>
      <w:r w:rsidR="003E5775" w:rsidRPr="00742A04">
        <w:t>centros de crisis</w:t>
      </w:r>
      <w:r w:rsidR="00545D1B" w:rsidRPr="00742A04">
        <w:t xml:space="preserve">. </w:t>
      </w:r>
      <w:r w:rsidR="00982243" w:rsidRPr="00742A04">
        <w:t>La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C2FBE" w:rsidRPr="00742A04">
        <w:t>esos</w:t>
      </w:r>
      <w:r w:rsidR="00545D1B" w:rsidRPr="00742A04">
        <w:t xml:space="preserve"> </w:t>
      </w:r>
      <w:r w:rsidR="00BC2FBE" w:rsidRPr="00742A04">
        <w:t>centros</w:t>
      </w:r>
      <w:r w:rsidR="00545D1B" w:rsidRPr="00742A04">
        <w:t xml:space="preserve"> </w:t>
      </w:r>
      <w:r w:rsidR="006D7D2F" w:rsidRPr="00742A04">
        <w:t xml:space="preserve">ha </w:t>
      </w:r>
      <w:r w:rsidR="00BC2FBE" w:rsidRPr="00742A04">
        <w:t>permanec</w:t>
      </w:r>
      <w:r w:rsidR="006D7D2F" w:rsidRPr="00742A04">
        <w:t>ido</w:t>
      </w:r>
      <w:r w:rsidR="00545D1B" w:rsidRPr="00742A04">
        <w:t xml:space="preserve"> relat</w:t>
      </w:r>
      <w:r w:rsidR="00545D1B" w:rsidRPr="00742A04">
        <w:t>i</w:t>
      </w:r>
      <w:r w:rsidR="00545D1B" w:rsidRPr="00742A04">
        <w:t>v</w:t>
      </w:r>
      <w:r w:rsidR="00BC2FBE" w:rsidRPr="00742A04">
        <w:t>amente estable</w:t>
      </w:r>
      <w:r w:rsidR="00545D1B" w:rsidRPr="00742A04">
        <w:t xml:space="preserve"> </w:t>
      </w:r>
      <w:r w:rsidR="00BC2FBE" w:rsidRPr="00742A04">
        <w:t>des</w:t>
      </w:r>
      <w:r w:rsidR="00B34971" w:rsidRPr="00742A04">
        <w:t>de</w:t>
      </w:r>
      <w:r w:rsidR="00545D1B" w:rsidRPr="00742A04">
        <w:t xml:space="preserve"> </w:t>
      </w:r>
      <w:r w:rsidR="00552048" w:rsidRPr="00742A04">
        <w:t>mediados del decenio de 1980</w:t>
      </w:r>
      <w:r w:rsidR="00545D1B" w:rsidRPr="00742A04">
        <w:t xml:space="preserve">. </w:t>
      </w:r>
      <w:r w:rsidRPr="00742A04">
        <w:t>Hay</w:t>
      </w:r>
      <w:r w:rsidR="00545D1B" w:rsidRPr="00742A04">
        <w:t xml:space="preserve"> </w:t>
      </w:r>
      <w:r w:rsidR="003E5775" w:rsidRPr="00742A04">
        <w:t>centros de crisis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C2FBE" w:rsidRPr="00742A04">
        <w:t>t</w:t>
      </w:r>
      <w:r w:rsidR="00BC2FBE" w:rsidRPr="00742A04">
        <w:t>o</w:t>
      </w:r>
      <w:r w:rsidR="00BC2FBE" w:rsidRPr="00742A04">
        <w:t>dos los condados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C076F2" w:rsidRPr="00742A04">
        <w:t xml:space="preserve">de los </w:t>
      </w:r>
      <w:r w:rsidR="0063400A" w:rsidRPr="00742A04">
        <w:t>centros</w:t>
      </w:r>
      <w:r w:rsidR="00545D1B" w:rsidRPr="00742A04">
        <w:t xml:space="preserve"> </w:t>
      </w:r>
      <w:r w:rsidR="00BC2FBE" w:rsidRPr="00742A04">
        <w:t>de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="00BC2FBE" w:rsidRPr="00742A04">
        <w:t>condado</w:t>
      </w:r>
      <w:r w:rsidR="00545D1B" w:rsidRPr="00742A04">
        <w:t xml:space="preserve"> </w:t>
      </w:r>
      <w:r w:rsidR="00BC2FBE" w:rsidRPr="00742A04">
        <w:t>varía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C2FBE" w:rsidRPr="00742A04">
        <w:t>ocho</w:t>
      </w:r>
      <w:r w:rsidR="00545D1B" w:rsidRPr="00742A04">
        <w:t xml:space="preserve">. </w:t>
      </w:r>
      <w:r w:rsidR="00BC2FBE" w:rsidRPr="00742A04">
        <w:t>El tamaño</w:t>
      </w:r>
      <w:r w:rsidR="00545D1B" w:rsidRPr="00742A04">
        <w:t xml:space="preserve">, </w:t>
      </w:r>
      <w:r w:rsidR="00BC2FBE" w:rsidRPr="00742A04">
        <w:t xml:space="preserve">la </w:t>
      </w:r>
      <w:r w:rsidR="008F0C8E" w:rsidRPr="00742A04">
        <w:t>organiza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BC2FBE" w:rsidRPr="00742A04">
        <w:t>la propiedad</w:t>
      </w:r>
      <w:r w:rsidR="00545D1B" w:rsidRPr="00742A04">
        <w:t xml:space="preserve"> </w:t>
      </w:r>
      <w:r w:rsidR="00C076F2" w:rsidRPr="00742A04">
        <w:t xml:space="preserve">de los </w:t>
      </w:r>
      <w:r w:rsidR="00BC2FBE" w:rsidRPr="00742A04">
        <w:t>centros</w:t>
      </w:r>
      <w:r w:rsidR="00545D1B" w:rsidRPr="00742A04">
        <w:t xml:space="preserve"> </w:t>
      </w:r>
      <w:r w:rsidR="00EF5B12" w:rsidRPr="00742A04">
        <w:t>varían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495D7B" w:rsidRPr="00742A04">
        <w:t>un</w:t>
      </w:r>
      <w:r w:rsidR="00545D1B" w:rsidRPr="00742A04">
        <w:t xml:space="preserve"> </w:t>
      </w:r>
      <w:r w:rsidR="00BC2FBE" w:rsidRPr="00742A04">
        <w:t>centro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C2FBE" w:rsidRPr="00742A04">
        <w:t>otro</w:t>
      </w:r>
      <w:r w:rsidR="00545D1B" w:rsidRPr="00742A04">
        <w:t xml:space="preserve">. </w:t>
      </w:r>
      <w:r w:rsidR="00BC2FBE" w:rsidRPr="00742A04">
        <w:t>Seis</w:t>
      </w:r>
      <w:r w:rsidR="00545D1B" w:rsidRPr="00742A04">
        <w:t xml:space="preserve"> </w:t>
      </w:r>
      <w:r w:rsidR="003E5775" w:rsidRPr="00742A04">
        <w:t>centros de crisis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BC2FBE" w:rsidRPr="00742A04">
        <w:t>administrados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F43124" w:rsidRPr="00742A04">
        <w:t>las municipalidades</w:t>
      </w:r>
      <w:r w:rsidR="00545D1B" w:rsidRPr="00742A04">
        <w:t xml:space="preserve">, </w:t>
      </w:r>
      <w:r w:rsidR="00BC2FBE" w:rsidRPr="00742A04">
        <w:t>y</w:t>
      </w:r>
      <w:r w:rsidR="00545D1B" w:rsidRPr="00742A04">
        <w:t xml:space="preserve"> </w:t>
      </w:r>
      <w:r w:rsidR="00BC2FBE" w:rsidRPr="00742A04">
        <w:t>los otros</w:t>
      </w:r>
      <w:r w:rsidR="00545D1B" w:rsidRPr="00742A04">
        <w:t xml:space="preserve"> 44 </w:t>
      </w:r>
      <w:r w:rsidR="006137EC" w:rsidRPr="00742A04">
        <w:t>s</w:t>
      </w:r>
      <w:r w:rsidR="00B86412" w:rsidRPr="00742A04">
        <w:t>e administran</w:t>
      </w:r>
      <w:r w:rsidR="00545D1B" w:rsidRPr="00742A04">
        <w:t xml:space="preserve"> </w:t>
      </w:r>
      <w:r w:rsidR="00B86412" w:rsidRPr="00742A04">
        <w:t>privada</w:t>
      </w:r>
      <w:r w:rsidR="00BC2FBE" w:rsidRPr="00742A04">
        <w:t>mente</w:t>
      </w:r>
      <w:r w:rsidR="00545D1B" w:rsidRPr="00742A04">
        <w:t xml:space="preserve">. </w:t>
      </w:r>
      <w:r w:rsidR="00B86412" w:rsidRPr="00742A04">
        <w:t>Algunos</w:t>
      </w:r>
      <w:r w:rsidR="00545D1B" w:rsidRPr="00742A04">
        <w:t xml:space="preserve"> </w:t>
      </w:r>
      <w:r w:rsidR="003E5775" w:rsidRPr="00742A04">
        <w:t>centros de crisis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BC2FBE" w:rsidRPr="00742A04">
        <w:t>centros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02E16" w:rsidRPr="00742A04">
        <w:t>ví</w:t>
      </w:r>
      <w:r w:rsidR="00502E16" w:rsidRPr="00742A04">
        <w:t>c</w:t>
      </w:r>
      <w:r w:rsidR="00502E16" w:rsidRPr="00742A04">
        <w:t>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6412" w:rsidRPr="00742A04">
        <w:t>incesto</w:t>
      </w:r>
      <w:r w:rsidR="00545D1B" w:rsidRPr="00742A04">
        <w:t xml:space="preserve">. </w:t>
      </w:r>
      <w:r w:rsidR="00B86412" w:rsidRPr="00742A04">
        <w:t>Los centros</w:t>
      </w:r>
      <w:r w:rsidR="00545D1B" w:rsidRPr="00742A04">
        <w:t xml:space="preserve"> </w:t>
      </w:r>
      <w:r w:rsidR="00EF5B12" w:rsidRPr="00742A04">
        <w:t>brindan</w:t>
      </w:r>
      <w:r w:rsidR="00545D1B" w:rsidRPr="00742A04">
        <w:t xml:space="preserve"> </w:t>
      </w:r>
      <w:r w:rsidR="00502E16" w:rsidRPr="00742A04">
        <w:t>asesoramiento</w:t>
      </w:r>
      <w:r w:rsidR="00545D1B" w:rsidRPr="00742A04">
        <w:t xml:space="preserve">, </w:t>
      </w:r>
      <w:r w:rsidR="00935A90" w:rsidRPr="00742A04">
        <w:t>apoyo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6412" w:rsidRPr="00742A04">
        <w:t>consejos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82A08" w:rsidRPr="00742A04">
        <w:t>las pe</w:t>
      </w:r>
      <w:r w:rsidR="00B82A08" w:rsidRPr="00742A04">
        <w:t>r</w:t>
      </w:r>
      <w:r w:rsidR="00B82A08" w:rsidRPr="00742A04">
        <w:t>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EF5B12" w:rsidRPr="00742A04">
        <w:t>han</w:t>
      </w:r>
      <w:r w:rsidR="00B86412" w:rsidRPr="00742A04">
        <w:t xml:space="preserve"> sufrido </w:t>
      </w:r>
      <w:r w:rsidR="00BC2FBE" w:rsidRPr="00742A04">
        <w:t>maltrato</w:t>
      </w:r>
      <w:r w:rsidR="00545D1B" w:rsidRPr="00742A04">
        <w:t xml:space="preserve">, </w:t>
      </w:r>
      <w:r w:rsidR="00A05847" w:rsidRPr="00742A04">
        <w:t>violencia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B86412" w:rsidRPr="00742A04">
        <w:t>hogar</w:t>
      </w:r>
      <w:r w:rsidR="00545D1B" w:rsidRPr="00742A04">
        <w:t>. T</w:t>
      </w:r>
      <w:r w:rsidR="0030626A" w:rsidRPr="00742A04">
        <w:t>ambién</w:t>
      </w:r>
      <w:r w:rsidR="00545D1B" w:rsidRPr="00742A04">
        <w:t xml:space="preserve"> </w:t>
      </w:r>
      <w:r w:rsidR="00B86412" w:rsidRPr="00742A04">
        <w:t>ofrecen r</w:t>
      </w:r>
      <w:r w:rsidR="00B86412" w:rsidRPr="00742A04">
        <w:t>e</w:t>
      </w:r>
      <w:r w:rsidR="00B86412" w:rsidRPr="00742A04">
        <w:t>fugio temporal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86412"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C6D40" w:rsidRPr="00742A04">
        <w:t>sus hijos</w:t>
      </w:r>
      <w:r w:rsidR="00545D1B" w:rsidRPr="00742A04">
        <w:t>.</w:t>
      </w:r>
      <w:r w:rsidR="001167D2" w:rsidRPr="00742A04">
        <w:t xml:space="preserve"> </w:t>
      </w:r>
      <w:r w:rsidR="00B86412" w:rsidRPr="00742A04">
        <w:t>E</w:t>
      </w:r>
      <w:r w:rsidR="001167D2" w:rsidRPr="00742A04">
        <w:t xml:space="preserve">l </w:t>
      </w:r>
      <w:r w:rsidR="008F0C8E" w:rsidRPr="00742A04">
        <w:t>Gobierno</w:t>
      </w:r>
      <w:r w:rsidR="00545D1B" w:rsidRPr="00742A04">
        <w:t xml:space="preserve"> </w:t>
      </w:r>
      <w:r w:rsidR="00B86412" w:rsidRPr="00742A04">
        <w:t>está considerando la pos</w:t>
      </w:r>
      <w:r w:rsidR="00B86412" w:rsidRPr="00742A04">
        <w:t>i</w:t>
      </w:r>
      <w:r w:rsidR="00B86412" w:rsidRPr="00742A04">
        <w:t>bilidad de</w:t>
      </w:r>
      <w:r w:rsidR="00545D1B" w:rsidRPr="00742A04">
        <w:t xml:space="preserve"> </w:t>
      </w:r>
      <w:r w:rsidR="00B86412" w:rsidRPr="00742A04">
        <w:t>promulgar un</w:t>
      </w:r>
      <w:r w:rsidR="00545D1B" w:rsidRPr="00742A04">
        <w:t xml:space="preserve"> </w:t>
      </w:r>
      <w:r w:rsidR="00B86412" w:rsidRPr="00742A04">
        <w:t>marco legislativo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86412" w:rsidRPr="00742A04">
        <w:t xml:space="preserve">los </w:t>
      </w:r>
      <w:r w:rsidR="003E5775" w:rsidRPr="00742A04">
        <w:t>ce</w:t>
      </w:r>
      <w:r w:rsidR="003E5775" w:rsidRPr="00742A04">
        <w:t>n</w:t>
      </w:r>
      <w:r w:rsidR="003E5775" w:rsidRPr="00742A04">
        <w:t>tros de crisis</w:t>
      </w:r>
      <w:r w:rsidR="00545D1B" w:rsidRPr="00742A04">
        <w:t>.</w:t>
      </w:r>
    </w:p>
    <w:p w:rsidR="00545D1B" w:rsidRPr="00742A04" w:rsidRDefault="0030626A" w:rsidP="00021DB5">
      <w:pPr>
        <w:pStyle w:val="SingleTxt"/>
        <w:ind w:firstLine="475"/>
      </w:pPr>
      <w:r w:rsidRPr="00742A04">
        <w:t xml:space="preserve">Además </w:t>
      </w:r>
      <w:r w:rsidR="00C076F2" w:rsidRPr="00742A04">
        <w:t xml:space="preserve">de los </w:t>
      </w:r>
      <w:r w:rsidR="003E5775" w:rsidRPr="00742A04">
        <w:t>centros de crisis</w:t>
      </w:r>
      <w:r w:rsidR="00545D1B" w:rsidRPr="00742A04">
        <w:t xml:space="preserve"> </w:t>
      </w:r>
      <w:r w:rsidR="00021DB5" w:rsidRPr="00742A04">
        <w:t>hay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30689C" w:rsidRPr="00742A04">
        <w:t>centro</w:t>
      </w:r>
      <w:r w:rsidR="00B86412" w:rsidRPr="00742A04">
        <w:t>s</w:t>
      </w:r>
      <w:r w:rsidR="0030689C" w:rsidRPr="00742A04">
        <w:t xml:space="preserve"> de </w:t>
      </w:r>
      <w:r w:rsidR="00AD5494" w:rsidRPr="00742A04">
        <w:t>recursos</w:t>
      </w:r>
      <w:r w:rsidR="00545D1B" w:rsidRPr="00742A04">
        <w:t xml:space="preserve"> </w:t>
      </w:r>
      <w:r w:rsidR="00B86412" w:rsidRPr="00742A04">
        <w:t xml:space="preserve">DIXI </w:t>
      </w:r>
      <w:r w:rsidR="00F43124" w:rsidRPr="00742A04">
        <w:t>para</w:t>
      </w:r>
      <w:r w:rsidR="00545D1B" w:rsidRPr="00742A04">
        <w:t xml:space="preserve"> </w:t>
      </w:r>
      <w:r w:rsidR="00982243" w:rsidRPr="00742A04">
        <w:t>las ví</w:t>
      </w:r>
      <w:r w:rsidR="00982243" w:rsidRPr="00742A04">
        <w:t>c</w:t>
      </w:r>
      <w:r w:rsidR="00982243" w:rsidRPr="00742A04">
        <w:t>timas de violación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B86412" w:rsidRPr="00742A04">
        <w:t>brinda</w:t>
      </w:r>
      <w:r w:rsidR="00254144">
        <w:t>n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B86412" w:rsidRPr="00742A04">
        <w:t>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44B38" w:rsidRPr="00742A04">
        <w:t>la violación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6412" w:rsidRPr="00742A04">
        <w:t xml:space="preserve">sus </w:t>
      </w:r>
      <w:r w:rsidR="002A458D" w:rsidRPr="00742A04">
        <w:t>fam</w:t>
      </w:r>
      <w:r w:rsidR="002A458D" w:rsidRPr="00742A04">
        <w:t>i</w:t>
      </w:r>
      <w:r w:rsidR="002A458D" w:rsidRPr="00742A04">
        <w:t>liares</w:t>
      </w:r>
      <w:r w:rsidR="00545D1B" w:rsidRPr="00742A04">
        <w:t>.</w:t>
      </w:r>
    </w:p>
    <w:p w:rsidR="00545D1B" w:rsidRPr="00742A04" w:rsidRDefault="004A0730" w:rsidP="00021DB5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B86412" w:rsidRPr="00742A04">
        <w:t>agosto de</w:t>
      </w:r>
      <w:r w:rsidR="00545D1B" w:rsidRPr="00742A04">
        <w:t xml:space="preserve"> 2003, </w:t>
      </w:r>
      <w:r w:rsidR="00B86412" w:rsidRPr="00742A04">
        <w:t xml:space="preserve">el Colegio de la Universidad de Oslo publicó </w:t>
      </w:r>
      <w:r w:rsidR="00FC59C5" w:rsidRPr="00742A04">
        <w:t>un informe</w:t>
      </w:r>
      <w:r w:rsidR="00545D1B" w:rsidRPr="00742A04">
        <w:t xml:space="preserve"> </w:t>
      </w:r>
      <w:r w:rsidR="008A0C75" w:rsidRPr="00742A04">
        <w:t>titulado</w:t>
      </w:r>
      <w:r w:rsidR="00545D1B" w:rsidRPr="00742A04">
        <w:t xml:space="preserve"> </w:t>
      </w:r>
      <w:r w:rsidR="00545D1B" w:rsidRPr="00742A04">
        <w:rPr>
          <w:i/>
        </w:rPr>
        <w:t xml:space="preserve">Ideologi eller profesjonstenkning? </w:t>
      </w:r>
      <w:r w:rsidR="00EF5B12" w:rsidRPr="00742A04">
        <w:rPr>
          <w:i/>
        </w:rPr>
        <w:t>En statusrapport om krisesentrene</w:t>
      </w:r>
      <w:r w:rsidR="00EF5B12" w:rsidRPr="00742A04">
        <w:t xml:space="preserve"> (“</w:t>
      </w:r>
      <w:r w:rsidR="00EF5B12">
        <w:t>¿</w:t>
      </w:r>
      <w:r w:rsidR="00EF5B12" w:rsidRPr="00742A04">
        <w:t xml:space="preserve">Ideología o profesionalismo? </w:t>
      </w:r>
      <w:r w:rsidR="003E5775" w:rsidRPr="00742A04">
        <w:t>Un informe de situación</w:t>
      </w:r>
      <w:r w:rsidR="00545D1B" w:rsidRPr="00742A04">
        <w:t xml:space="preserve"> </w:t>
      </w:r>
      <w:r w:rsidR="00B86412" w:rsidRPr="00742A04">
        <w:t>sobre los</w:t>
      </w:r>
      <w:r w:rsidR="00545D1B" w:rsidRPr="00742A04">
        <w:t xml:space="preserve"> </w:t>
      </w:r>
      <w:r w:rsidR="003E5775" w:rsidRPr="00742A04">
        <w:t>centros de cr</w:t>
      </w:r>
      <w:r w:rsidR="003E5775" w:rsidRPr="00742A04">
        <w:t>i</w:t>
      </w:r>
      <w:r w:rsidR="003E5775" w:rsidRPr="00742A04">
        <w:t>sis</w:t>
      </w:r>
      <w:r w:rsidR="00B86412" w:rsidRPr="00742A04">
        <w:t>”</w:t>
      </w:r>
      <w:r w:rsidR="00545D1B" w:rsidRPr="00742A04">
        <w:t>).</w:t>
      </w:r>
      <w:r w:rsidR="001167D2" w:rsidRPr="00742A04">
        <w:t xml:space="preserve"> </w:t>
      </w:r>
      <w:r w:rsidR="00B86412" w:rsidRPr="00742A04">
        <w:t>E</w:t>
      </w:r>
      <w:r w:rsidR="001167D2" w:rsidRPr="00742A04">
        <w:t>l</w:t>
      </w:r>
      <w:r w:rsidR="00B86412"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="00B86412" w:rsidRPr="00742A04">
        <w:t>presenta</w:t>
      </w:r>
      <w:r w:rsidR="00545D1B" w:rsidRPr="00742A04">
        <w:t xml:space="preserve"> </w:t>
      </w:r>
      <w:r w:rsidR="00B86412" w:rsidRPr="00742A04">
        <w:t>un panorama</w:t>
      </w:r>
      <w:r w:rsidR="00545D1B" w:rsidRPr="00742A04">
        <w:t xml:space="preserve"> </w:t>
      </w:r>
      <w:r w:rsidR="00B86412" w:rsidRPr="00742A04">
        <w:t xml:space="preserve">de la </w:t>
      </w:r>
      <w:r w:rsidR="00545D1B" w:rsidRPr="00742A04">
        <w:t>financi</w:t>
      </w:r>
      <w:r w:rsidR="00B86412" w:rsidRPr="00742A04">
        <w:t>ación</w:t>
      </w:r>
      <w:r w:rsidR="00545D1B" w:rsidRPr="00742A04">
        <w:t xml:space="preserve">, </w:t>
      </w:r>
      <w:r w:rsidR="00B86412" w:rsidRPr="00742A04">
        <w:t>la estructura orgánica</w:t>
      </w:r>
      <w:r w:rsidR="00545D1B" w:rsidRPr="00742A04">
        <w:t xml:space="preserve">, </w:t>
      </w:r>
      <w:r w:rsidR="00B86412" w:rsidRPr="00742A04">
        <w:t xml:space="preserve">los </w:t>
      </w:r>
      <w:r w:rsidR="00F43124" w:rsidRPr="00742A04">
        <w:t>programa</w:t>
      </w:r>
      <w:r w:rsidR="00545D1B" w:rsidRPr="00742A04">
        <w:t xml:space="preserve">s, </w:t>
      </w:r>
      <w:r w:rsidR="00AF398C" w:rsidRPr="00742A04">
        <w:t>las condiciones de trabajo</w:t>
      </w:r>
      <w:r w:rsidR="00B86412" w:rsidRPr="00742A04">
        <w:t xml:space="preserve"> </w:t>
      </w:r>
      <w:r w:rsidR="00C076F2" w:rsidRPr="00742A04">
        <w:t xml:space="preserve">de los </w:t>
      </w:r>
      <w:r w:rsidR="00B86412" w:rsidRPr="00742A04">
        <w:t>empleados</w:t>
      </w:r>
      <w:r w:rsidR="00545D1B" w:rsidRPr="00742A04">
        <w:t xml:space="preserve">, </w:t>
      </w:r>
      <w:r w:rsidR="00B86412" w:rsidRPr="00742A04">
        <w:t xml:space="preserve">la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Pr="00742A04">
        <w:t>con</w:t>
      </w:r>
      <w:r w:rsidR="00545D1B" w:rsidRPr="00742A04">
        <w:t xml:space="preserve"> </w:t>
      </w:r>
      <w:r w:rsidR="00B86412" w:rsidRPr="00742A04">
        <w:t xml:space="preserve">otros </w:t>
      </w:r>
      <w:r w:rsidR="00311327" w:rsidRPr="00742A04">
        <w:t>servicios de apoyo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43274" w:rsidRPr="00742A04">
        <w:t>el</w:t>
      </w:r>
      <w:r w:rsidR="00545D1B" w:rsidRPr="00742A04">
        <w:t xml:space="preserve"> </w:t>
      </w:r>
      <w:r w:rsidR="006B65CD" w:rsidRPr="00742A04">
        <w:t>desarrollo</w:t>
      </w:r>
      <w:r w:rsidR="00B86412" w:rsidRPr="00742A04">
        <w:t xml:space="preserve"> </w:t>
      </w:r>
      <w:r w:rsidR="00F43274" w:rsidRPr="00742A04">
        <w:t xml:space="preserve">a largo plazo </w:t>
      </w:r>
      <w:r w:rsidR="00C076F2" w:rsidRPr="00742A04">
        <w:t xml:space="preserve">de los </w:t>
      </w:r>
      <w:r w:rsidR="00B86412" w:rsidRPr="00742A04">
        <w:t>centros de crisis</w:t>
      </w:r>
      <w:r w:rsidR="00545D1B" w:rsidRPr="00742A04">
        <w:t xml:space="preserve">. </w:t>
      </w:r>
      <w:r w:rsidR="00F43274" w:rsidRPr="00742A04">
        <w:t>El estudio</w:t>
      </w:r>
      <w:r w:rsidR="00545D1B" w:rsidRPr="00742A04">
        <w:t xml:space="preserve"> </w:t>
      </w:r>
      <w:r w:rsidR="00F43274" w:rsidRPr="00742A04">
        <w:t>fue financiado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</w:t>
      </w:r>
      <w:r w:rsidR="004B2748" w:rsidRPr="00742A04">
        <w:t>l</w:t>
      </w:r>
      <w:r w:rsidR="004B2748" w:rsidRPr="00742A04">
        <w:t>dad</w:t>
      </w:r>
      <w:r w:rsidR="00545D1B" w:rsidRPr="00742A04">
        <w:t>.</w:t>
      </w:r>
    </w:p>
    <w:p w:rsidR="00545D1B" w:rsidRPr="00742A04" w:rsidRDefault="00F43274" w:rsidP="00021DB5">
      <w:pPr>
        <w:pStyle w:val="SingleTxt"/>
        <w:ind w:firstLine="475"/>
      </w:pPr>
      <w:r w:rsidRPr="00742A04">
        <w:t xml:space="preserve">El </w:t>
      </w:r>
      <w:r w:rsidR="003E4840" w:rsidRPr="00742A04">
        <w:t xml:space="preserve">Plan de </w:t>
      </w:r>
      <w:r w:rsidRPr="00742A04">
        <w:t>A</w:t>
      </w:r>
      <w:r w:rsidR="006B65CD" w:rsidRPr="00742A04">
        <w:t>cción</w:t>
      </w:r>
      <w:r w:rsidR="00545D1B" w:rsidRPr="00742A04">
        <w:t xml:space="preserve"> </w:t>
      </w:r>
      <w:r w:rsidRPr="00742A04">
        <w:t xml:space="preserve">del Gobierno </w:t>
      </w:r>
      <w:r w:rsidR="007C341F" w:rsidRPr="00742A04">
        <w:t>de Lucha contra la</w:t>
      </w:r>
      <w:r w:rsidR="00545D1B" w:rsidRPr="00742A04">
        <w:t xml:space="preserve"> </w:t>
      </w:r>
      <w:r w:rsidRPr="00742A04">
        <w:t>Violencia Domé</w:t>
      </w:r>
      <w:r w:rsidR="00545D1B" w:rsidRPr="00742A04">
        <w:t>stic</w:t>
      </w:r>
      <w:r w:rsidRPr="00742A04">
        <w:t>a</w:t>
      </w:r>
      <w:r w:rsidR="00545D1B" w:rsidRPr="00742A04">
        <w:t xml:space="preserve"> </w:t>
      </w:r>
      <w:r w:rsidR="008E5EBF" w:rsidRPr="00742A04">
        <w:t>co</w:t>
      </w:r>
      <w:r w:rsidR="008E5EBF" w:rsidRPr="00742A04">
        <w:t>m</w:t>
      </w:r>
      <w:r w:rsidR="008E5EBF" w:rsidRPr="00742A04">
        <w:t>prende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B31D97" w:rsidRPr="00742A04">
        <w:t>para mejorar</w:t>
      </w:r>
      <w:r w:rsidR="00545D1B" w:rsidRPr="00742A04">
        <w:t xml:space="preserve"> </w:t>
      </w:r>
      <w:r w:rsidR="00B31D97" w:rsidRPr="00742A04">
        <w:t>el nivel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242371" w:rsidRPr="00742A04">
        <w:t>las capacidades especializ</w:t>
      </w:r>
      <w:r w:rsidR="00242371" w:rsidRPr="00742A04">
        <w:t>a</w:t>
      </w:r>
      <w:r w:rsidR="00242371" w:rsidRPr="00742A04">
        <w:t>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11327" w:rsidRPr="00742A04">
        <w:t>los servicios de apoyo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Pr="00742A04">
        <w:t>par</w:t>
      </w:r>
      <w:r w:rsidR="0030626A" w:rsidRPr="00742A04">
        <w:t>a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 w:rsidRPr="00742A04">
        <w:t xml:space="preserve">la </w:t>
      </w:r>
      <w:r w:rsidR="00CB2022" w:rsidRPr="00742A04">
        <w:t>violencia doméstica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prestar</w:t>
      </w:r>
      <w:r w:rsidR="00545D1B" w:rsidRPr="00742A04">
        <w:t xml:space="preserve"> </w:t>
      </w:r>
      <w:r w:rsidR="00502E16" w:rsidRPr="00742A04">
        <w:t>asi</w:t>
      </w:r>
      <w:r w:rsidR="00502E16" w:rsidRPr="00742A04">
        <w:t>s</w:t>
      </w:r>
      <w:r w:rsidR="00502E16" w:rsidRPr="00742A04">
        <w:t>tencia</w:t>
      </w:r>
      <w:r w:rsidR="00545D1B" w:rsidRPr="00742A04">
        <w:t xml:space="preserve"> </w:t>
      </w:r>
      <w:r w:rsidRPr="00742A04">
        <w:t>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dicha violencia</w:t>
      </w:r>
      <w:r w:rsidR="00545D1B" w:rsidRPr="00742A04">
        <w:t xml:space="preserve">. </w:t>
      </w:r>
      <w:r w:rsidR="00D3378F" w:rsidRPr="00742A04">
        <w:t>En consonancia con</w:t>
      </w:r>
      <w:r w:rsidR="00545D1B" w:rsidRPr="00742A04">
        <w:t xml:space="preserve"> </w:t>
      </w:r>
      <w:r w:rsidRPr="00742A04">
        <w:t>esos</w:t>
      </w:r>
      <w:r w:rsidR="00545D1B" w:rsidRPr="00742A04">
        <w:t xml:space="preserve"> </w:t>
      </w:r>
      <w:r w:rsidR="003C25BF" w:rsidRPr="00742A04">
        <w:t>objetivo</w:t>
      </w:r>
      <w:r w:rsidR="00545D1B" w:rsidRPr="00742A04">
        <w:t xml:space="preserve">s, </w:t>
      </w:r>
      <w:r w:rsidR="00FB34C1" w:rsidRPr="00742A04">
        <w:t>la S</w:t>
      </w:r>
      <w:r w:rsidR="00FB34C1" w:rsidRPr="00742A04">
        <w:t>e</w:t>
      </w:r>
      <w:r w:rsidR="00FB34C1" w:rsidRPr="00742A04">
        <w:t xml:space="preserve">cretaría </w:t>
      </w:r>
      <w:r w:rsidR="00C076F2" w:rsidRPr="00742A04">
        <w:t xml:space="preserve">de los </w:t>
      </w:r>
      <w:r w:rsidR="005C19C7" w:rsidRPr="00742A04">
        <w:t>Centros de Crisis</w:t>
      </w:r>
      <w:r w:rsidR="00545D1B" w:rsidRPr="00742A04">
        <w:t xml:space="preserve"> </w:t>
      </w:r>
      <w:r w:rsidR="00FB34C1" w:rsidRPr="00742A04">
        <w:t xml:space="preserve">de Noruega </w:t>
      </w:r>
      <w:r w:rsidR="00877AA0" w:rsidRPr="00742A04">
        <w:t>y</w:t>
      </w:r>
      <w:r w:rsidR="00545D1B" w:rsidRPr="00742A04">
        <w:t xml:space="preserve"> </w:t>
      </w:r>
      <w:r w:rsidR="00FB34C1" w:rsidRPr="00742A04">
        <w:t>la</w:t>
      </w:r>
      <w:r w:rsidR="00545D1B" w:rsidRPr="00742A04">
        <w:t xml:space="preserve"> </w:t>
      </w:r>
      <w:r w:rsidR="001725A9" w:rsidRPr="00742A04">
        <w:t>Confederación Noruega de Sind</w:t>
      </w:r>
      <w:r w:rsidR="001725A9" w:rsidRPr="00742A04">
        <w:t>i</w:t>
      </w:r>
      <w:r w:rsidR="001725A9" w:rsidRPr="00742A04">
        <w:t>catos</w:t>
      </w:r>
      <w:r w:rsidR="00545D1B" w:rsidRPr="00742A04">
        <w:t xml:space="preserve"> publi</w:t>
      </w:r>
      <w:r w:rsidR="00FB34C1" w:rsidRPr="00742A04">
        <w:t>caron</w:t>
      </w:r>
      <w:r w:rsidR="00545D1B" w:rsidRPr="00742A04">
        <w:t xml:space="preserve"> </w:t>
      </w:r>
      <w:r w:rsidR="00FB34C1" w:rsidRPr="00742A04">
        <w:t>un folleto de información</w:t>
      </w:r>
      <w:r w:rsidR="00545D1B" w:rsidRPr="00742A04">
        <w:t xml:space="preserve"> </w:t>
      </w:r>
      <w:r w:rsidR="008A0C75" w:rsidRPr="00742A04">
        <w:t>titulado</w:t>
      </w:r>
      <w:r w:rsidR="00545D1B" w:rsidRPr="00742A04">
        <w:t xml:space="preserve"> </w:t>
      </w:r>
      <w:r w:rsidR="00545D1B" w:rsidRPr="00742A04">
        <w:rPr>
          <w:i/>
        </w:rPr>
        <w:t xml:space="preserve">Vi bryr oss på arbeidsplassen </w:t>
      </w:r>
      <w:r w:rsidR="00545D1B" w:rsidRPr="00742A04">
        <w:t>(</w:t>
      </w:r>
      <w:r w:rsidR="00FB34C1" w:rsidRPr="00742A04">
        <w:t xml:space="preserve">“Nos preocupamos por nuestros </w:t>
      </w:r>
      <w:r w:rsidR="00380AC9" w:rsidRPr="00742A04">
        <w:t>empleados</w:t>
      </w:r>
      <w:r w:rsidR="00FB34C1" w:rsidRPr="00742A04">
        <w:t>”</w:t>
      </w:r>
      <w:r w:rsidR="00545D1B" w:rsidRPr="00742A04">
        <w:t xml:space="preserve">). </w:t>
      </w:r>
      <w:r w:rsidR="00FB34C1" w:rsidRPr="00742A04">
        <w:t>El folleto</w:t>
      </w:r>
      <w:r w:rsidR="00545D1B" w:rsidRPr="00742A04">
        <w:t xml:space="preserve"> </w:t>
      </w:r>
      <w:r w:rsidR="00FB34C1" w:rsidRPr="00742A04">
        <w:t xml:space="preserve">tiene la finalidad de dar a </w:t>
      </w:r>
      <w:r w:rsidR="00AD0883" w:rsidRPr="00742A04">
        <w:t>los empleadores</w:t>
      </w:r>
      <w:r w:rsidR="00545D1B" w:rsidRPr="00742A04">
        <w:t xml:space="preserve"> </w:t>
      </w:r>
      <w:r w:rsidR="00FB34C1" w:rsidRPr="00742A04">
        <w:t>mejores instrumentos par</w:t>
      </w:r>
      <w:r w:rsidR="0030626A" w:rsidRPr="00742A04">
        <w:t>a</w:t>
      </w:r>
      <w:r w:rsidR="00545D1B" w:rsidRPr="00742A04">
        <w:t xml:space="preserve"> </w:t>
      </w:r>
      <w:r w:rsidR="00FB34C1" w:rsidRPr="00742A04">
        <w:t>prestar atención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FB34C1" w:rsidRPr="00742A04">
        <w:t>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B34C1" w:rsidRPr="00742A04">
        <w:t>darles asesoramiento</w:t>
      </w:r>
      <w:r w:rsidR="00545D1B" w:rsidRPr="00742A04">
        <w:t xml:space="preserve">. </w:t>
      </w:r>
      <w:r w:rsidR="00FB34C1" w:rsidRPr="00742A04">
        <w:t>El objetivo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="00FB34C1" w:rsidRPr="00742A04">
        <w:t>que se disponga de personal asesor como</w:t>
      </w:r>
      <w:r w:rsidR="00545D1B" w:rsidRPr="00742A04">
        <w:t xml:space="preserve"> </w:t>
      </w:r>
      <w:r w:rsidR="001633F4" w:rsidRPr="00742A04">
        <w:t>parte integrante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B34C1" w:rsidRPr="00742A04">
        <w:t xml:space="preserve">las rutinas de control </w:t>
      </w:r>
      <w:r w:rsidR="00545D1B" w:rsidRPr="00742A04">
        <w:t>intern</w:t>
      </w:r>
      <w:r w:rsidR="00FB34C1" w:rsidRPr="00742A04">
        <w:t>o</w:t>
      </w:r>
      <w:r w:rsidR="00545D1B" w:rsidRPr="00742A04">
        <w:t xml:space="preserve"> </w:t>
      </w:r>
      <w:r w:rsidR="00FB34C1" w:rsidRPr="00742A04">
        <w:t>en todos</w:t>
      </w:r>
      <w:r w:rsidR="00545D1B" w:rsidRPr="00742A04">
        <w:t xml:space="preserve"> </w:t>
      </w:r>
      <w:r w:rsidR="00FB34C1" w:rsidRPr="00742A04">
        <w:t>los lugares de trabajo</w:t>
      </w:r>
      <w:r w:rsidR="00545D1B" w:rsidRPr="00742A04">
        <w:t>.</w:t>
      </w:r>
    </w:p>
    <w:p w:rsidR="00545D1B" w:rsidRPr="00742A04" w:rsidRDefault="00FB34C1" w:rsidP="00021DB5">
      <w:pPr>
        <w:pStyle w:val="SingleTxt"/>
        <w:ind w:firstLine="475"/>
      </w:pPr>
      <w:r w:rsidRPr="00742A04">
        <w:t>La colaboración interinstitucional</w:t>
      </w:r>
      <w:r w:rsidR="00C14BFF" w:rsidRPr="00742A04">
        <w:t xml:space="preserve"> </w:t>
      </w:r>
      <w:r w:rsidRPr="00742A04">
        <w:t>que tiene un</w:t>
      </w:r>
      <w:r w:rsidR="00545D1B" w:rsidRPr="00742A04">
        <w:t>a bas</w:t>
      </w:r>
      <w:r w:rsidRPr="00742A04">
        <w:t>e</w:t>
      </w:r>
      <w:r w:rsidR="00545D1B" w:rsidRPr="00742A04">
        <w:t xml:space="preserve"> </w:t>
      </w:r>
      <w:r w:rsidRPr="00742A04">
        <w:t xml:space="preserve">formal </w:t>
      </w:r>
      <w:r w:rsidR="00C14BFF" w:rsidRPr="00742A04">
        <w:t>en</w:t>
      </w:r>
      <w:r w:rsidR="00545D1B" w:rsidRPr="00742A04">
        <w:t xml:space="preserve"> </w:t>
      </w:r>
      <w:r w:rsidRPr="00742A04">
        <w:t>los planes m</w:t>
      </w:r>
      <w:r w:rsidRPr="00742A04">
        <w:t>u</w:t>
      </w:r>
      <w:r w:rsidRPr="00742A04">
        <w:t>nicipales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una clara</w:t>
      </w:r>
      <w:r w:rsidR="00545D1B" w:rsidRPr="00742A04">
        <w:t xml:space="preserve"> divis</w:t>
      </w:r>
      <w:r w:rsidR="005E6919" w:rsidRPr="00742A04">
        <w:t xml:space="preserve">ión </w:t>
      </w:r>
      <w:r w:rsidR="004A0730" w:rsidRPr="00742A04">
        <w:t>de</w:t>
      </w:r>
      <w:r w:rsidR="00545D1B" w:rsidRPr="00742A04">
        <w:t xml:space="preserve"> </w:t>
      </w:r>
      <w:r w:rsidR="008E5EBF" w:rsidRPr="00742A04">
        <w:t>responsabilidad</w:t>
      </w:r>
      <w:r w:rsidRPr="00742A04">
        <w:t>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7E0DFE" w:rsidRPr="00742A04">
        <w:t>esencial</w:t>
      </w:r>
      <w:r w:rsidRPr="00742A04">
        <w:t>es</w:t>
      </w:r>
      <w:r w:rsidR="00545D1B" w:rsidRPr="00742A04">
        <w:t xml:space="preserve"> </w:t>
      </w:r>
      <w:r w:rsidRPr="00742A04">
        <w:t xml:space="preserve">para la </w:t>
      </w:r>
      <w:r w:rsidR="007D406D" w:rsidRPr="00742A04">
        <w:t xml:space="preserve">prestación </w:t>
      </w:r>
      <w:r w:rsidR="007B3403">
        <w:t>de</w:t>
      </w:r>
      <w:r w:rsidRPr="00742A04">
        <w:t xml:space="preserve"> un</w:t>
      </w:r>
      <w:r w:rsidR="0030626A" w:rsidRPr="00742A04">
        <w:t>a</w:t>
      </w:r>
      <w:r w:rsidR="00545D1B" w:rsidRPr="00742A04">
        <w:t xml:space="preserve"> </w:t>
      </w:r>
      <w:r w:rsidRPr="00742A04">
        <w:t>ayuda eficaz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42AA" w:rsidRPr="00742A04">
        <w:t>discapacidades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2006 </w:t>
      </w:r>
      <w:r w:rsidRPr="00742A04">
        <w:t>la Red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42AA" w:rsidRPr="00742A04">
        <w:t>Discapacidades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507A11" w:rsidRPr="00742A04">
        <w:t>publicó</w:t>
      </w:r>
      <w:r w:rsidR="00545D1B" w:rsidRPr="00742A04">
        <w:t xml:space="preserve"> </w:t>
      </w:r>
      <w:r w:rsidR="00FC59C5" w:rsidRPr="00742A04">
        <w:t>un informe</w:t>
      </w:r>
      <w:r w:rsidR="00545D1B" w:rsidRPr="00742A04">
        <w:t xml:space="preserve"> </w:t>
      </w:r>
      <w:r w:rsidR="00507A11" w:rsidRPr="00742A04">
        <w:t>sobre</w:t>
      </w:r>
      <w:r w:rsidR="00545D1B" w:rsidRPr="00742A04">
        <w:t xml:space="preserve"> </w:t>
      </w:r>
      <w:r w:rsidR="00507A11" w:rsidRPr="00742A04">
        <w:t>los servicios municipales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42AA" w:rsidRPr="00742A04">
        <w:t>discapacidades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07A11" w:rsidRPr="00742A04">
        <w:t>son sometidas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(</w:t>
      </w:r>
      <w:r w:rsidR="00545D1B" w:rsidRPr="00742A04">
        <w:rPr>
          <w:i/>
        </w:rPr>
        <w:t>Hvilket tilbud gir kommunene til voldsuts</w:t>
      </w:r>
      <w:r w:rsidR="00D66FC2" w:rsidRPr="00742A04">
        <w:rPr>
          <w:i/>
        </w:rPr>
        <w:t>ate</w:t>
      </w:r>
      <w:r w:rsidR="00545D1B" w:rsidRPr="00742A04">
        <w:rPr>
          <w:i/>
        </w:rPr>
        <w:t xml:space="preserve"> kvinner med funksjonshemning?</w:t>
      </w:r>
      <w:r w:rsidR="00545D1B" w:rsidRPr="00742A04">
        <w:t>).</w:t>
      </w:r>
      <w:r w:rsidR="001167D2" w:rsidRPr="00742A04">
        <w:t xml:space="preserve"> </w:t>
      </w:r>
      <w:r w:rsidR="00507A11" w:rsidRPr="00742A04">
        <w:t>E</w:t>
      </w:r>
      <w:r w:rsidR="001167D2" w:rsidRPr="00742A04">
        <w:t xml:space="preserve">l </w:t>
      </w:r>
      <w:r w:rsidR="00FB5EDF" w:rsidRPr="00742A04">
        <w:t>informe</w:t>
      </w:r>
      <w:r w:rsidR="00545D1B" w:rsidRPr="00742A04">
        <w:t xml:space="preserve"> </w:t>
      </w:r>
      <w:r w:rsidR="00507A11" w:rsidRPr="00742A04">
        <w:t>se</w:t>
      </w:r>
      <w:r w:rsidR="00D52339" w:rsidRPr="00742A04">
        <w:t xml:space="preserve"> bas</w:t>
      </w:r>
      <w:r w:rsidR="00507A11" w:rsidRPr="00742A04">
        <w:t>a en una encuesta por entrevistas</w:t>
      </w:r>
      <w:r w:rsidR="00545D1B" w:rsidRPr="00742A04">
        <w:t xml:space="preserve"> </w:t>
      </w:r>
      <w:r w:rsidR="00507A11" w:rsidRPr="00742A04">
        <w:t>llevada a cabo en 2005</w:t>
      </w:r>
      <w:r w:rsidR="007B3403">
        <w:t xml:space="preserve"> </w:t>
      </w:r>
      <w:r w:rsidR="00507A11" w:rsidRPr="00742A04">
        <w:t>en</w:t>
      </w:r>
      <w:r w:rsidR="00F43124" w:rsidRPr="00742A04">
        <w:t xml:space="preserve"> municipalidades</w:t>
      </w:r>
      <w:r w:rsidR="00545D1B" w:rsidRPr="00742A04">
        <w:t xml:space="preserve"> </w:t>
      </w:r>
      <w:r w:rsidR="00507A11" w:rsidRPr="00742A04">
        <w:t>seleccion</w:t>
      </w:r>
      <w:r w:rsidR="00507A11" w:rsidRPr="00742A04">
        <w:t>a</w:t>
      </w:r>
      <w:r w:rsidR="00507A11" w:rsidRPr="00742A04">
        <w:t>das</w:t>
      </w:r>
      <w:r w:rsidR="00545D1B" w:rsidRPr="00742A04">
        <w:t xml:space="preserve">. </w:t>
      </w:r>
      <w:r w:rsidR="00495D7B" w:rsidRPr="00742A04">
        <w:t>Un</w:t>
      </w:r>
      <w:r w:rsidR="00507A11" w:rsidRPr="00742A04">
        <w:t>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7A11" w:rsidRPr="00742A04">
        <w:t>las conclusiones</w:t>
      </w:r>
      <w:r w:rsidR="00545D1B" w:rsidRPr="00742A04">
        <w:t xml:space="preserve"> </w:t>
      </w:r>
      <w:r w:rsidR="00507A11" w:rsidRPr="00742A04">
        <w:t>a que se llegó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507A11" w:rsidRPr="00742A04">
        <w:t>que</w:t>
      </w:r>
      <w:r w:rsidR="00545D1B" w:rsidRPr="00742A04">
        <w:t xml:space="preserve"> “</w:t>
      </w:r>
      <w:r w:rsidR="00507A11" w:rsidRPr="00742A04">
        <w:t>parece haber</w:t>
      </w:r>
      <w:r w:rsidR="00545D1B" w:rsidRPr="00742A04">
        <w:t xml:space="preserve"> </w:t>
      </w:r>
      <w:r w:rsidR="00507A11" w:rsidRPr="00742A04">
        <w:t>una falta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E5775" w:rsidRPr="00742A04">
        <w:t>conocimiento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7A11" w:rsidRPr="00742A04">
        <w:t>los servicios municipales</w:t>
      </w:r>
      <w:r w:rsidR="00311327" w:rsidRPr="00742A04">
        <w:t xml:space="preserve"> de apoyo</w:t>
      </w:r>
      <w:r w:rsidR="00545D1B" w:rsidRPr="00742A04">
        <w:t xml:space="preserve"> </w:t>
      </w:r>
      <w:r w:rsidR="00507A11" w:rsidRPr="00742A04">
        <w:t xml:space="preserve">acerca </w:t>
      </w:r>
      <w:r w:rsidR="004A0730" w:rsidRPr="00742A04">
        <w:t>de</w:t>
      </w:r>
      <w:r w:rsidR="00545D1B" w:rsidRPr="00742A04">
        <w:t xml:space="preserve"> </w:t>
      </w:r>
      <w:r w:rsidR="00AE7B93" w:rsidRPr="00742A04">
        <w:t>importante</w:t>
      </w:r>
      <w:r w:rsidR="00507A11" w:rsidRPr="00742A04">
        <w:t>s aspectos de</w:t>
      </w:r>
      <w:r w:rsidR="00545D1B" w:rsidRPr="00742A04">
        <w:t xml:space="preserve"> </w:t>
      </w:r>
      <w:r w:rsidR="00507A11" w:rsidRPr="00742A04">
        <w:t>las condiciones de vida</w:t>
      </w:r>
      <w:r w:rsidR="00545D1B" w:rsidRPr="00742A04">
        <w:t xml:space="preserve"> </w:t>
      </w:r>
      <w:r w:rsidR="00507A11" w:rsidRPr="00742A04">
        <w:t>de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42AA" w:rsidRPr="00742A04">
        <w:t>discapacidades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7A11" w:rsidRPr="00742A04">
        <w:t xml:space="preserve">la </w:t>
      </w:r>
      <w:r w:rsidR="00CB2022" w:rsidRPr="00742A04">
        <w:t>vi</w:t>
      </w:r>
      <w:r w:rsidR="00CB2022" w:rsidRPr="00742A04">
        <w:t>o</w:t>
      </w:r>
      <w:r w:rsidR="00CB2022" w:rsidRPr="00742A04">
        <w:t>lencia doméstica</w:t>
      </w:r>
      <w:r w:rsidR="00545D1B" w:rsidRPr="00742A04">
        <w:t xml:space="preserve"> </w:t>
      </w:r>
      <w:r w:rsidR="00507A11" w:rsidRPr="00742A04">
        <w:t>como</w:t>
      </w:r>
      <w:r w:rsidR="00545D1B" w:rsidRPr="00742A04">
        <w:t xml:space="preserve"> </w:t>
      </w:r>
      <w:r w:rsidR="00507A11" w:rsidRPr="00742A04">
        <w:t>fenómeno</w:t>
      </w:r>
      <w:r w:rsidR="00545D1B" w:rsidRPr="00742A04">
        <w:t>”.</w:t>
      </w:r>
      <w:r w:rsidR="001167D2" w:rsidRPr="00742A04">
        <w:t xml:space="preserve"> </w:t>
      </w:r>
      <w:r w:rsidR="00507A11" w:rsidRPr="00742A04">
        <w:t>E</w:t>
      </w:r>
      <w:r w:rsidR="001167D2" w:rsidRPr="00742A04">
        <w:t>l</w:t>
      </w:r>
      <w:r w:rsidR="00507A11"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544B38" w:rsidRPr="00742A04">
        <w:t>señala que</w:t>
      </w:r>
      <w:r w:rsidR="00545D1B" w:rsidRPr="00742A04">
        <w:t xml:space="preserve"> </w:t>
      </w:r>
      <w:r w:rsidR="00311327" w:rsidRPr="00742A04">
        <w:t>los</w:t>
      </w:r>
      <w:r w:rsidR="00B31D97" w:rsidRPr="00742A04">
        <w:t xml:space="preserve"> servicios</w:t>
      </w:r>
      <w:r w:rsidR="00545D1B" w:rsidRPr="00742A04">
        <w:t xml:space="preserve"> pr</w:t>
      </w:r>
      <w:r w:rsidR="00507A11" w:rsidRPr="00742A04">
        <w:t>estados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507A11" w:rsidRPr="00742A04">
        <w:t>el centro de crisis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7A11" w:rsidRPr="00742A04">
        <w:t xml:space="preserve">por </w:t>
      </w:r>
      <w:r w:rsidR="00975A9E" w:rsidRPr="00742A04">
        <w:t xml:space="preserve">la municipalidad </w:t>
      </w:r>
      <w:r w:rsidR="00507A11" w:rsidRPr="00742A04">
        <w:t xml:space="preserve">deben considerarse </w:t>
      </w:r>
      <w:r w:rsidR="00EF5B12" w:rsidRPr="00742A04">
        <w:t>conju</w:t>
      </w:r>
      <w:r w:rsidR="00EF5B12" w:rsidRPr="00742A04">
        <w:t>n</w:t>
      </w:r>
      <w:r w:rsidR="00EF5B12" w:rsidRPr="00742A04">
        <w:t>tamente</w:t>
      </w:r>
      <w:r w:rsidR="00545D1B" w:rsidRPr="00742A04">
        <w:t xml:space="preserve">, </w:t>
      </w:r>
      <w:r w:rsidR="00024DBC" w:rsidRPr="00742A04">
        <w:t>y que</w:t>
      </w:r>
      <w:r w:rsidR="00545D1B" w:rsidRPr="00742A04">
        <w:t xml:space="preserve"> </w:t>
      </w:r>
      <w:r w:rsidR="00507A11" w:rsidRPr="00742A04">
        <w:t>la ayuda</w:t>
      </w:r>
      <w:r w:rsidR="00545D1B" w:rsidRPr="00742A04">
        <w:t xml:space="preserve"> </w:t>
      </w:r>
      <w:r w:rsidR="00507A11" w:rsidRPr="00742A04">
        <w:t>más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07A11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vi</w:t>
      </w:r>
      <w:r w:rsidR="00A05847" w:rsidRPr="00742A04">
        <w:t>o</w:t>
      </w:r>
      <w:r w:rsidR="00A05847" w:rsidRPr="00742A04">
        <w:t>lencia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507A11" w:rsidRPr="00742A04">
        <w:t xml:space="preserve">brindada por conducto </w:t>
      </w:r>
      <w:r w:rsidR="00C076F2" w:rsidRPr="00742A04">
        <w:t xml:space="preserve">de los </w:t>
      </w:r>
      <w:r w:rsidR="00BC2FBE" w:rsidRPr="00742A04">
        <w:t>centros</w:t>
      </w:r>
      <w:r w:rsidR="003E5775" w:rsidRPr="00742A04">
        <w:t xml:space="preserve"> de crisis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7A11" w:rsidRPr="00742A04">
        <w:t xml:space="preserve">de </w:t>
      </w:r>
      <w:r w:rsidR="00F97F41" w:rsidRPr="00742A04">
        <w:t>su</w:t>
      </w:r>
      <w:r w:rsidR="00545D1B" w:rsidRPr="00742A04">
        <w:t xml:space="preserve">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="004A0730" w:rsidRPr="00742A04">
        <w:t>con</w:t>
      </w:r>
      <w:r w:rsidR="00545D1B" w:rsidRPr="00742A04">
        <w:t xml:space="preserve"> </w:t>
      </w:r>
      <w:r w:rsidR="00F43124" w:rsidRPr="00742A04">
        <w:t>las municipal</w:t>
      </w:r>
      <w:r w:rsidR="00F43124" w:rsidRPr="00742A04">
        <w:t>i</w:t>
      </w:r>
      <w:r w:rsidR="00F43124" w:rsidRPr="00742A04">
        <w:t>dades</w:t>
      </w:r>
      <w:r w:rsidR="00507A11" w:rsidRPr="00742A04">
        <w:t xml:space="preserve"> locales</w:t>
      </w:r>
      <w:r w:rsidR="00545D1B" w:rsidRPr="00742A04">
        <w:t>.</w:t>
      </w:r>
    </w:p>
    <w:p w:rsidR="00545D1B" w:rsidRPr="00742A04" w:rsidRDefault="007D36C8" w:rsidP="00021DB5">
      <w:pPr>
        <w:pStyle w:val="SingleTxt"/>
        <w:ind w:firstLine="475"/>
      </w:pPr>
      <w:r w:rsidRPr="00742A04">
        <w:t>La Dirección de la Infancia, la Juventud y los Asuntos de Familia de N</w:t>
      </w:r>
      <w:r w:rsidRPr="00742A04">
        <w:t>o</w:t>
      </w:r>
      <w:r w:rsidRPr="00742A04">
        <w:t>ruega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Pr="00742A04">
        <w:t>administra</w:t>
      </w:r>
      <w:r w:rsidR="00545D1B" w:rsidRPr="00742A04">
        <w:t xml:space="preserve"> </w:t>
      </w:r>
      <w:r w:rsidR="000E16DE" w:rsidRPr="00742A04">
        <w:t>el plan de subsidios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E16DE" w:rsidRPr="00742A04">
        <w:t xml:space="preserve">los </w:t>
      </w:r>
      <w:r w:rsidR="003E5775" w:rsidRPr="00742A04">
        <w:t>centros de crisis</w:t>
      </w:r>
      <w:r w:rsidR="00545D1B" w:rsidRPr="00742A04">
        <w:t xml:space="preserve">, ha </w:t>
      </w:r>
      <w:r w:rsidR="000E16DE" w:rsidRPr="00742A04">
        <w:t>comenzado</w:t>
      </w:r>
      <w:r w:rsidR="00545D1B" w:rsidRPr="00742A04">
        <w:t xml:space="preserve"> </w:t>
      </w:r>
      <w:r w:rsidR="000E16DE" w:rsidRPr="00742A04">
        <w:t>a</w:t>
      </w:r>
      <w:r w:rsidR="00116976" w:rsidRPr="00742A04">
        <w:t xml:space="preserve"> trab</w:t>
      </w:r>
      <w:r w:rsidR="00116976" w:rsidRPr="00742A04">
        <w:t>a</w:t>
      </w:r>
      <w:r w:rsidR="000E16DE" w:rsidRPr="00742A04">
        <w:t>jar en</w:t>
      </w:r>
      <w:r w:rsidR="00545D1B" w:rsidRPr="00742A04">
        <w:t xml:space="preserve"> </w:t>
      </w:r>
      <w:r w:rsidR="000E16DE" w:rsidRPr="00742A04">
        <w:t>un estudio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E16DE" w:rsidRPr="00742A04">
        <w:t>la accesibilidad</w:t>
      </w:r>
      <w:r w:rsidR="00545D1B" w:rsidRPr="00742A04">
        <w:t xml:space="preserve"> </w:t>
      </w:r>
      <w:r w:rsidR="00C076F2" w:rsidRPr="00742A04">
        <w:t xml:space="preserve">de los </w:t>
      </w:r>
      <w:r w:rsidR="003E5775" w:rsidRPr="00742A04">
        <w:t>centros de crisis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>,</w:t>
      </w:r>
      <w:r w:rsidR="000E16DE" w:rsidRPr="00742A04">
        <w:t xml:space="preserve"> en partic</w:t>
      </w:r>
      <w:r w:rsidR="000E16DE" w:rsidRPr="00742A04">
        <w:t>u</w:t>
      </w:r>
      <w:r w:rsidR="000E16DE" w:rsidRPr="00742A04">
        <w:t>lar del grado</w:t>
      </w:r>
      <w:r w:rsidR="00834309" w:rsidRPr="00742A04">
        <w:t xml:space="preserve"> en que</w:t>
      </w:r>
      <w:r w:rsidR="00545D1B" w:rsidRPr="00742A04">
        <w:t xml:space="preserve"> </w:t>
      </w:r>
      <w:r w:rsidR="00B31D97" w:rsidRPr="00742A04">
        <w:t>los servicios</w:t>
      </w:r>
      <w:r w:rsidR="00545D1B" w:rsidRPr="00742A04">
        <w:t xml:space="preserve"> </w:t>
      </w:r>
      <w:r w:rsidR="000E16DE" w:rsidRPr="00742A04">
        <w:t>están adaptados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E5775" w:rsidRPr="00742A04">
        <w:t>las necesidades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42AA" w:rsidRPr="00742A04">
        <w:t>discapacidades</w:t>
      </w:r>
      <w:r w:rsidR="00545D1B" w:rsidRPr="00742A04">
        <w:t xml:space="preserve">. </w:t>
      </w:r>
      <w:r w:rsidR="000E16DE" w:rsidRPr="00742A04">
        <w:t>Ésta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0E16DE" w:rsidRPr="00742A04">
        <w:t>una de las medidas</w:t>
      </w:r>
      <w:r w:rsidR="003E5775" w:rsidRPr="00742A04">
        <w:t xml:space="preserve"> previstas en</w:t>
      </w:r>
      <w:r w:rsidR="00545D1B" w:rsidRPr="00742A04">
        <w:t xml:space="preserve"> </w:t>
      </w:r>
      <w:r w:rsidR="000E16DE" w:rsidRPr="00742A04">
        <w:t>el Plan de Acción del Gobierno</w:t>
      </w:r>
      <w:r w:rsidR="00545D1B" w:rsidRPr="00742A04">
        <w:t xml:space="preserve"> </w:t>
      </w:r>
      <w:r w:rsidR="007C341F" w:rsidRPr="00742A04">
        <w:t>de Lucha contra</w:t>
      </w:r>
      <w:r w:rsidR="00A30B35" w:rsidRPr="00742A04">
        <w:t xml:space="preserve"> la </w:t>
      </w:r>
      <w:r w:rsidR="005E603B" w:rsidRPr="00742A04">
        <w:t>Violencia Doméstica</w:t>
      </w:r>
      <w:r w:rsidR="00545D1B" w:rsidRPr="00742A04">
        <w:t xml:space="preserve"> (2004-2007). </w:t>
      </w:r>
      <w:r w:rsidR="004A0730" w:rsidRPr="00742A04">
        <w:t>En</w:t>
      </w:r>
      <w:r w:rsidR="00545D1B" w:rsidRPr="00742A04">
        <w:t xml:space="preserve"> 2003, </w:t>
      </w:r>
      <w:r w:rsidR="000E16DE" w:rsidRPr="00742A04">
        <w:t>estaban</w:t>
      </w:r>
      <w:r w:rsidR="00545D1B" w:rsidRPr="00742A04">
        <w:t xml:space="preserve"> adapt</w:t>
      </w:r>
      <w:r w:rsidR="000E16DE" w:rsidRPr="00742A04">
        <w:t>ados</w:t>
      </w:r>
      <w:r w:rsidR="00545D1B" w:rsidRPr="00742A04">
        <w:t xml:space="preserve"> </w:t>
      </w:r>
      <w:r w:rsidR="00F43124" w:rsidRPr="00742A04">
        <w:t>p</w:t>
      </w:r>
      <w:r w:rsidR="00F43124" w:rsidRPr="00742A04">
        <w:t>a</w:t>
      </w:r>
      <w:r w:rsidR="00F43124" w:rsidRPr="00742A04">
        <w:t>ra</w:t>
      </w:r>
      <w:r w:rsidR="000E16DE" w:rsidRPr="00742A04">
        <w:t xml:space="preserve">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42AA" w:rsidRPr="00742A04">
        <w:t>discapacidades</w:t>
      </w:r>
      <w:r w:rsidR="007B3403">
        <w:t xml:space="preserve"> </w:t>
      </w:r>
      <w:r w:rsidR="000E16DE" w:rsidRPr="00742A04">
        <w:t xml:space="preserve">14 </w:t>
      </w:r>
      <w:r w:rsidR="00C076F2" w:rsidRPr="00742A04">
        <w:t xml:space="preserve">de los </w:t>
      </w:r>
      <w:r w:rsidR="000E16DE" w:rsidRPr="00742A04">
        <w:t>50 centros de crisis</w:t>
      </w:r>
      <w:r w:rsidR="00545D1B" w:rsidRPr="00742A04">
        <w:t>.</w:t>
      </w:r>
    </w:p>
    <w:p w:rsidR="00545D1B" w:rsidRPr="00742A04" w:rsidRDefault="0063400A" w:rsidP="00021DB5">
      <w:pPr>
        <w:pStyle w:val="SingleTxt"/>
        <w:ind w:firstLine="475"/>
      </w:pPr>
      <w:r w:rsidRPr="00742A04">
        <w:t>Merced a un</w:t>
      </w:r>
      <w:r w:rsidR="00545D1B" w:rsidRPr="00742A04">
        <w:t xml:space="preserve"> </w:t>
      </w:r>
      <w:r w:rsidR="005B2FE4" w:rsidRPr="00742A04">
        <w:t>cambio</w:t>
      </w:r>
      <w:r w:rsidR="00545D1B" w:rsidRPr="00742A04">
        <w:t xml:space="preserve"> </w:t>
      </w:r>
      <w:r w:rsidRPr="00742A04">
        <w:t>d</w:t>
      </w:r>
      <w:r w:rsidR="000E16DE" w:rsidRPr="00742A04">
        <w:t>el plan de subsidios</w:t>
      </w:r>
      <w:r w:rsidR="003E5775" w:rsidRPr="00742A04">
        <w:t xml:space="preserve"> </w:t>
      </w:r>
      <w:r w:rsidRPr="00742A04">
        <w:t>implantado a partir</w:t>
      </w:r>
      <w:r w:rsidR="003E5775" w:rsidRPr="00742A04">
        <w:t xml:space="preserve"> </w:t>
      </w:r>
      <w:r w:rsidRPr="00742A04">
        <w:t xml:space="preserve">de </w:t>
      </w:r>
      <w:r w:rsidR="00545D1B" w:rsidRPr="00742A04">
        <w:t xml:space="preserve">2005, </w:t>
      </w:r>
      <w:r w:rsidRPr="00742A04">
        <w:t>que compren</w:t>
      </w:r>
      <w:r w:rsidR="007B3403">
        <w:t xml:space="preserve">de </w:t>
      </w:r>
      <w:r w:rsidR="00893DBB" w:rsidRPr="00742A04">
        <w:t xml:space="preserve">el </w:t>
      </w:r>
      <w:r w:rsidR="00AC1BF5" w:rsidRPr="00742A04">
        <w:t>incremento de</w:t>
      </w:r>
      <w:r w:rsidR="00545D1B" w:rsidRPr="00742A04">
        <w:t xml:space="preserve"> </w:t>
      </w:r>
      <w:r w:rsidRPr="00742A04">
        <w:t xml:space="preserve">la </w:t>
      </w:r>
      <w:r w:rsidR="006B65CD" w:rsidRPr="00742A04">
        <w:t>financiación</w:t>
      </w:r>
      <w:r w:rsidRPr="00742A04">
        <w:t xml:space="preserve"> del Gobierno central</w:t>
      </w:r>
      <w:r w:rsidR="00545D1B" w:rsidRPr="00742A04">
        <w:t xml:space="preserve">, </w:t>
      </w:r>
      <w:r w:rsidRPr="00742A04">
        <w:t>la situación fina</w:t>
      </w:r>
      <w:r w:rsidRPr="00742A04">
        <w:t>n</w:t>
      </w:r>
      <w:r w:rsidRPr="00742A04">
        <w:t>ciera</w:t>
      </w:r>
      <w:r w:rsidR="00C14BFF" w:rsidRPr="00742A04">
        <w:t xml:space="preserve"> </w:t>
      </w:r>
      <w:r w:rsidR="00C076F2" w:rsidRPr="00742A04">
        <w:t xml:space="preserve">de los </w:t>
      </w:r>
      <w:r w:rsidRPr="00742A04">
        <w:t>centros</w:t>
      </w:r>
      <w:r w:rsidR="003E5775" w:rsidRPr="00742A04">
        <w:t xml:space="preserve"> de crisis</w:t>
      </w:r>
      <w:r w:rsidR="00545D1B" w:rsidRPr="00742A04">
        <w:t xml:space="preserve"> </w:t>
      </w:r>
      <w:r w:rsidRPr="00742A04">
        <w:t xml:space="preserve">se ha vuelto </w:t>
      </w:r>
      <w:r w:rsidR="00BA5ABE" w:rsidRPr="00742A04">
        <w:t>más</w:t>
      </w:r>
      <w:r w:rsidR="00545D1B" w:rsidRPr="00742A04">
        <w:t xml:space="preserve"> </w:t>
      </w:r>
      <w:r w:rsidRPr="00742A04">
        <w:t>previsible</w:t>
      </w:r>
      <w:r w:rsidR="00545D1B" w:rsidRPr="00742A04">
        <w:t xml:space="preserve">. </w:t>
      </w:r>
      <w:r w:rsidR="00130F7F" w:rsidRPr="00742A04">
        <w:t>Al mismo tiempo</w:t>
      </w:r>
      <w:r w:rsidR="00545D1B" w:rsidRPr="00742A04">
        <w:t xml:space="preserve">, </w:t>
      </w:r>
      <w:r w:rsidRPr="00742A04">
        <w:t xml:space="preserve">son </w:t>
      </w:r>
      <w:r w:rsidR="00BA5ABE" w:rsidRPr="00742A04">
        <w:t>más</w:t>
      </w:r>
      <w:r w:rsidR="00545D1B" w:rsidRPr="00742A04">
        <w:t xml:space="preserve"> </w:t>
      </w:r>
      <w:r w:rsidRPr="00742A04">
        <w:t xml:space="preserve">los </w:t>
      </w:r>
      <w:r w:rsidR="00BC2FBE" w:rsidRPr="00742A04">
        <w:t>centros</w:t>
      </w:r>
      <w:r w:rsidR="00545D1B" w:rsidRPr="00742A04">
        <w:t xml:space="preserve"> </w:t>
      </w:r>
      <w:r w:rsidRPr="00742A04">
        <w:t>que están utilizando</w:t>
      </w:r>
      <w:r w:rsidR="00545D1B" w:rsidRPr="00742A04">
        <w:t xml:space="preserve"> </w:t>
      </w:r>
      <w:r w:rsidRPr="00742A04">
        <w:t xml:space="preserve">el plan de préstamos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Pr="00742A04">
        <w:t>Banco Estatal de Vivienda de Noruega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mejora y construcción de viviendas</w:t>
      </w:r>
      <w:r w:rsidR="002E2883" w:rsidRPr="00742A04">
        <w:t xml:space="preserve"> con el fin de ajustarse a los e</w:t>
      </w:r>
      <w:r w:rsidR="002E2883" w:rsidRPr="00742A04">
        <w:t>s</w:t>
      </w:r>
      <w:r w:rsidR="002E2883" w:rsidRPr="00742A04">
        <w:t>tándares de diseño</w:t>
      </w:r>
      <w:r w:rsidR="009D4482">
        <w:t xml:space="preserve"> para</w:t>
      </w:r>
      <w:r w:rsidR="00545D1B" w:rsidRPr="00742A04">
        <w:t xml:space="preserve"> </w:t>
      </w:r>
      <w:r w:rsidR="002E2883" w:rsidRPr="00742A04">
        <w:t>la accesibilidad universal</w:t>
      </w:r>
      <w:r w:rsidR="00545D1B" w:rsidRPr="00742A04">
        <w:t xml:space="preserve">. </w:t>
      </w:r>
      <w:r w:rsidR="002E2883" w:rsidRPr="00742A04">
        <w:t>El</w:t>
      </w:r>
      <w:r w:rsidR="00545D1B" w:rsidRPr="00742A04">
        <w:t xml:space="preserve"> </w:t>
      </w:r>
      <w:r w:rsidR="002213CF" w:rsidRPr="00742A04">
        <w:t>efecto</w:t>
      </w:r>
      <w:r w:rsidR="002E2883" w:rsidRPr="00742A04">
        <w:t xml:space="preserve"> acumulativo de dichas</w:t>
      </w:r>
      <w:r w:rsidR="00545D1B" w:rsidRPr="00742A04">
        <w:t xml:space="preserve"> </w:t>
      </w:r>
      <w:r w:rsidR="00DC0DB8" w:rsidRPr="00742A04">
        <w:t>m</w:t>
      </w:r>
      <w:r w:rsidR="00DC0DB8" w:rsidRPr="00742A04">
        <w:t>e</w:t>
      </w:r>
      <w:r w:rsidR="00DC0DB8" w:rsidRPr="00742A04">
        <w:t>didas</w:t>
      </w:r>
      <w:r w:rsidR="00545D1B" w:rsidRPr="00742A04">
        <w:t xml:space="preserve"> presum</w:t>
      </w:r>
      <w:r w:rsidR="00982243" w:rsidRPr="00742A04">
        <w:t xml:space="preserve">iblemente </w:t>
      </w:r>
      <w:r w:rsidR="002E2883" w:rsidRPr="00742A04">
        <w:t>ayudará a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="002E2883" w:rsidRPr="00742A04">
        <w:t>que una mayor cantidad de</w:t>
      </w:r>
      <w:r w:rsidR="00545D1B" w:rsidRPr="00742A04">
        <w:t xml:space="preserve"> </w:t>
      </w:r>
      <w:r w:rsidR="003E5775" w:rsidRPr="00742A04">
        <w:t>centros de crisis</w:t>
      </w:r>
      <w:r w:rsidR="00545D1B" w:rsidRPr="00742A04">
        <w:t xml:space="preserve"> </w:t>
      </w:r>
      <w:r w:rsidR="002E2883" w:rsidRPr="00742A04">
        <w:t>d</w:t>
      </w:r>
      <w:r w:rsidR="00C14BFF" w:rsidRPr="00742A04">
        <w:t>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2E2883" w:rsidRPr="00742A04">
        <w:t>estén</w:t>
      </w:r>
      <w:r w:rsidR="00545D1B" w:rsidRPr="00742A04">
        <w:t xml:space="preserve"> adapt</w:t>
      </w:r>
      <w:r w:rsidR="002E2883" w:rsidRPr="00742A04">
        <w:t>ados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E5775" w:rsidRPr="00742A04">
        <w:t>las necesidades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42AA" w:rsidRPr="00742A04">
        <w:t>discapacid</w:t>
      </w:r>
      <w:r w:rsidR="00E542AA" w:rsidRPr="00742A04">
        <w:t>a</w:t>
      </w:r>
      <w:r w:rsidR="00E542AA" w:rsidRPr="00742A04">
        <w:t>des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E2883" w:rsidRPr="00742A04">
        <w:t>los próximos años</w:t>
      </w:r>
      <w:r w:rsidR="00545D1B" w:rsidRPr="00742A04">
        <w:t>.</w:t>
      </w:r>
    </w:p>
    <w:p w:rsidR="00545D1B" w:rsidRPr="00742A04" w:rsidRDefault="004D313C" w:rsidP="00021DB5">
      <w:pPr>
        <w:pStyle w:val="SingleTxt"/>
        <w:ind w:firstLine="475"/>
      </w:pPr>
      <w:r w:rsidRPr="00742A04">
        <w:t>En el otoño</w:t>
      </w:r>
      <w:r w:rsidR="00F43124" w:rsidRPr="00742A04">
        <w:t xml:space="preserve"> de</w:t>
      </w:r>
      <w:r w:rsidR="00545D1B" w:rsidRPr="00742A04">
        <w:t xml:space="preserve"> 2006 </w:t>
      </w:r>
      <w:r w:rsidR="007D36C8" w:rsidRPr="00742A04">
        <w:t>la Dirección de la Infancia, la Juventud y los Asuntos de Familia de Noruega</w:t>
      </w:r>
      <w:r w:rsidR="00545D1B" w:rsidRPr="00742A04">
        <w:t xml:space="preserve"> </w:t>
      </w:r>
      <w:r w:rsidR="00357761" w:rsidRPr="00742A04">
        <w:t>presentarán</w:t>
      </w:r>
      <w:r w:rsidR="00545D1B" w:rsidRPr="00742A04">
        <w:t xml:space="preserve"> </w:t>
      </w:r>
      <w:r w:rsidR="00FC59C5" w:rsidRPr="00742A04">
        <w:t>un informe</w:t>
      </w:r>
      <w:r w:rsidR="00545D1B" w:rsidRPr="00742A04">
        <w:t xml:space="preserve"> </w:t>
      </w:r>
      <w:r w:rsidR="002E2883" w:rsidRPr="00742A04">
        <w:t xml:space="preserve">que </w:t>
      </w:r>
      <w:r w:rsidR="00545D1B" w:rsidRPr="00742A04">
        <w:t>cont</w:t>
      </w:r>
      <w:r w:rsidR="002E2883" w:rsidRPr="00742A04">
        <w:t>enga</w:t>
      </w:r>
      <w:r w:rsidR="00545D1B" w:rsidRPr="00742A04">
        <w:t xml:space="preserve"> </w:t>
      </w:r>
      <w:r w:rsidR="000E16DE" w:rsidRPr="00742A04">
        <w:t>un estudio</w:t>
      </w:r>
      <w:r w:rsidR="00545D1B" w:rsidRPr="00742A04">
        <w:t xml:space="preserve"> </w:t>
      </w:r>
      <w:r w:rsidRPr="00742A04">
        <w:t>de las mujeres</w:t>
      </w:r>
      <w:r w:rsidR="00545D1B" w:rsidRPr="00742A04">
        <w:t xml:space="preserve"> </w:t>
      </w:r>
      <w:r w:rsidR="009D4482">
        <w:t xml:space="preserve">que </w:t>
      </w:r>
      <w:r w:rsidR="002E2883" w:rsidRPr="00742A04">
        <w:t>no fueron atendidas en</w:t>
      </w:r>
      <w:r w:rsidR="0063400A" w:rsidRPr="00742A04">
        <w:t xml:space="preserve"> los centros</w:t>
      </w:r>
      <w:r w:rsidR="003E5775" w:rsidRPr="00742A04">
        <w:t xml:space="preserve"> de crisis</w:t>
      </w:r>
      <w:r w:rsidR="00545D1B" w:rsidRPr="00742A04">
        <w:t xml:space="preserve">. </w:t>
      </w:r>
      <w:r w:rsidRPr="00742A04">
        <w:t>En el otoño</w:t>
      </w:r>
      <w:r w:rsidR="00F43124" w:rsidRPr="00742A04">
        <w:t xml:space="preserve"> de</w:t>
      </w:r>
      <w:r w:rsidR="00545D1B" w:rsidRPr="00742A04">
        <w:t xml:space="preserve"> 2005, </w:t>
      </w:r>
      <w:r w:rsidR="002E2883" w:rsidRPr="00742A04">
        <w:t>todos los ce</w:t>
      </w:r>
      <w:r w:rsidR="002E2883" w:rsidRPr="00742A04">
        <w:t>n</w:t>
      </w:r>
      <w:r w:rsidR="002E2883" w:rsidRPr="00742A04">
        <w:t>tros de crisis</w:t>
      </w:r>
      <w:r w:rsidR="00545D1B" w:rsidRPr="00742A04">
        <w:t xml:space="preserve"> </w:t>
      </w:r>
      <w:r w:rsidR="002E2883" w:rsidRPr="00742A04">
        <w:t>d</w:t>
      </w:r>
      <w:r w:rsidR="00C14BFF" w:rsidRPr="00742A04">
        <w:t>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1633F4" w:rsidRPr="00742A04">
        <w:t>participaron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E2883" w:rsidRPr="00742A04">
        <w:t>un</w:t>
      </w:r>
      <w:r w:rsidR="00545D1B" w:rsidRPr="00742A04">
        <w:t xml:space="preserve"> </w:t>
      </w:r>
      <w:r w:rsidR="00100BD0" w:rsidRPr="00742A04">
        <w:t>proyecto</w:t>
      </w:r>
      <w:r w:rsidR="00545D1B" w:rsidRPr="00742A04">
        <w:t xml:space="preserve"> </w:t>
      </w:r>
      <w:r w:rsidR="002E2883" w:rsidRPr="00742A04">
        <w:t xml:space="preserve">trimestral </w:t>
      </w:r>
      <w:r w:rsidR="00EF5B12" w:rsidRPr="00742A04">
        <w:t>encaminado</w:t>
      </w:r>
      <w:r w:rsidR="002E2883" w:rsidRPr="00742A04">
        <w:t xml:space="preserve"> </w:t>
      </w:r>
      <w:r w:rsidR="0030626A" w:rsidRPr="00742A04">
        <w:t>a</w:t>
      </w:r>
      <w:r w:rsidR="00545D1B" w:rsidRPr="00742A04">
        <w:t xml:space="preserve"> regi</w:t>
      </w:r>
      <w:r w:rsidR="00545D1B" w:rsidRPr="00742A04">
        <w:t>s</w:t>
      </w:r>
      <w:r w:rsidR="00545D1B" w:rsidRPr="00742A04">
        <w:t>t</w:t>
      </w:r>
      <w:r w:rsidR="002E2883" w:rsidRPr="00742A04">
        <w:t>ra</w:t>
      </w:r>
      <w:r w:rsidR="00545D1B" w:rsidRPr="00742A04">
        <w:t xml:space="preserve">r </w:t>
      </w:r>
      <w:r w:rsidR="002E2883" w:rsidRPr="00742A04">
        <w:t xml:space="preserve">a las </w:t>
      </w:r>
      <w:r w:rsidR="00072AD7" w:rsidRPr="00742A04">
        <w:t>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2E2883" w:rsidRPr="00742A04">
        <w:t>por distintas razones</w:t>
      </w:r>
      <w:r w:rsidR="00545D1B" w:rsidRPr="00742A04">
        <w:t xml:space="preserve"> </w:t>
      </w:r>
      <w:r w:rsidR="002E2883" w:rsidRPr="00742A04">
        <w:t>no pudieron ser albergadas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E2883" w:rsidRPr="00742A04">
        <w:t>un centro de crisis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2E2883" w:rsidRPr="00742A04">
        <w:t>tuvieron que ser remitidas a</w:t>
      </w:r>
      <w:r w:rsidR="00BB4DB1" w:rsidRPr="00742A04">
        <w:t xml:space="preserve"> </w:t>
      </w:r>
      <w:r w:rsidR="002E2883" w:rsidRPr="00742A04">
        <w:t xml:space="preserve">otros </w:t>
      </w:r>
      <w:r w:rsidR="00311327" w:rsidRPr="00742A04">
        <w:t>servicios de apoyo</w:t>
      </w:r>
      <w:r w:rsidR="00545D1B" w:rsidRPr="00742A04">
        <w:t xml:space="preserve">. </w:t>
      </w:r>
      <w:r w:rsidR="00356229" w:rsidRPr="00742A04">
        <w:t>Sobre la base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E2883" w:rsidRPr="00742A04">
        <w:t>ese</w:t>
      </w:r>
      <w:r w:rsidR="00545D1B" w:rsidRPr="00742A04">
        <w:t xml:space="preserve"> </w:t>
      </w:r>
      <w:r w:rsidR="00B31D97" w:rsidRPr="00742A04">
        <w:t>informe</w:t>
      </w:r>
      <w:r w:rsidR="00545D1B" w:rsidRPr="00742A04">
        <w:t xml:space="preserve">, </w:t>
      </w:r>
      <w:r w:rsidR="002E2883" w:rsidRPr="00742A04">
        <w:t xml:space="preserve">se elaborarán </w:t>
      </w:r>
      <w:r w:rsidR="00DC0DB8" w:rsidRPr="00742A04">
        <w:t>medidas</w:t>
      </w:r>
      <w:r w:rsidR="00545D1B" w:rsidRPr="00742A04">
        <w:t xml:space="preserve"> </w:t>
      </w:r>
      <w:r w:rsidR="002E2883" w:rsidRPr="00742A04">
        <w:t>para satisfacer</w:t>
      </w:r>
      <w:r w:rsidR="00545D1B" w:rsidRPr="00742A04">
        <w:t xml:space="preserve"> </w:t>
      </w:r>
      <w:r w:rsidR="003E5775" w:rsidRPr="00742A04">
        <w:t>las necesidades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E2883" w:rsidRPr="00742A04">
        <w:t>este</w:t>
      </w:r>
      <w:r w:rsidR="00545D1B" w:rsidRPr="00742A04">
        <w:t xml:space="preserve"> </w:t>
      </w:r>
      <w:r w:rsidR="002E2883" w:rsidRPr="00742A04">
        <w:t>grupo particularmente vulnerable</w:t>
      </w:r>
      <w:r w:rsidR="00545D1B" w:rsidRPr="00742A04">
        <w:t xml:space="preserve"> </w:t>
      </w:r>
      <w:r w:rsidRPr="00742A04">
        <w:t>de muj</w:t>
      </w:r>
      <w:r w:rsidRPr="00742A04">
        <w:t>e</w:t>
      </w:r>
      <w:r w:rsidRPr="00742A04">
        <w:t>res</w:t>
      </w:r>
      <w:r w:rsidR="00545D1B" w:rsidRPr="00742A04">
        <w:t>.</w:t>
      </w:r>
    </w:p>
    <w:p w:rsidR="00545D1B" w:rsidRPr="00742A04" w:rsidRDefault="008B63DF" w:rsidP="00021DB5">
      <w:pPr>
        <w:pStyle w:val="SingleTxt"/>
        <w:keepNext/>
        <w:rPr>
          <w:i/>
        </w:rPr>
      </w:pPr>
      <w:r w:rsidRPr="00742A04">
        <w:rPr>
          <w:i/>
        </w:rPr>
        <w:t>Enmiendas legislativas</w:t>
      </w:r>
    </w:p>
    <w:p w:rsidR="00545D1B" w:rsidRPr="00742A04" w:rsidRDefault="002E2883" w:rsidP="00021DB5">
      <w:pPr>
        <w:pStyle w:val="SingleTxt"/>
        <w:ind w:firstLine="475"/>
      </w:pPr>
      <w:r w:rsidRPr="00742A04">
        <w:t>El</w:t>
      </w:r>
      <w:r w:rsidR="00545D1B" w:rsidRPr="00742A04">
        <w:t xml:space="preserve"> 20 </w:t>
      </w:r>
      <w:r w:rsidR="00CE1CFC" w:rsidRPr="00742A04">
        <w:t>de diciembre de</w:t>
      </w:r>
      <w:r w:rsidR="00545D1B" w:rsidRPr="00742A04">
        <w:t xml:space="preserve"> 2005, </w:t>
      </w:r>
      <w:r w:rsidR="00BD47D3" w:rsidRPr="00742A04">
        <w:t>el Storting</w:t>
      </w:r>
      <w:r w:rsidR="00545D1B" w:rsidRPr="00742A04">
        <w:t xml:space="preserve"> </w:t>
      </w:r>
      <w:r w:rsidR="004D313C" w:rsidRPr="00742A04">
        <w:t>adoptó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a </w:t>
      </w:r>
      <w:r w:rsidR="00B31D97" w:rsidRPr="00742A04">
        <w:t>disposición penal</w:t>
      </w:r>
      <w:r w:rsidR="005E6919" w:rsidRPr="00742A04">
        <w:t xml:space="preserve"> </w:t>
      </w:r>
      <w:r w:rsidRPr="00742A04">
        <w:t>relativa</w:t>
      </w:r>
      <w:r w:rsidR="002F3238" w:rsidRPr="00742A04">
        <w:t xml:space="preserve"> a</w:t>
      </w:r>
      <w:r w:rsidRPr="00742A04">
        <w:t>l</w:t>
      </w:r>
      <w:r w:rsidR="00545D1B" w:rsidRPr="00742A04">
        <w:t xml:space="preserve"> </w:t>
      </w:r>
      <w:r w:rsidRPr="00742A04">
        <w:t>abuso doméstico</w:t>
      </w:r>
      <w:r w:rsidR="00545D1B" w:rsidRPr="00742A04">
        <w:t xml:space="preserve"> (</w:t>
      </w:r>
      <w:r w:rsidR="00831F07" w:rsidRPr="00742A04">
        <w:t xml:space="preserve">artículo </w:t>
      </w:r>
      <w:r w:rsidR="00545D1B" w:rsidRPr="00742A04">
        <w:t xml:space="preserve">219 </w:t>
      </w:r>
      <w:r w:rsidR="008A38B9" w:rsidRPr="00742A04">
        <w:t>del Código Penal</w:t>
      </w:r>
      <w:r w:rsidR="00545D1B" w:rsidRPr="00742A04">
        <w:t xml:space="preserve">). </w:t>
      </w:r>
      <w:r w:rsidRPr="00742A04">
        <w:t>La disposición</w:t>
      </w:r>
      <w:r w:rsidR="005E6919" w:rsidRPr="00742A04">
        <w:t xml:space="preserve"> </w:t>
      </w:r>
      <w:r w:rsidR="00C14BFF" w:rsidRPr="00742A04">
        <w:t>entró en vigor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194AB3" w:rsidRPr="00742A04">
        <w:t>1° de enero</w:t>
      </w:r>
      <w:r w:rsidR="004A0730" w:rsidRPr="00742A04">
        <w:t xml:space="preserve"> de</w:t>
      </w:r>
      <w:r w:rsidR="00545D1B" w:rsidRPr="00742A04">
        <w:t xml:space="preserve"> 2006. </w:t>
      </w:r>
      <w:r w:rsidR="002F3238" w:rsidRPr="00742A04">
        <w:t xml:space="preserve">La </w:t>
      </w:r>
      <w:r w:rsidRPr="00742A04">
        <w:t>enmienda</w:t>
      </w:r>
      <w:r w:rsidR="002F3238" w:rsidRPr="00742A04">
        <w:t xml:space="preserve"> legislativa</w:t>
      </w:r>
      <w:r w:rsidR="00545D1B" w:rsidRPr="00742A04">
        <w:t xml:space="preserve"> </w:t>
      </w:r>
      <w:r w:rsidRPr="00742A04">
        <w:t>moderniza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amplía</w:t>
      </w:r>
      <w:r w:rsidR="00545D1B" w:rsidRPr="00742A04">
        <w:t xml:space="preserve"> </w:t>
      </w:r>
      <w:r w:rsidRPr="00742A04">
        <w:t xml:space="preserve">el anterior </w:t>
      </w:r>
      <w:r w:rsidR="00831F07" w:rsidRPr="00742A04">
        <w:t>art</w:t>
      </w:r>
      <w:r w:rsidR="00831F07" w:rsidRPr="00742A04">
        <w:t>í</w:t>
      </w:r>
      <w:r w:rsidR="00831F07" w:rsidRPr="00742A04">
        <w:t xml:space="preserve">culo </w:t>
      </w:r>
      <w:r w:rsidR="00545D1B" w:rsidRPr="00742A04">
        <w:t xml:space="preserve">219 </w:t>
      </w:r>
      <w:r w:rsidR="002F3238" w:rsidRPr="00742A04">
        <w:t>relativo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B2022" w:rsidRPr="00742A04">
        <w:t>violencia doméstica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Pr="00742A04">
        <w:t>estaba anticuado</w:t>
      </w:r>
      <w:r w:rsidR="00545D1B" w:rsidRPr="00742A04">
        <w:t xml:space="preserve">, </w:t>
      </w:r>
      <w:r w:rsidRPr="00742A04">
        <w:t xml:space="preserve">era </w:t>
      </w:r>
      <w:r w:rsidR="00F05119" w:rsidRPr="00742A04">
        <w:t>difícil</w:t>
      </w:r>
      <w:r w:rsidRPr="00742A04">
        <w:t xml:space="preserve"> de entender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contenía</w:t>
      </w:r>
      <w:r w:rsidR="00545D1B" w:rsidRPr="00742A04">
        <w:t xml:space="preserve"> </w:t>
      </w:r>
      <w:r w:rsidRPr="00742A04">
        <w:t xml:space="preserve">algunas </w:t>
      </w:r>
      <w:r w:rsidR="00545D1B" w:rsidRPr="00742A04">
        <w:t>condi</w:t>
      </w:r>
      <w:r w:rsidR="008907B8" w:rsidRPr="00742A04">
        <w:t>ciones</w:t>
      </w:r>
      <w:r w:rsidRPr="00742A04">
        <w:t xml:space="preserve"> complicadas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Pr="00742A04">
        <w:t>la nueva</w:t>
      </w:r>
      <w:r w:rsidR="00545D1B" w:rsidRPr="00742A04">
        <w:t xml:space="preserve"> </w:t>
      </w:r>
      <w:r w:rsidR="00C923A8" w:rsidRPr="00742A04">
        <w:t>disposición</w:t>
      </w:r>
      <w:r w:rsidR="00545D1B" w:rsidRPr="00742A04">
        <w:t xml:space="preserve">, </w:t>
      </w:r>
      <w:r w:rsidR="00797BF9" w:rsidRPr="00742A04">
        <w:t>lo que constit</w:t>
      </w:r>
      <w:r w:rsidR="00797BF9" w:rsidRPr="00742A04">
        <w:t>u</w:t>
      </w:r>
      <w:r w:rsidR="00797BF9" w:rsidRPr="00742A04">
        <w:t xml:space="preserve">ye </w:t>
      </w:r>
      <w:r w:rsidR="00964178" w:rsidRPr="00742A04">
        <w:t>el</w:t>
      </w:r>
      <w:r w:rsidR="00797BF9" w:rsidRPr="00742A04">
        <w:t xml:space="preserve"> aspecto </w:t>
      </w:r>
      <w:r w:rsidR="00964178" w:rsidRPr="00742A04">
        <w:t xml:space="preserve">criminal del acto </w:t>
      </w:r>
      <w:r w:rsidR="00BD47D3" w:rsidRPr="00742A04">
        <w:t>es</w:t>
      </w:r>
      <w:r w:rsidR="00964178" w:rsidRPr="00742A04">
        <w:t xml:space="preserve"> el hecho de que</w:t>
      </w:r>
      <w:r w:rsidR="00545D1B" w:rsidRPr="00742A04">
        <w:t xml:space="preserve"> </w:t>
      </w:r>
      <w:r w:rsidR="00311327" w:rsidRPr="00742A04">
        <w:t>el autor</w:t>
      </w:r>
      <w:r w:rsidR="00964178" w:rsidRPr="00742A04">
        <w:t xml:space="preserve"> haya sometido a un p</w:t>
      </w:r>
      <w:r w:rsidR="00964178" w:rsidRPr="00742A04">
        <w:t>a</w:t>
      </w:r>
      <w:r w:rsidR="00964178" w:rsidRPr="00742A04">
        <w:t>riente próximo durante largo tiempo al terror y el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. </w:t>
      </w:r>
      <w:r w:rsidR="00964178" w:rsidRPr="00742A04">
        <w:t>La disposición</w:t>
      </w:r>
      <w:r w:rsidR="00B31D97" w:rsidRPr="00742A04">
        <w:t xml:space="preserve"> penal</w:t>
      </w:r>
      <w:r w:rsidR="005E6919" w:rsidRPr="00742A04">
        <w:t xml:space="preserve"> </w:t>
      </w:r>
      <w:r w:rsidR="006137EC" w:rsidRPr="00742A04">
        <w:t>fort</w:t>
      </w:r>
      <w:r w:rsidR="006137EC" w:rsidRPr="00742A04">
        <w:t>a</w:t>
      </w:r>
      <w:r w:rsidR="006137EC" w:rsidRPr="00742A04">
        <w:t>lecer</w:t>
      </w:r>
      <w:r w:rsidR="00964178" w:rsidRPr="00742A04">
        <w:t>á</w:t>
      </w:r>
      <w:r w:rsidR="00545D1B" w:rsidRPr="00742A04">
        <w:t xml:space="preserve"> </w:t>
      </w:r>
      <w:r w:rsidR="00964178" w:rsidRPr="00742A04">
        <w:t>la condición jurídica</w:t>
      </w:r>
      <w:r w:rsidR="00545D1B" w:rsidRPr="00742A04">
        <w:t xml:space="preserve"> </w:t>
      </w:r>
      <w:r w:rsidR="004D313C" w:rsidRPr="00742A04">
        <w:t>de las mujeres</w:t>
      </w:r>
      <w:r w:rsidR="00964178" w:rsidRPr="00742A04">
        <w:t>, pues</w:t>
      </w:r>
      <w:r w:rsidR="004D313C" w:rsidRPr="00742A04">
        <w:t xml:space="preserve"> las mujeres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964178" w:rsidRPr="00742A04">
        <w:t>las principal</w:t>
      </w:r>
      <w:r w:rsidR="00802868" w:rsidRPr="00742A04">
        <w:t>es</w:t>
      </w:r>
      <w:r w:rsidR="00545D1B" w:rsidRPr="00742A04">
        <w:t xml:space="preserve"> </w:t>
      </w:r>
      <w:r w:rsidR="00502E16" w:rsidRPr="00742A04">
        <w:t>ví</w:t>
      </w:r>
      <w:r w:rsidR="00502E16" w:rsidRPr="00742A04">
        <w:t>c</w:t>
      </w:r>
      <w:r w:rsidR="00502E16" w:rsidRPr="00742A04">
        <w:t>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02868" w:rsidRPr="00742A04">
        <w:t xml:space="preserve">la </w:t>
      </w:r>
      <w:r w:rsidR="00A05847" w:rsidRPr="00742A04">
        <w:t>violencia</w:t>
      </w:r>
      <w:r w:rsidR="00802868" w:rsidRPr="00742A04">
        <w:t xml:space="preserve"> proveniente de la pareja íntima</w:t>
      </w:r>
      <w:r w:rsidR="00545D1B" w:rsidRPr="00742A04">
        <w:t>.</w:t>
      </w:r>
    </w:p>
    <w:p w:rsidR="00545D1B" w:rsidRPr="00742A04" w:rsidRDefault="00357761" w:rsidP="00021DB5">
      <w:pPr>
        <w:pStyle w:val="SingleTxt"/>
        <w:ind w:firstLine="475"/>
      </w:pPr>
      <w:r>
        <w:rPr>
          <w:i/>
        </w:rPr>
        <w:t>Normas relativas</w:t>
      </w:r>
      <w:r w:rsidRPr="00742A04">
        <w:rPr>
          <w:i/>
        </w:rPr>
        <w:t xml:space="preserve"> a prohibición de contacto, etc.</w:t>
      </w:r>
      <w:r w:rsidRPr="00742A04">
        <w:t xml:space="preserve">: El artículo 222 </w:t>
      </w:r>
      <w:r w:rsidRPr="00742A04">
        <w:rPr>
          <w:i/>
        </w:rPr>
        <w:t>a</w:t>
      </w:r>
      <w:r w:rsidRPr="00742A04">
        <w:t xml:space="preserve"> de la Ley de Procedimiento Penal, relativo </w:t>
      </w:r>
      <w:r>
        <w:t>a la</w:t>
      </w:r>
      <w:r w:rsidRPr="00742A04">
        <w:t xml:space="preserve"> prohibición de visitas, fue enmendado por la Ley N° 67</w:t>
      </w:r>
      <w:r>
        <w:t>,</w:t>
      </w:r>
      <w:r w:rsidRPr="00742A04">
        <w:t xml:space="preserve"> de 30 </w:t>
      </w:r>
      <w:r>
        <w:t xml:space="preserve">de </w:t>
      </w:r>
      <w:r w:rsidRPr="00742A04">
        <w:t xml:space="preserve">agosto de 2002 a fin de prever que se imponga a una persona la prohibición de quedarse en su propio hogar. </w:t>
      </w:r>
      <w:r w:rsidR="006B65CD"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65B3" w:rsidRPr="00742A04">
        <w:t>esta</w:t>
      </w:r>
      <w:r w:rsidR="00545D1B" w:rsidRPr="00742A04">
        <w:t xml:space="preserve"> </w:t>
      </w:r>
      <w:r w:rsidR="002E2883" w:rsidRPr="00742A04">
        <w:t>disposición</w:t>
      </w:r>
      <w:r w:rsidR="005E6919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502E16" w:rsidRPr="00742A04">
        <w:t>pr</w:t>
      </w:r>
      <w:r w:rsidR="00502E16" w:rsidRPr="00742A04">
        <w:t>e</w:t>
      </w:r>
      <w:r w:rsidR="00502E16" w:rsidRPr="00742A04">
        <w:t>venir</w:t>
      </w:r>
      <w:r w:rsidR="00545D1B" w:rsidRPr="00742A04">
        <w:t xml:space="preserve"> </w:t>
      </w:r>
      <w:r w:rsidR="00550986" w:rsidRPr="00742A04">
        <w:t>la violencia contra la mujer</w:t>
      </w:r>
      <w:r w:rsidR="007C65B3" w:rsidRPr="00742A04">
        <w:t xml:space="preserve"> y mejorar</w:t>
      </w:r>
      <w:r w:rsidR="00545D1B" w:rsidRPr="00742A04">
        <w:t xml:space="preserve"> </w:t>
      </w:r>
      <w:r w:rsidR="000472FC" w:rsidRPr="00742A04">
        <w:t>la situación</w:t>
      </w:r>
      <w:r w:rsidR="00C14BFF" w:rsidRPr="00742A04">
        <w:t xml:space="preserve"> </w:t>
      </w:r>
      <w:r w:rsidR="007C65B3" w:rsidRPr="00742A04">
        <w:t xml:space="preserve">de las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65B3" w:rsidRPr="00742A04">
        <w:t xml:space="preserve">la </w:t>
      </w:r>
      <w:r w:rsidR="00A05847" w:rsidRPr="00742A04">
        <w:t>viole</w:t>
      </w:r>
      <w:r w:rsidR="00A05847" w:rsidRPr="00742A04">
        <w:t>n</w:t>
      </w:r>
      <w:r w:rsidR="00A05847" w:rsidRPr="00742A04">
        <w:t>cia</w:t>
      </w:r>
      <w:r w:rsidR="00545D1B" w:rsidRPr="00742A04">
        <w:t xml:space="preserve">. </w:t>
      </w:r>
      <w:r w:rsidR="002E2883" w:rsidRPr="00742A04">
        <w:t>La disposición</w:t>
      </w:r>
      <w:r w:rsidR="005E6919" w:rsidRPr="00742A04">
        <w:t xml:space="preserve"> </w:t>
      </w:r>
      <w:r w:rsidR="007C65B3" w:rsidRPr="00742A04">
        <w:t>será</w:t>
      </w:r>
      <w:r w:rsidR="00230F13" w:rsidRPr="00742A04">
        <w:t xml:space="preserve"> particular</w:t>
      </w:r>
      <w:r w:rsidR="007C65B3" w:rsidRPr="00742A04">
        <w:t>mente</w:t>
      </w:r>
      <w:r w:rsidR="00545D1B" w:rsidRPr="00742A04">
        <w:t xml:space="preserve"> </w:t>
      </w:r>
      <w:r w:rsidR="007C65B3" w:rsidRPr="00742A04">
        <w:t>pertinente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D3378F" w:rsidRPr="00742A04">
        <w:t xml:space="preserve">la persona </w:t>
      </w:r>
      <w:r w:rsidR="003E5775" w:rsidRPr="00742A04">
        <w:t>que</w:t>
      </w:r>
      <w:r w:rsidR="00545D1B" w:rsidRPr="00742A04">
        <w:t xml:space="preserve"> </w:t>
      </w:r>
      <w:r w:rsidR="007C65B3" w:rsidRPr="00742A04">
        <w:t>se trata de</w:t>
      </w:r>
      <w:r w:rsidR="00545D1B" w:rsidRPr="00742A04">
        <w:t xml:space="preserve"> prote</w:t>
      </w:r>
      <w:r w:rsidR="007C65B3" w:rsidRPr="00742A04">
        <w:t>ger</w:t>
      </w:r>
      <w:r w:rsidR="00545D1B" w:rsidRPr="00742A04">
        <w:t xml:space="preserve"> </w:t>
      </w:r>
      <w:r w:rsidR="007C65B3" w:rsidRPr="00742A04">
        <w:t>comparte el mismo hogar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3378F" w:rsidRPr="00742A04">
        <w:t>la persona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7C65B3" w:rsidRPr="00742A04">
        <w:t xml:space="preserve">se dirige la </w:t>
      </w:r>
      <w:r w:rsidR="00802868" w:rsidRPr="00742A04">
        <w:t>prohibición de</w:t>
      </w:r>
      <w:r w:rsidR="00545D1B" w:rsidRPr="00742A04">
        <w:t xml:space="preserve"> </w:t>
      </w:r>
      <w:r w:rsidR="00802868" w:rsidRPr="00742A04">
        <w:t>visitas</w:t>
      </w:r>
      <w:r w:rsidR="007C65B3" w:rsidRPr="00742A04">
        <w:t>. La</w:t>
      </w:r>
      <w:r w:rsidR="00545D1B" w:rsidRPr="00742A04">
        <w:t xml:space="preserve"> </w:t>
      </w:r>
      <w:r w:rsidR="007C65B3" w:rsidRPr="00742A04">
        <w:t>prohibición</w:t>
      </w:r>
      <w:r w:rsidR="00545D1B" w:rsidRPr="00742A04">
        <w:t xml:space="preserve"> </w:t>
      </w:r>
      <w:r w:rsidR="007C65B3" w:rsidRPr="00742A04">
        <w:t xml:space="preserve">de que </w:t>
      </w:r>
      <w:r w:rsidR="008E5EBF" w:rsidRPr="00742A04">
        <w:t xml:space="preserve">una persona </w:t>
      </w:r>
      <w:r w:rsidR="00545D1B" w:rsidRPr="00742A04">
        <w:t>visit</w:t>
      </w:r>
      <w:r w:rsidR="007C65B3" w:rsidRPr="00742A04">
        <w:t>e su</w:t>
      </w:r>
      <w:r w:rsidR="00545D1B" w:rsidRPr="00742A04">
        <w:t xml:space="preserve"> </w:t>
      </w:r>
      <w:r w:rsidR="007C65B3" w:rsidRPr="00742A04">
        <w:t>propio</w:t>
      </w:r>
      <w:r w:rsidR="00545D1B" w:rsidRPr="00742A04">
        <w:t xml:space="preserve"> </w:t>
      </w:r>
      <w:r w:rsidR="00B86412" w:rsidRPr="00742A04">
        <w:t>hogar</w:t>
      </w:r>
      <w:r w:rsidR="00545D1B" w:rsidRPr="00742A04">
        <w:t xml:space="preserve"> </w:t>
      </w:r>
      <w:r w:rsidR="007C65B3" w:rsidRPr="00742A04">
        <w:t>puede</w:t>
      </w:r>
      <w:r w:rsidR="00545D1B" w:rsidRPr="00742A04">
        <w:t xml:space="preserve"> </w:t>
      </w:r>
      <w:r w:rsidR="00B146CA" w:rsidRPr="00742A04">
        <w:t>imp</w:t>
      </w:r>
      <w:r w:rsidR="007C65B3" w:rsidRPr="00742A04">
        <w:t>onerse</w:t>
      </w:r>
      <w:r w:rsidR="00545D1B" w:rsidRPr="00742A04">
        <w:t xml:space="preserve"> </w:t>
      </w:r>
      <w:r w:rsidR="00B82A08" w:rsidRPr="00742A04">
        <w:t>independientemente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65B3" w:rsidRPr="00742A04">
        <w:t>quién</w:t>
      </w:r>
      <w:r w:rsidR="00545D1B" w:rsidRPr="00742A04">
        <w:t xml:space="preserve"> </w:t>
      </w:r>
      <w:r w:rsidR="007C65B3" w:rsidRPr="00742A04">
        <w:t>sea el propietario</w:t>
      </w:r>
      <w:r w:rsidR="00545D1B" w:rsidRPr="00742A04">
        <w:t xml:space="preserve"> </w:t>
      </w:r>
      <w:r w:rsidR="007C65B3" w:rsidRPr="00742A04">
        <w:t>de la residencia</w:t>
      </w:r>
      <w:r w:rsidR="00545D1B" w:rsidRPr="00742A04">
        <w:t>.</w:t>
      </w:r>
    </w:p>
    <w:p w:rsidR="00545D1B" w:rsidRPr="00742A04" w:rsidRDefault="007C65B3" w:rsidP="00CB4CDB">
      <w:pPr>
        <w:pStyle w:val="SingleTxt"/>
        <w:ind w:firstLine="475"/>
      </w:pPr>
      <w:r w:rsidRPr="00742A04">
        <w:t>El 1° de enero de 2006 entró en vigor un</w:t>
      </w:r>
      <w:r w:rsidR="00545D1B" w:rsidRPr="00742A04">
        <w:t xml:space="preserve"> </w:t>
      </w:r>
      <w:r w:rsidRPr="00742A04">
        <w:t>nuev</w:t>
      </w:r>
      <w:r w:rsidR="00CB4CDB" w:rsidRPr="00742A04">
        <w:t>o texto, más comprensivo, de la</w:t>
      </w:r>
      <w:r w:rsidR="005E6919" w:rsidRPr="00742A04">
        <w:t xml:space="preserve"> </w:t>
      </w:r>
      <w:r w:rsidR="00545D1B" w:rsidRPr="00742A04">
        <w:t>prohibi</w:t>
      </w:r>
      <w:r w:rsidR="00CB4CDB" w:rsidRPr="00742A04">
        <w:t>ción de</w:t>
      </w:r>
      <w:r w:rsidR="00545D1B" w:rsidRPr="00742A04">
        <w:t xml:space="preserve"> </w:t>
      </w:r>
      <w:r w:rsidR="00802868" w:rsidRPr="00742A04">
        <w:t>contacto</w:t>
      </w:r>
      <w:r w:rsidR="00545D1B" w:rsidRPr="00742A04">
        <w:t xml:space="preserve"> </w:t>
      </w:r>
      <w:r w:rsidR="004D313C" w:rsidRPr="00742A04">
        <w:t>contenida en el artículo</w:t>
      </w:r>
      <w:r w:rsidR="00C14BFF" w:rsidRPr="00742A04">
        <w:t xml:space="preserve"> </w:t>
      </w:r>
      <w:r w:rsidR="00545D1B" w:rsidRPr="00742A04">
        <w:t xml:space="preserve">33 </w:t>
      </w:r>
      <w:r w:rsidR="008A38B9" w:rsidRPr="00742A04">
        <w:t>del Código Penal</w:t>
      </w:r>
      <w:r w:rsidR="00545D1B" w:rsidRPr="00742A04">
        <w:t xml:space="preserve">. </w:t>
      </w:r>
      <w:r w:rsidR="002E2883" w:rsidRPr="00742A04">
        <w:t>La disposición</w:t>
      </w:r>
      <w:r w:rsidR="005E6919" w:rsidRPr="00742A04">
        <w:t xml:space="preserve"> </w:t>
      </w:r>
      <w:r w:rsidR="00CB4CDB" w:rsidRPr="00742A04">
        <w:t xml:space="preserve">tiene </w:t>
      </w:r>
      <w:r w:rsidR="00230F13" w:rsidRPr="00742A04">
        <w:t>en particular</w:t>
      </w:r>
      <w:r w:rsidR="00545D1B" w:rsidRPr="00742A04">
        <w:t xml:space="preserve"> </w:t>
      </w:r>
      <w:r w:rsidR="00CB4CDB" w:rsidRPr="00742A04">
        <w:t>la finalidad de</w:t>
      </w:r>
      <w:r w:rsidR="00545D1B" w:rsidRPr="00742A04">
        <w:t xml:space="preserve"> prote</w:t>
      </w:r>
      <w:r w:rsidR="00CB4CDB" w:rsidRPr="00742A04">
        <w:t>ger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B4CDB" w:rsidRPr="00742A04">
        <w:t>persona</w:t>
      </w:r>
      <w:r w:rsidR="00545D1B" w:rsidRPr="00742A04">
        <w:t xml:space="preserve"> </w:t>
      </w:r>
      <w:r w:rsidR="00C451B6" w:rsidRPr="00742A04">
        <w:t>agravi</w:t>
      </w:r>
      <w:r w:rsidR="00CB4CDB" w:rsidRPr="00742A04">
        <w:t xml:space="preserve">ada </w:t>
      </w:r>
      <w:r w:rsidR="00C14BFF" w:rsidRPr="00742A04">
        <w:t>en</w:t>
      </w:r>
      <w:r w:rsidR="00545D1B" w:rsidRPr="00742A04">
        <w:t xml:space="preserve"> </w:t>
      </w:r>
      <w:r w:rsidR="00CB4CDB" w:rsidRPr="00742A04">
        <w:t xml:space="preserve">los </w:t>
      </w:r>
      <w:r w:rsidR="008A2682" w:rsidRPr="00742A04">
        <w:t>casos</w:t>
      </w:r>
      <w:r w:rsidR="00545D1B" w:rsidRPr="00742A04">
        <w:t xml:space="preserve"> </w:t>
      </w:r>
      <w:r w:rsidR="00EA6AC2" w:rsidRPr="00742A04">
        <w:t>relat</w:t>
      </w:r>
      <w:r w:rsidR="00EA6AC2" w:rsidRPr="00742A04">
        <w:t>i</w:t>
      </w:r>
      <w:r w:rsidR="00EA6AC2" w:rsidRPr="00742A04">
        <w:t>vos a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 xml:space="preserve">. </w:t>
      </w:r>
      <w:r w:rsidR="00CB4CDB" w:rsidRPr="00742A04">
        <w:t>La</w:t>
      </w:r>
      <w:r w:rsidR="00545D1B" w:rsidRPr="00742A04">
        <w:t xml:space="preserve"> </w:t>
      </w:r>
      <w:r w:rsidRPr="00742A04">
        <w:t>nueva</w:t>
      </w:r>
      <w:r w:rsidR="00545D1B" w:rsidRPr="00742A04">
        <w:t xml:space="preserve"> </w:t>
      </w:r>
      <w:r w:rsidR="00B31D97" w:rsidRPr="00742A04">
        <w:t>disposición penal</w:t>
      </w:r>
      <w:r w:rsidR="005E6919" w:rsidRPr="00742A04">
        <w:t xml:space="preserve"> </w:t>
      </w:r>
      <w:r w:rsidR="00CB4CDB" w:rsidRPr="00742A04">
        <w:t>hace</w:t>
      </w:r>
      <w:r w:rsidR="00545D1B" w:rsidRPr="00742A04">
        <w:t xml:space="preserve"> </w:t>
      </w:r>
      <w:r w:rsidR="00C27C42" w:rsidRPr="00742A04">
        <w:t>posible</w:t>
      </w:r>
      <w:r w:rsidR="00545D1B" w:rsidRPr="00742A04">
        <w:t xml:space="preserve"> </w:t>
      </w:r>
      <w:r w:rsidR="00041F24" w:rsidRPr="00742A04">
        <w:t>imponer</w:t>
      </w:r>
      <w:r w:rsidR="00545D1B" w:rsidRPr="00742A04">
        <w:t xml:space="preserve"> </w:t>
      </w:r>
      <w:r w:rsidR="00041F24" w:rsidRPr="00742A04">
        <w:t>l</w:t>
      </w:r>
      <w:r w:rsidR="00545D1B" w:rsidRPr="00742A04">
        <w:t xml:space="preserve">a </w:t>
      </w:r>
      <w:r w:rsidR="00802868" w:rsidRPr="00742A04">
        <w:t>prohibición de</w:t>
      </w:r>
      <w:r w:rsidR="00545D1B" w:rsidRPr="00742A04">
        <w:t xml:space="preserve"> </w:t>
      </w:r>
      <w:r w:rsidR="00041F24" w:rsidRPr="00742A04">
        <w:t>otras</w:t>
      </w:r>
      <w:r w:rsidR="00545D1B" w:rsidRPr="00742A04">
        <w:t xml:space="preserve"> </w:t>
      </w:r>
      <w:r w:rsidR="00041F24" w:rsidRPr="00742A04">
        <w:t>formas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41F24" w:rsidRPr="00742A04">
        <w:t>comportamiento amenazante o molesto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041F24" w:rsidRPr="00742A04">
        <w:t>anteriormente</w:t>
      </w:r>
      <w:r w:rsidR="00BB4DB1" w:rsidRPr="00742A04">
        <w:t xml:space="preserve"> </w:t>
      </w:r>
      <w:r w:rsidR="00041F24" w:rsidRPr="00742A04">
        <w:t>no estaban previstas</w:t>
      </w:r>
      <w:r w:rsidR="00545D1B" w:rsidRPr="00742A04">
        <w:t>.</w:t>
      </w:r>
    </w:p>
    <w:p w:rsidR="00545D1B" w:rsidRPr="00742A04" w:rsidRDefault="00230F13" w:rsidP="00021DB5">
      <w:pPr>
        <w:pStyle w:val="SingleTxt"/>
        <w:ind w:firstLine="475"/>
      </w:pPr>
      <w:r w:rsidRPr="00742A04">
        <w:t>La Ley</w:t>
      </w:r>
      <w:r w:rsidR="00545D1B" w:rsidRPr="00742A04">
        <w:t xml:space="preserve"> </w:t>
      </w:r>
      <w:r w:rsidR="00041F24" w:rsidRPr="00742A04">
        <w:t>de</w:t>
      </w:r>
      <w:r w:rsidR="00545D1B" w:rsidRPr="00742A04">
        <w:t xml:space="preserve"> </w:t>
      </w:r>
      <w:r w:rsidR="00CD2FF0" w:rsidRPr="00742A04">
        <w:t>enmiendas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041F24" w:rsidRPr="00742A04">
        <w:t>Ley sobre la Policía</w:t>
      </w:r>
      <w:r w:rsidR="002370FA" w:rsidRPr="00742A04">
        <w:t>,</w:t>
      </w:r>
      <w:r w:rsidR="00545D1B" w:rsidRPr="00742A04">
        <w:t xml:space="preserve"> </w:t>
      </w:r>
      <w:r w:rsidR="00BD47D3" w:rsidRPr="00742A04">
        <w:t>en virtud de</w:t>
      </w:r>
      <w:r w:rsidR="00545D1B" w:rsidRPr="00742A04">
        <w:t xml:space="preserve"> </w:t>
      </w:r>
      <w:r w:rsidR="002370FA" w:rsidRPr="00742A04">
        <w:t>la cual</w:t>
      </w:r>
      <w:r w:rsidR="004F07A7" w:rsidRPr="00742A04">
        <w:t xml:space="preserve"> la</w:t>
      </w:r>
      <w:r w:rsidR="00B82A08" w:rsidRPr="00742A04">
        <w:t>s pers</w:t>
      </w:r>
      <w:r w:rsidR="00B82A08" w:rsidRPr="00742A04">
        <w:t>o</w:t>
      </w:r>
      <w:r w:rsidR="00B82A08" w:rsidRPr="00742A04">
        <w:t>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2370FA" w:rsidRPr="00742A04">
        <w:t>estén</w:t>
      </w:r>
      <w:r w:rsidR="00545D1B" w:rsidRPr="00742A04">
        <w:t xml:space="preserve"> exp</w:t>
      </w:r>
      <w:r w:rsidR="002370FA" w:rsidRPr="00742A04">
        <w:t>uestas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11327" w:rsidRPr="00742A04">
        <w:t>amenazas</w:t>
      </w:r>
      <w:r w:rsidR="00545D1B" w:rsidRPr="00742A04">
        <w:t xml:space="preserve"> </w:t>
      </w:r>
      <w:r w:rsidR="002370FA" w:rsidRPr="00742A04">
        <w:t>podrán dar</w:t>
      </w:r>
      <w:r w:rsidR="00B05988" w:rsidRPr="00742A04">
        <w:t xml:space="preserve"> </w:t>
      </w:r>
      <w:r w:rsidR="002370FA" w:rsidRPr="00742A04">
        <w:t>una nueva identidad</w:t>
      </w:r>
      <w:r w:rsidR="00545D1B" w:rsidRPr="00742A04">
        <w:t xml:space="preserve"> (</w:t>
      </w:r>
      <w:r w:rsidR="002370FA" w:rsidRPr="00742A04">
        <w:t>identidad fict</w:t>
      </w:r>
      <w:r w:rsidR="002370FA" w:rsidRPr="00742A04">
        <w:t>i</w:t>
      </w:r>
      <w:r w:rsidR="002370FA" w:rsidRPr="00742A04">
        <w:t>cia</w:t>
      </w:r>
      <w:r w:rsidR="00545D1B" w:rsidRPr="00742A04">
        <w:t xml:space="preserve">) </w:t>
      </w:r>
      <w:r w:rsidR="00C14BFF" w:rsidRPr="00742A04">
        <w:t>entró en vigor</w:t>
      </w:r>
      <w:r w:rsidR="00545D1B" w:rsidRPr="00742A04">
        <w:t xml:space="preserve"> </w:t>
      </w:r>
      <w:r w:rsidR="002370FA" w:rsidRPr="00742A04">
        <w:t>el</w:t>
      </w:r>
      <w:r w:rsidR="00545D1B" w:rsidRPr="00742A04">
        <w:t xml:space="preserve"> </w:t>
      </w:r>
      <w:r w:rsidR="00194AB3" w:rsidRPr="00742A04">
        <w:t>1° de enero</w:t>
      </w:r>
      <w:r w:rsidR="004A0730" w:rsidRPr="00742A04">
        <w:t xml:space="preserve"> de</w:t>
      </w:r>
      <w:r w:rsidR="00545D1B" w:rsidRPr="00742A04">
        <w:t xml:space="preserve"> 2004. </w:t>
      </w:r>
      <w:r w:rsidR="00B82A08" w:rsidRPr="00742A04">
        <w:t>Las 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2370FA" w:rsidRPr="00742A04">
        <w:t>estén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370FA" w:rsidRPr="00742A04">
        <w:t>peligro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370FA" w:rsidRPr="00742A04">
        <w:t>ser 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370FA" w:rsidRPr="00742A04">
        <w:t>un grave acto delictivo dirigido contra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0C68A8" w:rsidRPr="00742A04">
        <w:t>vida</w:t>
      </w:r>
      <w:r w:rsidR="00545D1B" w:rsidRPr="00742A04">
        <w:t xml:space="preserve">, </w:t>
      </w:r>
      <w:r w:rsidR="002370FA" w:rsidRPr="00742A04">
        <w:t xml:space="preserve">su </w:t>
      </w:r>
      <w:r w:rsidR="00B83FEB" w:rsidRPr="00742A04">
        <w:t>salud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2370FA" w:rsidRPr="00742A04">
        <w:t>su libertad</w:t>
      </w:r>
      <w:r w:rsidR="00545D1B" w:rsidRPr="00742A04">
        <w:t xml:space="preserve"> </w:t>
      </w:r>
      <w:r w:rsidR="002370FA" w:rsidRPr="00742A04">
        <w:t xml:space="preserve">podrán </w:t>
      </w:r>
      <w:r w:rsidR="001D73AD" w:rsidRPr="00742A04">
        <w:t xml:space="preserve">ahora </w:t>
      </w:r>
      <w:r w:rsidR="002370FA" w:rsidRPr="00742A04">
        <w:t>obtener</w:t>
      </w:r>
      <w:r w:rsidR="00B05988" w:rsidRPr="00742A04">
        <w:t xml:space="preserve"> </w:t>
      </w:r>
      <w:r w:rsidR="002370FA" w:rsidRPr="00742A04">
        <w:t>una nueva identidad</w:t>
      </w:r>
      <w:r w:rsidR="00545D1B" w:rsidRPr="00742A04">
        <w:t xml:space="preserve"> (</w:t>
      </w:r>
      <w:r w:rsidR="002370FA" w:rsidRPr="00742A04">
        <w:t>número de identidad personal</w:t>
      </w:r>
      <w:r w:rsidR="00545D1B" w:rsidRPr="00742A04">
        <w:t xml:space="preserve">). </w:t>
      </w:r>
      <w:r w:rsidR="002370FA" w:rsidRPr="00742A04">
        <w:t>Sólo se otorgará una</w:t>
      </w:r>
      <w:r w:rsidR="00545D1B" w:rsidRPr="00742A04">
        <w:t xml:space="preserve"> </w:t>
      </w:r>
      <w:r w:rsidR="002370FA" w:rsidRPr="00742A04">
        <w:t>identidad ficticia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2370FA" w:rsidRPr="00742A04">
        <w:t>otras medidas de protección</w:t>
      </w:r>
      <w:r w:rsidR="00545D1B" w:rsidRPr="00742A04">
        <w:t xml:space="preserve"> </w:t>
      </w:r>
      <w:r w:rsidR="002370FA" w:rsidRPr="00742A04">
        <w:t>demuestran ser insuf</w:t>
      </w:r>
      <w:r w:rsidR="002370FA" w:rsidRPr="00742A04">
        <w:t>i</w:t>
      </w:r>
      <w:r w:rsidR="002370FA" w:rsidRPr="00742A04">
        <w:t>cientes</w:t>
      </w:r>
      <w:r w:rsidR="00545D1B" w:rsidRPr="00742A04">
        <w:t>.</w:t>
      </w:r>
    </w:p>
    <w:p w:rsidR="00545D1B" w:rsidRPr="00742A04" w:rsidRDefault="002370FA" w:rsidP="002C4922">
      <w:pPr>
        <w:pStyle w:val="SingleTxt"/>
        <w:rPr>
          <w:i/>
        </w:rPr>
      </w:pPr>
      <w:r w:rsidRPr="00742A04">
        <w:rPr>
          <w:i/>
        </w:rPr>
        <w:t>La Fuerza de Policía</w:t>
      </w:r>
    </w:p>
    <w:p w:rsidR="00545D1B" w:rsidRPr="00742A04" w:rsidRDefault="002370FA" w:rsidP="00021DB5">
      <w:pPr>
        <w:pStyle w:val="SingleTxt"/>
        <w:ind w:firstLine="475"/>
      </w:pPr>
      <w:r w:rsidRPr="00742A04">
        <w:t>La Fuerza de Policía</w:t>
      </w:r>
      <w:r w:rsidR="00545D1B" w:rsidRPr="00742A04">
        <w:t xml:space="preserve"> </w:t>
      </w:r>
      <w:r w:rsidRPr="00742A04">
        <w:t>tiene</w:t>
      </w:r>
      <w:r w:rsidR="00545D1B" w:rsidRPr="00742A04">
        <w:t xml:space="preserve"> </w:t>
      </w:r>
      <w:r w:rsidRPr="00742A04">
        <w:t>asignado</w:t>
      </w:r>
      <w:r w:rsidR="00545D1B" w:rsidRPr="00742A04">
        <w:t xml:space="preserve"> </w:t>
      </w:r>
      <w:r w:rsidRPr="00742A04">
        <w:t>un rol sumamente importante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30B35" w:rsidRPr="00742A04">
        <w:t>los e</w:t>
      </w:r>
      <w:r w:rsidR="00A30B35" w:rsidRPr="00742A04">
        <w:t>s</w:t>
      </w:r>
      <w:r w:rsidR="00A30B35" w:rsidRPr="00742A04">
        <w:t>fuerzos gubernamentales</w:t>
      </w:r>
      <w:r w:rsidR="00545D1B" w:rsidRPr="00742A04">
        <w:t xml:space="preserve"> </w:t>
      </w:r>
      <w:r w:rsidR="007C341F" w:rsidRPr="00742A04">
        <w:t>de lucha contra</w:t>
      </w:r>
      <w:r w:rsidR="00A30B35" w:rsidRPr="00742A04">
        <w:t xml:space="preserve"> la </w:t>
      </w:r>
      <w:r w:rsidR="00550986" w:rsidRPr="00742A04">
        <w:t>violencia contra la mujer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2002, </w:t>
      </w:r>
      <w:r w:rsidRPr="00742A04">
        <w:t xml:space="preserve">se estableció un </w:t>
      </w:r>
      <w:r w:rsidR="001167D2" w:rsidRPr="00742A04">
        <w:t>sistema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coordinadores de violencia doméstica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Pr="00742A04">
        <w:t xml:space="preserve">uno </w:t>
      </w:r>
      <w:r w:rsidR="00C076F2" w:rsidRPr="00742A04">
        <w:t xml:space="preserve">de los </w:t>
      </w:r>
      <w:r w:rsidR="00545D1B" w:rsidRPr="00742A04">
        <w:t xml:space="preserve">27 </w:t>
      </w:r>
      <w:r w:rsidR="005D2D07" w:rsidRPr="00742A04">
        <w:t>distritos policiales</w:t>
      </w:r>
      <w:r w:rsidRPr="00742A04">
        <w:t xml:space="preserve"> de Noruega</w:t>
      </w:r>
      <w:r w:rsidR="00545D1B" w:rsidRPr="00742A04">
        <w:t xml:space="preserve">. </w:t>
      </w:r>
      <w:r w:rsidR="0046110E" w:rsidRPr="00742A04">
        <w:t xml:space="preserve">El rol </w:t>
      </w:r>
      <w:r w:rsidR="00C076F2" w:rsidRPr="00742A04">
        <w:t xml:space="preserve">de los </w:t>
      </w:r>
      <w:r w:rsidR="005D2D07" w:rsidRPr="00742A04">
        <w:t>coordinadores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="000C68A8" w:rsidRPr="00742A04">
        <w:t xml:space="preserve">que la </w:t>
      </w:r>
      <w:r w:rsidR="00FC59C5" w:rsidRPr="00742A04">
        <w:t>policía</w:t>
      </w:r>
      <w:r w:rsidR="00545D1B" w:rsidRPr="00742A04">
        <w:t xml:space="preserve"> </w:t>
      </w:r>
      <w:r w:rsidR="005D2D07" w:rsidRPr="00742A04">
        <w:t>demuestre</w:t>
      </w:r>
      <w:r w:rsidR="00545D1B" w:rsidRPr="00742A04">
        <w:t xml:space="preserve"> </w:t>
      </w:r>
      <w:r w:rsidR="00615664" w:rsidRPr="00742A04">
        <w:t>comprensión</w:t>
      </w:r>
      <w:r w:rsidR="002E5047" w:rsidRPr="00742A04">
        <w:t xml:space="preserve"> </w:t>
      </w:r>
      <w:r w:rsidR="005D2D07" w:rsidRPr="00742A04">
        <w:t>y perspicacia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F5B12" w:rsidRPr="00742A04">
        <w:t>sus encuentros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D2D07"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6412" w:rsidRPr="00742A04">
        <w:t xml:space="preserve">sus </w:t>
      </w:r>
      <w:r w:rsidR="002A458D" w:rsidRPr="00742A04">
        <w:t>fam</w:t>
      </w:r>
      <w:r w:rsidR="002A458D" w:rsidRPr="00742A04">
        <w:t>i</w:t>
      </w:r>
      <w:r w:rsidR="002A458D" w:rsidRPr="00742A04">
        <w:t>liares</w:t>
      </w:r>
      <w:r w:rsidR="00545D1B" w:rsidRPr="00742A04">
        <w:t xml:space="preserve">. </w:t>
      </w:r>
      <w:r w:rsidR="005D2D07" w:rsidRPr="00742A04">
        <w:t>Para dar mayor seguridad de</w:t>
      </w:r>
      <w:r w:rsidR="00545D1B" w:rsidRPr="00742A04">
        <w:t xml:space="preserve"> </w:t>
      </w:r>
      <w:r w:rsidR="000C68A8" w:rsidRPr="00742A04">
        <w:t xml:space="preserve">que la </w:t>
      </w:r>
      <w:r w:rsidR="00FC59C5" w:rsidRPr="00742A04">
        <w:t>policía</w:t>
      </w:r>
      <w:r w:rsidR="00545D1B" w:rsidRPr="00742A04">
        <w:t xml:space="preserve"> </w:t>
      </w:r>
      <w:r w:rsidR="005D2D07" w:rsidRPr="00742A04">
        <w:t>asign</w:t>
      </w:r>
      <w:r w:rsidR="00545D1B" w:rsidRPr="00742A04">
        <w:t xml:space="preserve">e </w:t>
      </w:r>
      <w:r w:rsidR="00056EF1" w:rsidRPr="00742A04">
        <w:t>suficiente</w:t>
      </w:r>
      <w:r w:rsidR="00545D1B" w:rsidRPr="00742A04">
        <w:t xml:space="preserve"> prior</w:t>
      </w:r>
      <w:r w:rsidR="00502E16" w:rsidRPr="00742A04">
        <w:t>idad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D2D07" w:rsidRPr="00742A04">
        <w:t xml:space="preserve">los </w:t>
      </w:r>
      <w:r w:rsidR="008A2682" w:rsidRPr="00742A04">
        <w:t>casos</w:t>
      </w:r>
      <w:r w:rsidR="00545D1B" w:rsidRPr="00742A04">
        <w:t xml:space="preserve"> </w:t>
      </w:r>
      <w:r w:rsidR="00EA6AC2" w:rsidRPr="00742A04">
        <w:t>relativos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50986" w:rsidRPr="00742A04">
        <w:t>violencia contra la mujer</w:t>
      </w:r>
      <w:r w:rsidR="00545D1B" w:rsidRPr="00742A04">
        <w:t xml:space="preserve">, </w:t>
      </w:r>
      <w:r w:rsidR="005D2D07" w:rsidRPr="00742A04">
        <w:t>en 2002 se impartieron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C59C5" w:rsidRPr="00742A04">
        <w:t>policía</w:t>
      </w:r>
      <w:r w:rsidR="00545D1B" w:rsidRPr="00742A04">
        <w:t xml:space="preserve"> </w:t>
      </w:r>
      <w:r w:rsidR="005D2D07" w:rsidRPr="00742A04">
        <w:t>in</w:t>
      </w:r>
      <w:r w:rsidR="005D2D07" w:rsidRPr="00742A04">
        <w:t>s</w:t>
      </w:r>
      <w:r w:rsidR="005D2D07" w:rsidRPr="00742A04">
        <w:t xml:space="preserve">trucciones en </w:t>
      </w:r>
      <w:r w:rsidR="001D73AD">
        <w:t xml:space="preserve">las </w:t>
      </w:r>
      <w:r w:rsidR="005D2D07" w:rsidRPr="00742A04">
        <w:t>que se detalla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="005D2D07" w:rsidRPr="00742A04">
        <w:t>tratar los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 xml:space="preserve">. </w:t>
      </w:r>
      <w:r w:rsidR="005D2D07" w:rsidRPr="00742A04">
        <w:t>Las instrucciones</w:t>
      </w:r>
      <w:r w:rsidR="00545D1B" w:rsidRPr="00742A04">
        <w:t xml:space="preserve"> </w:t>
      </w:r>
      <w:r w:rsidR="005D2D07" w:rsidRPr="00742A04">
        <w:t>comprenden</w:t>
      </w:r>
      <w:r w:rsidR="00545D1B" w:rsidRPr="00742A04">
        <w:t xml:space="preserve"> </w:t>
      </w:r>
      <w:r w:rsidR="00B86412" w:rsidRPr="00742A04">
        <w:t>un</w:t>
      </w:r>
      <w:r w:rsidR="001D73AD">
        <w:t>a</w:t>
      </w:r>
      <w:r w:rsidR="00B86412" w:rsidRPr="00742A04">
        <w:t xml:space="preserve"> </w:t>
      </w:r>
      <w:r w:rsidR="001D73AD">
        <w:t>g</w:t>
      </w:r>
      <w:r w:rsidR="00B86412" w:rsidRPr="00742A04">
        <w:t>ama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D2D07" w:rsidRPr="00742A04">
        <w:t>medidas prácticas</w:t>
      </w:r>
      <w:r w:rsidR="00545D1B" w:rsidRPr="00742A04">
        <w:t xml:space="preserve"> </w:t>
      </w:r>
      <w:r w:rsidR="005D2D07" w:rsidRPr="00742A04">
        <w:t>para proteger a</w:t>
      </w:r>
      <w:r w:rsidR="00545D1B" w:rsidRPr="00742A04">
        <w:t xml:space="preserve"> </w:t>
      </w:r>
      <w:r w:rsidR="00B82A08" w:rsidRPr="00742A04">
        <w:t>las pers</w:t>
      </w:r>
      <w:r w:rsidR="00B82A08" w:rsidRPr="00742A04">
        <w:t>o</w:t>
      </w:r>
      <w:r w:rsidR="00B82A08" w:rsidRPr="00742A04">
        <w:t>nas</w:t>
      </w:r>
      <w:r w:rsidR="00545D1B" w:rsidRPr="00742A04">
        <w:t xml:space="preserve"> </w:t>
      </w:r>
      <w:r w:rsidR="005D2D07" w:rsidRPr="00742A04">
        <w:t>expuestas 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11327" w:rsidRPr="00742A04">
        <w:t>amenazas</w:t>
      </w:r>
      <w:r w:rsidR="00545D1B" w:rsidRPr="00742A04">
        <w:t xml:space="preserve">. </w:t>
      </w:r>
      <w:r w:rsidR="005D2D07" w:rsidRPr="00742A04">
        <w:t>La Dirección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D4DF1" w:rsidRPr="00742A04">
        <w:t>Policía</w:t>
      </w:r>
      <w:r w:rsidR="00545D1B" w:rsidRPr="00742A04">
        <w:t xml:space="preserve"> </w:t>
      </w:r>
      <w:r w:rsidR="005D2D07" w:rsidRPr="00742A04">
        <w:t>elaboró</w:t>
      </w:r>
      <w:r w:rsidR="00545D1B" w:rsidRPr="00742A04">
        <w:t xml:space="preserve"> </w:t>
      </w:r>
      <w:r w:rsidR="005D2D07" w:rsidRPr="00742A04">
        <w:t>un manual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D2D07" w:rsidRPr="00742A04">
        <w:t xml:space="preserve">el tratamiento </w:t>
      </w:r>
      <w:r w:rsidR="00C076F2" w:rsidRPr="00742A04">
        <w:t xml:space="preserve">de los </w:t>
      </w:r>
      <w:r w:rsidR="005D2D07" w:rsidRPr="00742A04">
        <w:t>casos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B2022" w:rsidRPr="00742A04">
        <w:t>violencia doméstica</w:t>
      </w:r>
      <w:r w:rsidR="005D2D07" w:rsidRPr="00742A04">
        <w:t xml:space="preserve"> por parte de la policía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5D2D07" w:rsidRPr="00742A04">
        <w:t>se distribuyó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D2D07" w:rsidRPr="00742A04">
        <w:t>todos los distritos pol</w:t>
      </w:r>
      <w:r w:rsidR="005D2D07" w:rsidRPr="00742A04">
        <w:t>i</w:t>
      </w:r>
      <w:r w:rsidR="005D2D07" w:rsidRPr="00742A04">
        <w:t>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776F" w:rsidRPr="00742A04">
        <w:t>junio de</w:t>
      </w:r>
      <w:r w:rsidR="00545D1B" w:rsidRPr="00742A04">
        <w:t xml:space="preserve"> 2002.</w:t>
      </w:r>
    </w:p>
    <w:p w:rsidR="00545D1B" w:rsidRPr="00742A04" w:rsidRDefault="00545D1B" w:rsidP="00021DB5">
      <w:pPr>
        <w:pStyle w:val="SingleTxt"/>
        <w:ind w:firstLine="475"/>
      </w:pPr>
      <w:r w:rsidRPr="00742A04">
        <w:rPr>
          <w:i/>
        </w:rPr>
        <w:t>Evalua</w:t>
      </w:r>
      <w:r w:rsidR="00C14BFF" w:rsidRPr="00742A04">
        <w:rPr>
          <w:i/>
        </w:rPr>
        <w:t xml:space="preserve">ción </w:t>
      </w:r>
      <w:r w:rsidR="004A0730" w:rsidRPr="00742A04">
        <w:rPr>
          <w:i/>
        </w:rPr>
        <w:t>de</w:t>
      </w:r>
      <w:r w:rsidRPr="00742A04">
        <w:rPr>
          <w:i/>
        </w:rPr>
        <w:t xml:space="preserve"> </w:t>
      </w:r>
      <w:r w:rsidR="005D2D07" w:rsidRPr="00742A04">
        <w:rPr>
          <w:i/>
        </w:rPr>
        <w:t xml:space="preserve">las </w:t>
      </w:r>
      <w:r w:rsidR="00DC0DB8" w:rsidRPr="00742A04">
        <w:rPr>
          <w:i/>
        </w:rPr>
        <w:t>medidas</w:t>
      </w:r>
      <w:r w:rsidRPr="00742A04">
        <w:rPr>
          <w:i/>
        </w:rPr>
        <w:t>:</w:t>
      </w:r>
      <w:r w:rsidRPr="00742A04">
        <w:rPr>
          <w:b/>
          <w:i/>
        </w:rPr>
        <w:t xml:space="preserve"> </w:t>
      </w:r>
      <w:r w:rsidR="005D2D07" w:rsidRPr="00742A04">
        <w:t>El sistema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2370FA" w:rsidRPr="00742A04">
        <w:t>coordinadores de violencia domést</w:t>
      </w:r>
      <w:r w:rsidR="002370FA" w:rsidRPr="00742A04">
        <w:t>i</w:t>
      </w:r>
      <w:r w:rsidR="002370FA" w:rsidRPr="00742A04">
        <w:t>ca</w:t>
      </w:r>
      <w:r w:rsidRPr="00742A04">
        <w:t xml:space="preserve"> </w:t>
      </w:r>
      <w:r w:rsidR="005D2D07" w:rsidRPr="00742A04">
        <w:t>fue evaluado</w:t>
      </w:r>
      <w:r w:rsidRPr="00742A04">
        <w:t xml:space="preserve"> </w:t>
      </w:r>
      <w:r w:rsidR="00C14BFF" w:rsidRPr="00742A04">
        <w:t>en</w:t>
      </w:r>
      <w:r w:rsidRPr="00742A04">
        <w:t xml:space="preserve"> 2004. </w:t>
      </w:r>
      <w:r w:rsidR="00024DBC" w:rsidRPr="00742A04">
        <w:t>La evaluación</w:t>
      </w:r>
      <w:r w:rsidR="00C14BFF" w:rsidRPr="00742A04">
        <w:t xml:space="preserve"> </w:t>
      </w:r>
      <w:r w:rsidR="005D2D07" w:rsidRPr="00742A04">
        <w:t>brindó una</w:t>
      </w:r>
      <w:r w:rsidRPr="00742A04">
        <w:t xml:space="preserve"> descrip</w:t>
      </w:r>
      <w:r w:rsidR="00C14BFF" w:rsidRPr="00742A04">
        <w:t xml:space="preserve">ción </w:t>
      </w:r>
      <w:r w:rsidR="005D2D07" w:rsidRPr="00742A04">
        <w:t xml:space="preserve">informativa </w:t>
      </w:r>
      <w:r w:rsidR="004A0730" w:rsidRPr="00742A04">
        <w:t>de</w:t>
      </w:r>
      <w:r w:rsidR="005D2D07" w:rsidRPr="00742A04">
        <w:t>l e</w:t>
      </w:r>
      <w:r w:rsidR="005D2D07" w:rsidRPr="00742A04">
        <w:t>s</w:t>
      </w:r>
      <w:r w:rsidR="005D2D07" w:rsidRPr="00742A04">
        <w:t>tado</w:t>
      </w:r>
      <w:r w:rsidRPr="00742A04">
        <w:t xml:space="preserve"> </w:t>
      </w:r>
      <w:r w:rsidR="004A0730" w:rsidRPr="00742A04">
        <w:t>de</w:t>
      </w:r>
      <w:r w:rsidR="005D2D07" w:rsidRPr="00742A04">
        <w:t>l sistema</w:t>
      </w:r>
      <w:r w:rsidRPr="00742A04">
        <w:t xml:space="preserve"> </w:t>
      </w:r>
      <w:r w:rsidR="003E4840" w:rsidRPr="00742A04">
        <w:t>después de</w:t>
      </w:r>
      <w:r w:rsidRPr="00742A04">
        <w:t xml:space="preserve"> </w:t>
      </w:r>
      <w:r w:rsidR="003C5A2B" w:rsidRPr="00742A04">
        <w:t>dos</w:t>
      </w:r>
      <w:r w:rsidRPr="00742A04">
        <w:t xml:space="preserve"> </w:t>
      </w:r>
      <w:r w:rsidR="004D313C" w:rsidRPr="00742A04">
        <w:t>años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5D2D07" w:rsidRPr="00742A04">
        <w:t>funcionamiento</w:t>
      </w:r>
      <w:r w:rsidRPr="00742A04">
        <w:t xml:space="preserve">. </w:t>
      </w:r>
      <w:r w:rsidR="00CB0483" w:rsidRPr="00742A04">
        <w:t>Sin embargo</w:t>
      </w:r>
      <w:r w:rsidRPr="00742A04">
        <w:t xml:space="preserve">, </w:t>
      </w:r>
      <w:r w:rsidR="00024DBC" w:rsidRPr="00742A04">
        <w:t>los result</w:t>
      </w:r>
      <w:r w:rsidR="00024DBC" w:rsidRPr="00742A04">
        <w:t>a</w:t>
      </w:r>
      <w:r w:rsidR="00024DBC" w:rsidRPr="00742A04">
        <w:t>dos</w:t>
      </w:r>
      <w:r w:rsidRPr="00742A04">
        <w:t xml:space="preserve"> indica</w:t>
      </w:r>
      <w:r w:rsidR="005D2D07" w:rsidRPr="00742A04">
        <w:t>ron</w:t>
      </w:r>
      <w:r w:rsidRPr="00742A04">
        <w:t xml:space="preserve"> </w:t>
      </w:r>
      <w:r w:rsidR="005D2D07" w:rsidRPr="00742A04">
        <w:t>que hay</w:t>
      </w:r>
      <w:r w:rsidRPr="00742A04">
        <w:t xml:space="preserve"> </w:t>
      </w:r>
      <w:r w:rsidR="005D2D07" w:rsidRPr="00742A04">
        <w:t xml:space="preserve">un </w:t>
      </w:r>
      <w:r w:rsidRPr="00742A04">
        <w:t xml:space="preserve">considerable </w:t>
      </w:r>
      <w:r w:rsidR="005D2D07" w:rsidRPr="00742A04">
        <w:t>potencial</w:t>
      </w:r>
      <w:r w:rsidRPr="00742A04">
        <w:t xml:space="preserve"> </w:t>
      </w:r>
      <w:r w:rsidR="00F43124" w:rsidRPr="00742A04">
        <w:t>para</w:t>
      </w:r>
      <w:r w:rsidRPr="00742A04">
        <w:t xml:space="preserve"> </w:t>
      </w:r>
      <w:r w:rsidR="005D2D07" w:rsidRPr="00742A04">
        <w:t>nuevos</w:t>
      </w:r>
      <w:r w:rsidRPr="00742A04">
        <w:t xml:space="preserve"> </w:t>
      </w:r>
      <w:r w:rsidR="006B65CD" w:rsidRPr="00742A04">
        <w:t>desarrollo</w:t>
      </w:r>
      <w:r w:rsidR="005D2D07" w:rsidRPr="00742A04">
        <w:t>s</w:t>
      </w:r>
      <w:r w:rsidRPr="00742A04">
        <w:t xml:space="preserve">. </w:t>
      </w:r>
      <w:r w:rsidR="00C07ED9" w:rsidRPr="00742A04">
        <w:t>El grado</w:t>
      </w:r>
      <w:r w:rsidRPr="00742A04">
        <w:t xml:space="preserve"> </w:t>
      </w:r>
      <w:r w:rsidR="004A0730" w:rsidRPr="00742A04">
        <w:t>de</w:t>
      </w:r>
      <w:r w:rsidRPr="00742A04">
        <w:t xml:space="preserve"> prior</w:t>
      </w:r>
      <w:r w:rsidR="00502E16" w:rsidRPr="00742A04">
        <w:t>idad</w:t>
      </w:r>
      <w:r w:rsidRPr="00742A04">
        <w:t xml:space="preserve"> </w:t>
      </w:r>
      <w:r w:rsidR="005D2D07" w:rsidRPr="00742A04">
        <w:t>asignado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B2022" w:rsidRPr="00742A04">
        <w:t>violencia doméstica</w:t>
      </w:r>
      <w:r w:rsidRPr="00742A04">
        <w:t xml:space="preserve"> vari</w:t>
      </w:r>
      <w:r w:rsidR="005D2D07" w:rsidRPr="00742A04">
        <w:t>aba</w:t>
      </w:r>
      <w:r w:rsidRPr="00742A04">
        <w:t xml:space="preserve"> </w:t>
      </w:r>
      <w:r w:rsidR="005D2D07" w:rsidRPr="00742A04">
        <w:t>significativamente</w:t>
      </w:r>
      <w:r w:rsidRPr="00742A04">
        <w:t xml:space="preserve"> </w:t>
      </w:r>
      <w:r w:rsidR="008F0C8E" w:rsidRPr="00742A04">
        <w:t>de</w:t>
      </w:r>
      <w:r w:rsidRPr="00742A04">
        <w:t xml:space="preserve"> </w:t>
      </w:r>
      <w:r w:rsidR="00495D7B" w:rsidRPr="00742A04">
        <w:t>un</w:t>
      </w:r>
      <w:r w:rsidRPr="00742A04">
        <w:t xml:space="preserve"> </w:t>
      </w:r>
      <w:r w:rsidR="005D2D07" w:rsidRPr="00742A04">
        <w:t>di</w:t>
      </w:r>
      <w:r w:rsidR="005D2D07" w:rsidRPr="00742A04">
        <w:t>s</w:t>
      </w:r>
      <w:r w:rsidR="005D2D07" w:rsidRPr="00742A04">
        <w:t>trito policial</w:t>
      </w:r>
      <w:r w:rsidRPr="00742A04">
        <w:t xml:space="preserve"> </w:t>
      </w:r>
      <w:r w:rsidR="0030626A" w:rsidRPr="00742A04">
        <w:t>a</w:t>
      </w:r>
      <w:r w:rsidRPr="00742A04">
        <w:t xml:space="preserve"> </w:t>
      </w:r>
      <w:r w:rsidR="00BC2FBE" w:rsidRPr="00742A04">
        <w:t>otro</w:t>
      </w:r>
      <w:r w:rsidRPr="00742A04">
        <w:t xml:space="preserve">, </w:t>
      </w:r>
      <w:r w:rsidR="00232DF9" w:rsidRPr="00742A04">
        <w:t>aparentemente</w:t>
      </w:r>
      <w:r w:rsidRPr="00742A04">
        <w:t xml:space="preserve"> </w:t>
      </w:r>
      <w:r w:rsidR="00614C7D" w:rsidRPr="00742A04">
        <w:t>independient</w:t>
      </w:r>
      <w:r w:rsidR="00BC2FBE" w:rsidRPr="00742A04">
        <w:t xml:space="preserve">emente </w:t>
      </w:r>
      <w:r w:rsidR="004A0730" w:rsidRPr="00742A04">
        <w:t>de</w:t>
      </w:r>
      <w:r w:rsidRPr="00742A04">
        <w:t xml:space="preserve"> </w:t>
      </w:r>
      <w:r w:rsidR="00C076F2" w:rsidRPr="00742A04">
        <w:t>la prevalencia geográfica</w:t>
      </w:r>
      <w:r w:rsidR="00FF575F" w:rsidRPr="00742A04">
        <w:t xml:space="preserve"> </w:t>
      </w:r>
      <w:r w:rsidR="00C076F2" w:rsidRPr="00742A04">
        <w:t xml:space="preserve">de los </w:t>
      </w:r>
      <w:r w:rsidR="00AE0831" w:rsidRPr="00742A04">
        <w:t>casos de este tipo</w:t>
      </w:r>
      <w:r w:rsidRPr="00742A04">
        <w:t xml:space="preserve">. </w:t>
      </w:r>
      <w:r w:rsidR="008E5EBF" w:rsidRPr="00742A04">
        <w:t>Además</w:t>
      </w:r>
      <w:r w:rsidRPr="00742A04">
        <w:t xml:space="preserve">, </w:t>
      </w:r>
      <w:r w:rsidR="00C076F2" w:rsidRPr="00742A04">
        <w:t xml:space="preserve">no se cumplió en todos los distritos el pedido de la </w:t>
      </w:r>
      <w:r w:rsidR="005D2D07" w:rsidRPr="00742A04">
        <w:t>Dirección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ED4DF1" w:rsidRPr="00742A04">
        <w:t>Policía</w:t>
      </w:r>
      <w:r w:rsidRPr="00742A04">
        <w:t xml:space="preserve"> </w:t>
      </w:r>
      <w:r w:rsidR="00C076F2" w:rsidRPr="00742A04">
        <w:t xml:space="preserve">de que </w:t>
      </w:r>
      <w:r w:rsidR="00A836A1" w:rsidRPr="00742A04">
        <w:t>sólo</w:t>
      </w:r>
      <w:r w:rsidRPr="00742A04">
        <w:t xml:space="preserve"> </w:t>
      </w:r>
      <w:r w:rsidR="000F5C41" w:rsidRPr="00742A04">
        <w:t xml:space="preserve">en circunstancias excepcionales </w:t>
      </w:r>
      <w:r w:rsidR="00C076F2" w:rsidRPr="00742A04">
        <w:t>se</w:t>
      </w:r>
      <w:r w:rsidRPr="00742A04">
        <w:t xml:space="preserve"> </w:t>
      </w:r>
      <w:r w:rsidR="002370FA" w:rsidRPr="00742A04">
        <w:t>asigna</w:t>
      </w:r>
      <w:r w:rsidR="00C076F2" w:rsidRPr="00742A04">
        <w:t>ran</w:t>
      </w:r>
      <w:r w:rsidRPr="00742A04">
        <w:t xml:space="preserve"> ot</w:t>
      </w:r>
      <w:r w:rsidR="00C076F2" w:rsidRPr="00742A04">
        <w:t>ros</w:t>
      </w:r>
      <w:r w:rsidRPr="00742A04">
        <w:t xml:space="preserve"> </w:t>
      </w:r>
      <w:r w:rsidR="001B4F21" w:rsidRPr="00742A04">
        <w:t>cometidos</w:t>
      </w:r>
      <w:r w:rsidR="000F5C41" w:rsidRPr="000F5C41">
        <w:t xml:space="preserve"> </w:t>
      </w:r>
      <w:r w:rsidR="000F5C41" w:rsidRPr="00742A04">
        <w:t>a los coordinadores de violencia doméstica</w:t>
      </w:r>
      <w:r w:rsidRPr="00742A04">
        <w:t xml:space="preserve">. </w:t>
      </w:r>
      <w:r w:rsidR="005D2D07" w:rsidRPr="00742A04">
        <w:t>La Dirección</w:t>
      </w:r>
      <w:r w:rsidRPr="00742A04">
        <w:t xml:space="preserve"> ha</w:t>
      </w:r>
      <w:r w:rsidR="00C076F2" w:rsidRPr="00742A04">
        <w:t xml:space="preserve"> elab</w:t>
      </w:r>
      <w:r w:rsidR="00C076F2" w:rsidRPr="00742A04">
        <w:t>o</w:t>
      </w:r>
      <w:r w:rsidR="00C076F2" w:rsidRPr="00742A04">
        <w:t>rado una</w:t>
      </w:r>
      <w:r w:rsidRPr="00742A04">
        <w:t xml:space="preserve"> </w:t>
      </w:r>
      <w:r w:rsidR="00C923A8" w:rsidRPr="00742A04">
        <w:t>estrategia</w:t>
      </w:r>
      <w:r w:rsidRPr="00742A04">
        <w:t xml:space="preserve"> </w:t>
      </w:r>
      <w:r w:rsidR="00F43124" w:rsidRPr="00742A04">
        <w:t>para</w:t>
      </w:r>
      <w:r w:rsidRPr="00742A04">
        <w:t xml:space="preserve"> </w:t>
      </w:r>
      <w:r w:rsidR="00C076F2" w:rsidRPr="00742A04">
        <w:t>seguir desarrollando</w:t>
      </w:r>
      <w:r w:rsidRPr="00742A04">
        <w:t xml:space="preserve"> </w:t>
      </w:r>
      <w:r w:rsidR="005D2D07" w:rsidRPr="00742A04">
        <w:t>el sistema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2370FA" w:rsidRPr="00742A04">
        <w:t>coordinadores de viole</w:t>
      </w:r>
      <w:r w:rsidR="002370FA" w:rsidRPr="00742A04">
        <w:t>n</w:t>
      </w:r>
      <w:r w:rsidR="002370FA" w:rsidRPr="00742A04">
        <w:t>cia doméstica</w:t>
      </w:r>
      <w:r w:rsidRPr="00742A04">
        <w:t xml:space="preserve"> </w:t>
      </w:r>
      <w:r w:rsidR="00230F13" w:rsidRPr="00742A04">
        <w:t>con miras</w:t>
      </w:r>
      <w:r w:rsidR="00C076F2" w:rsidRPr="00742A04">
        <w:t xml:space="preserve"> a eliminar</w:t>
      </w:r>
      <w:r w:rsidRPr="00742A04">
        <w:t xml:space="preserve"> </w:t>
      </w:r>
      <w:r w:rsidR="00C076F2" w:rsidRPr="00742A04">
        <w:t>las diferencias</w:t>
      </w:r>
      <w:r w:rsidRPr="00742A04">
        <w:t xml:space="preserve"> </w:t>
      </w:r>
      <w:r w:rsidR="007D66F2" w:rsidRPr="00742A04">
        <w:t>entre</w:t>
      </w:r>
      <w:r w:rsidRPr="00742A04">
        <w:t xml:space="preserve"> </w:t>
      </w:r>
      <w:r w:rsidR="00C076F2" w:rsidRPr="00742A04">
        <w:t>distritos</w:t>
      </w:r>
      <w:r w:rsidRPr="00742A04">
        <w:t>.</w:t>
      </w:r>
    </w:p>
    <w:p w:rsidR="00545D1B" w:rsidRPr="00742A04" w:rsidRDefault="00C076F2" w:rsidP="00021DB5">
      <w:pPr>
        <w:pStyle w:val="SingleTxt"/>
        <w:ind w:firstLine="475"/>
      </w:pPr>
      <w:r w:rsidRPr="00742A04">
        <w:t>El 1°</w:t>
      </w:r>
      <w:r w:rsidR="00194AB3" w:rsidRPr="00742A04">
        <w:t xml:space="preserve"> de enero</w:t>
      </w:r>
      <w:r w:rsidR="004A0730" w:rsidRPr="00742A04">
        <w:t xml:space="preserve"> de</w:t>
      </w:r>
      <w:r w:rsidR="00545D1B" w:rsidRPr="00742A04">
        <w:t xml:space="preserve"> 2004 </w:t>
      </w:r>
      <w:r w:rsidR="00FC59C5" w:rsidRPr="00742A04">
        <w:t>la policía</w:t>
      </w:r>
      <w:r w:rsidR="00545D1B" w:rsidRPr="00742A04">
        <w:t xml:space="preserve"> </w:t>
      </w:r>
      <w:r w:rsidR="00C07ED9" w:rsidRPr="00742A04">
        <w:t>inici</w:t>
      </w:r>
      <w:r w:rsidRPr="00742A04">
        <w:t>ó</w:t>
      </w:r>
      <w:r w:rsidR="00545D1B" w:rsidRPr="00742A04">
        <w:t xml:space="preserve"> </w:t>
      </w:r>
      <w:r w:rsidRPr="00742A04">
        <w:t>un sistema nacional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alarmas móv</w:t>
      </w:r>
      <w:r w:rsidRPr="00742A04">
        <w:t>i</w:t>
      </w:r>
      <w:r w:rsidRPr="00742A04">
        <w:t>les de violencia</w:t>
      </w:r>
      <w:r w:rsidR="00545D1B" w:rsidRPr="00742A04">
        <w:t xml:space="preserve">. </w:t>
      </w:r>
      <w:r w:rsidR="00860FBC" w:rsidRPr="00742A04">
        <w:t>L</w:t>
      </w:r>
      <w:r w:rsidRPr="00742A04">
        <w:t>as alarmas móviles de violencia</w:t>
      </w:r>
      <w:r w:rsidR="00860FBC" w:rsidRPr="00742A04">
        <w:t>, que se utilizan en combinación con otras medidas, tienen la finalidad de dar</w:t>
      </w:r>
      <w:r w:rsidR="00545D1B" w:rsidRPr="00742A04">
        <w:t xml:space="preserve"> </w:t>
      </w:r>
      <w:r w:rsidR="000F5C41">
        <w:t xml:space="preserve">a </w:t>
      </w:r>
      <w:r w:rsidR="00B82A08" w:rsidRPr="00742A04">
        <w:t>las personas</w:t>
      </w:r>
      <w:r w:rsidR="00545D1B" w:rsidRPr="00742A04">
        <w:t xml:space="preserve"> </w:t>
      </w:r>
      <w:r w:rsidR="00860FBC" w:rsidRPr="00742A04">
        <w:t>amenazadas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982243" w:rsidRPr="00742A04">
        <w:t>un mayor grado de</w:t>
      </w:r>
      <w:r w:rsidR="00545D1B" w:rsidRPr="00742A04">
        <w:t xml:space="preserve"> </w:t>
      </w:r>
      <w:r w:rsidR="00860FBC" w:rsidRPr="00742A04">
        <w:t>libertad de circulación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60FBC" w:rsidRPr="00742A04">
        <w:t>ayudar a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 w:rsidR="00860FBC" w:rsidRPr="00742A04">
        <w:t xml:space="preserve">la </w:t>
      </w:r>
      <w:r w:rsidR="00A05847" w:rsidRPr="00742A04">
        <w:t>violencia</w:t>
      </w:r>
      <w:r w:rsidR="00545D1B" w:rsidRPr="00742A04">
        <w:t xml:space="preserve"> </w:t>
      </w:r>
      <w:r w:rsidR="00877AA0" w:rsidRPr="00742A04">
        <w:t>y</w:t>
      </w:r>
      <w:r w:rsidR="00860FBC" w:rsidRPr="00742A04">
        <w:t xml:space="preserve"> las</w:t>
      </w:r>
      <w:r w:rsidR="00545D1B" w:rsidRPr="00742A04">
        <w:t xml:space="preserve"> </w:t>
      </w:r>
      <w:r w:rsidR="00311327" w:rsidRPr="00742A04">
        <w:t>amenazas</w:t>
      </w:r>
      <w:r w:rsidR="00545D1B" w:rsidRPr="00742A04">
        <w:t xml:space="preserve">. </w:t>
      </w:r>
      <w:r w:rsidR="004B58E9" w:rsidRPr="00742A04">
        <w:t>El sistema de alarma</w:t>
      </w:r>
      <w:r w:rsidR="00545D1B" w:rsidRPr="00742A04">
        <w:t xml:space="preserve"> </w:t>
      </w:r>
      <w:r w:rsidR="004B58E9" w:rsidRPr="00742A04">
        <w:t>se</w:t>
      </w:r>
      <w:r w:rsidR="00D52339" w:rsidRPr="00742A04">
        <w:t xml:space="preserve"> bas</w:t>
      </w:r>
      <w:r w:rsidR="004B58E9" w:rsidRPr="00742A04">
        <w:t>a en</w:t>
      </w:r>
      <w:r w:rsidR="00545D1B" w:rsidRPr="00742A04">
        <w:t xml:space="preserve"> </w:t>
      </w:r>
      <w:r w:rsidR="00CE48B6" w:rsidRPr="00742A04">
        <w:t>dos</w:t>
      </w:r>
      <w:r w:rsidR="00545D1B" w:rsidRPr="00742A04">
        <w:t xml:space="preserve"> </w:t>
      </w:r>
      <w:r w:rsidR="00CE48B6" w:rsidRPr="00742A04">
        <w:t xml:space="preserve">sistemas de determinación </w:t>
      </w:r>
      <w:r w:rsidR="00F43124" w:rsidRPr="00742A04">
        <w:t xml:space="preserve">de la </w:t>
      </w:r>
      <w:r w:rsidR="00CE48B6" w:rsidRPr="00742A04">
        <w:t>p</w:t>
      </w:r>
      <w:r w:rsidR="00CE48B6" w:rsidRPr="00742A04">
        <w:t>o</w:t>
      </w:r>
      <w:r w:rsidR="00CE48B6" w:rsidRPr="00742A04">
        <w:t>sición geográfica</w:t>
      </w:r>
      <w:r w:rsidR="00545D1B" w:rsidRPr="00742A04">
        <w:t xml:space="preserve"> (</w:t>
      </w:r>
      <w:r w:rsidR="004B58E9" w:rsidRPr="00742A04">
        <w:t xml:space="preserve">el </w:t>
      </w:r>
      <w:r w:rsidR="00CE48B6" w:rsidRPr="00742A04">
        <w:t xml:space="preserve">Sistema Mundial de Determinación </w:t>
      </w:r>
      <w:r w:rsidR="00F43124" w:rsidRPr="00742A04">
        <w:t xml:space="preserve">de la </w:t>
      </w:r>
      <w:r w:rsidR="00CE48B6" w:rsidRPr="00742A04">
        <w:t>Posición (</w:t>
      </w:r>
      <w:r w:rsidR="00545D1B" w:rsidRPr="00742A04">
        <w:t>GPS</w:t>
      </w:r>
      <w:r w:rsidR="00CE48B6" w:rsidRPr="00742A04">
        <w:t>)</w:t>
      </w:r>
      <w:r w:rsidR="00545D1B" w:rsidRPr="00742A04">
        <w:t xml:space="preserve"> </w:t>
      </w:r>
      <w:r w:rsidR="00877AA0" w:rsidRPr="00742A04">
        <w:t>y</w:t>
      </w:r>
      <w:r w:rsidR="00CE48B6" w:rsidRPr="00742A04">
        <w:t xml:space="preserve"> </w:t>
      </w:r>
      <w:r w:rsidR="004B58E9" w:rsidRPr="00742A04">
        <w:t xml:space="preserve">el </w:t>
      </w:r>
      <w:r w:rsidR="00CE48B6" w:rsidRPr="00742A04">
        <w:t>Sistema Global de Comunicaciones Móviles</w:t>
      </w:r>
      <w:r w:rsidR="00545D1B" w:rsidRPr="00742A04">
        <w:t xml:space="preserve"> </w:t>
      </w:r>
      <w:r w:rsidR="00CE48B6" w:rsidRPr="00742A04">
        <w:t>(</w:t>
      </w:r>
      <w:r w:rsidR="00545D1B" w:rsidRPr="00742A04">
        <w:t>GSM)</w:t>
      </w:r>
      <w:r w:rsidR="00CE48B6" w:rsidRPr="00742A04">
        <w:t>)</w:t>
      </w:r>
      <w:r w:rsidR="00545D1B" w:rsidRPr="00742A04">
        <w:t xml:space="preserve"> </w:t>
      </w:r>
      <w:r w:rsidR="004B58E9" w:rsidRPr="00742A04">
        <w:t xml:space="preserve">para </w:t>
      </w:r>
      <w:r w:rsidR="00CF2F77" w:rsidRPr="00742A04">
        <w:t>asegurar</w:t>
      </w:r>
      <w:r w:rsidR="00545D1B" w:rsidRPr="00742A04">
        <w:t xml:space="preserve"> </w:t>
      </w:r>
      <w:r w:rsidR="000C68A8" w:rsidRPr="00742A04">
        <w:t xml:space="preserve">que la </w:t>
      </w:r>
      <w:r w:rsidR="00EF5B12" w:rsidRPr="00742A04">
        <w:t>policía pueda</w:t>
      </w:r>
      <w:r w:rsidR="00545D1B" w:rsidRPr="00742A04">
        <w:t xml:space="preserve"> loca</w:t>
      </w:r>
      <w:r w:rsidR="004B58E9" w:rsidRPr="00742A04">
        <w:t>lizar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D3378F" w:rsidRPr="00742A04">
        <w:t xml:space="preserve">persona </w:t>
      </w:r>
      <w:r w:rsidR="004B58E9" w:rsidRPr="00742A04">
        <w:t>amenazada</w:t>
      </w:r>
      <w:r w:rsidR="00545D1B" w:rsidRPr="00742A04">
        <w:t xml:space="preserve"> </w:t>
      </w:r>
      <w:r w:rsidR="004B58E9" w:rsidRPr="00742A04">
        <w:t>con la mayor exactitud</w:t>
      </w:r>
      <w:r w:rsidR="00545D1B" w:rsidRPr="00742A04">
        <w:t xml:space="preserve"> </w:t>
      </w:r>
      <w:r w:rsidR="00C27C42" w:rsidRPr="00742A04">
        <w:t>posible</w:t>
      </w:r>
      <w:r w:rsidR="00545D1B" w:rsidRPr="00742A04">
        <w:t xml:space="preserve">. </w:t>
      </w:r>
      <w:r w:rsidR="003C25BF" w:rsidRPr="00742A04">
        <w:t>Cuando</w:t>
      </w:r>
      <w:r w:rsidR="00545D1B" w:rsidRPr="00742A04">
        <w:t xml:space="preserve"> </w:t>
      </w:r>
      <w:r w:rsidR="004B58E9" w:rsidRPr="00742A04">
        <w:t>se dispara la</w:t>
      </w:r>
      <w:r w:rsidR="00545D1B" w:rsidRPr="00742A04">
        <w:t xml:space="preserve"> alarm</w:t>
      </w:r>
      <w:r w:rsidR="004B58E9" w:rsidRPr="00742A04">
        <w:t>a</w:t>
      </w:r>
      <w:r w:rsidR="00545D1B" w:rsidRPr="00742A04">
        <w:t xml:space="preserve">, </w:t>
      </w:r>
      <w:r w:rsidR="00D3378F" w:rsidRPr="00742A04">
        <w:t xml:space="preserve">la persona </w:t>
      </w:r>
      <w:r w:rsidR="004B58E9" w:rsidRPr="00742A04">
        <w:t>de que se trata puede</w:t>
      </w:r>
      <w:r w:rsidR="00545D1B" w:rsidRPr="00742A04">
        <w:t xml:space="preserve"> </w:t>
      </w:r>
      <w:r w:rsidR="00587443" w:rsidRPr="00742A04">
        <w:t>comun</w:t>
      </w:r>
      <w:r w:rsidR="004B58E9" w:rsidRPr="00742A04">
        <w:t>icars</w:t>
      </w:r>
      <w:r w:rsidR="00545D1B" w:rsidRPr="00742A04">
        <w:t xml:space="preserve">e </w:t>
      </w:r>
      <w:r w:rsidR="004B58E9" w:rsidRPr="00742A04">
        <w:t>directamente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4B58E9" w:rsidRPr="00742A04">
        <w:t>el centro de operaciones de la policía</w:t>
      </w:r>
      <w:r w:rsidR="00545D1B" w:rsidRPr="00742A04">
        <w:t xml:space="preserve">. </w:t>
      </w:r>
      <w:r w:rsidR="004B58E9" w:rsidRPr="00742A04">
        <w:t>Para</w:t>
      </w:r>
      <w:r w:rsidR="00545D1B" w:rsidRPr="00742A04">
        <w:t xml:space="preserve"> </w:t>
      </w:r>
      <w:r w:rsidR="00B31D97" w:rsidRPr="00742A04">
        <w:t>asegurar que</w:t>
      </w:r>
      <w:r w:rsidR="00545D1B" w:rsidRPr="00742A04">
        <w:t xml:space="preserve"> </w:t>
      </w:r>
      <w:r w:rsidR="005D2D07" w:rsidRPr="00742A04">
        <w:t>el sistema</w:t>
      </w:r>
      <w:r w:rsidR="00545D1B" w:rsidRPr="00742A04">
        <w:t xml:space="preserve"> </w:t>
      </w:r>
      <w:r w:rsidR="004B58E9" w:rsidRPr="00742A04">
        <w:t xml:space="preserve">se </w:t>
      </w:r>
      <w:r w:rsidR="00EF5B12" w:rsidRPr="00742A04">
        <w:t>utilice</w:t>
      </w:r>
      <w:r w:rsidR="00545D1B" w:rsidRPr="00742A04">
        <w:t xml:space="preserve"> </w:t>
      </w:r>
      <w:r w:rsidR="00A30B35" w:rsidRPr="00742A04">
        <w:t>efica</w:t>
      </w:r>
      <w:r w:rsidR="00A30B35" w:rsidRPr="00742A04">
        <w:t>z</w:t>
      </w:r>
      <w:r w:rsidR="00A30B35" w:rsidRPr="00742A04">
        <w:t>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B58E9" w:rsidRPr="00742A04">
        <w:t>todos los distritos policiales</w:t>
      </w:r>
      <w:r w:rsidR="00545D1B" w:rsidRPr="00742A04">
        <w:t xml:space="preserve">, </w:t>
      </w:r>
      <w:r w:rsidR="004B58E9" w:rsidRPr="00742A04">
        <w:t>l</w:t>
      </w:r>
      <w:r w:rsidR="005D2D07" w:rsidRPr="00742A04">
        <w:t>a Dirección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D4DF1" w:rsidRPr="00742A04">
        <w:t>Policía</w:t>
      </w:r>
      <w:r w:rsidR="00545D1B" w:rsidRPr="00742A04">
        <w:t xml:space="preserve"> </w:t>
      </w:r>
      <w:r w:rsidR="004B58E9" w:rsidRPr="00742A04">
        <w:t xml:space="preserve">elaboró </w:t>
      </w:r>
      <w:r w:rsidR="008A25D7" w:rsidRPr="00742A04">
        <w:t>directrices</w:t>
      </w:r>
      <w:r w:rsidR="00545D1B" w:rsidRPr="00742A04">
        <w:t xml:space="preserve"> </w:t>
      </w:r>
      <w:r w:rsidR="004B58E9" w:rsidRPr="00742A04">
        <w:t xml:space="preserve">especiales </w:t>
      </w:r>
      <w:r w:rsidR="00F43124" w:rsidRPr="00742A04">
        <w:t>para</w:t>
      </w:r>
      <w:r w:rsidR="00545D1B" w:rsidRPr="00742A04">
        <w:t xml:space="preserve"> </w:t>
      </w:r>
      <w:r w:rsidR="004B58E9" w:rsidRPr="00742A04">
        <w:t>el suministro</w:t>
      </w:r>
      <w:r w:rsidR="005E6919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B58E9" w:rsidRPr="00742A04">
        <w:t xml:space="preserve">las </w:t>
      </w:r>
      <w:r w:rsidRPr="00742A04">
        <w:t>alarmas móviles de violencia</w:t>
      </w:r>
      <w:r w:rsidR="00545D1B" w:rsidRPr="00742A04">
        <w:t xml:space="preserve">. </w:t>
      </w:r>
      <w:r w:rsidR="004B58E9" w:rsidRPr="00742A04">
        <w:t>También se han elaborado</w:t>
      </w:r>
      <w:r w:rsidR="00545D1B" w:rsidRPr="00742A04">
        <w:t xml:space="preserve"> </w:t>
      </w:r>
      <w:r w:rsidR="00FB34C1" w:rsidRPr="00742A04">
        <w:t>un folleto</w:t>
      </w:r>
      <w:r w:rsidR="002E5047" w:rsidRPr="00742A04">
        <w:t xml:space="preserve"> </w:t>
      </w:r>
      <w:r w:rsidR="004B58E9" w:rsidRPr="00742A04">
        <w:t>especial de información y un</w:t>
      </w:r>
      <w:r w:rsidR="002E5047" w:rsidRPr="00742A04">
        <w:t xml:space="preserve"> </w:t>
      </w:r>
      <w:r w:rsidR="00545D1B" w:rsidRPr="00742A04">
        <w:t xml:space="preserve">manual </w:t>
      </w:r>
      <w:r w:rsidR="004B58E9" w:rsidRPr="00742A04">
        <w:t xml:space="preserve">de instrucciones </w:t>
      </w:r>
      <w:r w:rsidR="00F43124" w:rsidRPr="00742A04">
        <w:t>para</w:t>
      </w:r>
      <w:r w:rsidR="00545D1B" w:rsidRPr="00742A04">
        <w:t xml:space="preserve"> </w:t>
      </w:r>
      <w:r w:rsidR="004B58E9" w:rsidRPr="00742A04">
        <w:t>la víctima de amenazas</w:t>
      </w:r>
      <w:r w:rsidR="00545D1B" w:rsidRPr="00742A04">
        <w:t>.</w:t>
      </w:r>
      <w:r w:rsidR="003E5775" w:rsidRPr="00742A04">
        <w:t xml:space="preserve"> </w:t>
      </w:r>
      <w:r w:rsidR="004B58E9" w:rsidRPr="00742A04">
        <w:t>En</w:t>
      </w:r>
      <w:r w:rsidR="003E5775" w:rsidRPr="00742A04">
        <w:t xml:space="preserve"> </w:t>
      </w:r>
      <w:r w:rsidR="004A0730" w:rsidRPr="00742A04">
        <w:t>enero de</w:t>
      </w:r>
      <w:r w:rsidR="004B58E9" w:rsidRPr="00742A04">
        <w:t xml:space="preserve"> 2006 estaban en funcionamiento</w:t>
      </w:r>
      <w:r w:rsidR="00545D1B" w:rsidRPr="00742A04">
        <w:t xml:space="preserve"> </w:t>
      </w:r>
      <w:r w:rsidR="00A836A1" w:rsidRPr="00742A04">
        <w:t>aproximadame</w:t>
      </w:r>
      <w:r w:rsidR="00A836A1" w:rsidRPr="00742A04">
        <w:t>n</w:t>
      </w:r>
      <w:r w:rsidR="00A836A1" w:rsidRPr="00742A04">
        <w:t>te</w:t>
      </w:r>
      <w:r w:rsidR="004B58E9" w:rsidRPr="00742A04">
        <w:t xml:space="preserve"> 1.500</w:t>
      </w:r>
      <w:r w:rsidR="00545D1B" w:rsidRPr="00742A04">
        <w:t xml:space="preserve"> </w:t>
      </w:r>
      <w:r w:rsidR="004B58E9" w:rsidRPr="00742A04">
        <w:t>alarmas</w:t>
      </w:r>
      <w:r w:rsidR="00545D1B" w:rsidRPr="00742A04">
        <w:t xml:space="preserve"> </w:t>
      </w:r>
      <w:r w:rsidR="004B58E9" w:rsidRPr="00742A04">
        <w:t>en total</w:t>
      </w:r>
      <w:r w:rsidR="00C27C42" w:rsidRPr="00742A04">
        <w:t>.</w:t>
      </w:r>
    </w:p>
    <w:p w:rsidR="00545D1B" w:rsidRPr="00742A04" w:rsidRDefault="009B122F" w:rsidP="00021DB5">
      <w:pPr>
        <w:pStyle w:val="SingleTxt"/>
        <w:ind w:firstLine="475"/>
      </w:pPr>
      <w:r w:rsidRPr="00742A04">
        <w:rPr>
          <w:i/>
        </w:rPr>
        <w:t>Proyecto piloto</w:t>
      </w:r>
      <w:r w:rsidR="00545D1B" w:rsidRPr="00742A04">
        <w:rPr>
          <w:i/>
        </w:rPr>
        <w:t xml:space="preserve"> </w:t>
      </w:r>
      <w:r w:rsidRPr="00742A04">
        <w:rPr>
          <w:i/>
        </w:rPr>
        <w:t>de</w:t>
      </w:r>
      <w:r w:rsidR="00545D1B" w:rsidRPr="00742A04">
        <w:rPr>
          <w:i/>
        </w:rPr>
        <w:t xml:space="preserve"> “</w:t>
      </w:r>
      <w:r w:rsidRPr="00742A04">
        <w:rPr>
          <w:i/>
        </w:rPr>
        <w:t>alarma inversa</w:t>
      </w:r>
      <w:r w:rsidR="00545D1B" w:rsidRPr="00742A04">
        <w:rPr>
          <w:i/>
        </w:rPr>
        <w:t xml:space="preserve">”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</w:t>
      </w:r>
      <w:r w:rsidRPr="00742A04">
        <w:rPr>
          <w:i/>
        </w:rPr>
        <w:t>delincuentes violentos</w:t>
      </w:r>
      <w:r w:rsidR="00545D1B" w:rsidRPr="00742A04">
        <w:t>.</w:t>
      </w:r>
      <w:r w:rsidR="001167D2" w:rsidRPr="00742A04">
        <w:t xml:space="preserve"> </w:t>
      </w:r>
      <w:r w:rsidRPr="00742A04">
        <w:t>E</w:t>
      </w:r>
      <w:r w:rsidR="001167D2" w:rsidRPr="00742A04">
        <w:t>l</w:t>
      </w:r>
      <w:r w:rsidRPr="00742A04">
        <w:t xml:space="preserve"> </w:t>
      </w:r>
      <w:r w:rsidR="004A0730" w:rsidRPr="00742A04">
        <w:t>Minist</w:t>
      </w:r>
      <w:r w:rsidR="004A0730" w:rsidRPr="00742A04">
        <w:t>e</w:t>
      </w:r>
      <w:r w:rsidR="004A0730" w:rsidRPr="00742A04">
        <w:t>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Pr="00742A04">
        <w:t>ha establecido</w:t>
      </w:r>
      <w:r w:rsidR="00545D1B" w:rsidRPr="00742A04">
        <w:t xml:space="preserve"> </w:t>
      </w:r>
      <w:r w:rsidRPr="00742A04">
        <w:t>un grupo</w:t>
      </w:r>
      <w:r w:rsidR="005E2D7A" w:rsidRPr="00742A04">
        <w:t xml:space="preserve"> de trabajo</w:t>
      </w:r>
      <w:r w:rsidR="00DD5E1A" w:rsidRPr="00742A04">
        <w:t xml:space="preserve"> encargado de elaborar</w:t>
      </w:r>
      <w:r w:rsidR="00545D1B" w:rsidRPr="00742A04">
        <w:t xml:space="preserve"> </w:t>
      </w:r>
      <w:r w:rsidR="00FC59C5" w:rsidRPr="00742A04">
        <w:t>un informe</w:t>
      </w:r>
      <w:r w:rsidR="00545D1B" w:rsidRPr="00742A04">
        <w:t xml:space="preserve"> </w:t>
      </w:r>
      <w:r w:rsidR="00DD5E1A" w:rsidRPr="00742A04">
        <w:t>sobre</w:t>
      </w:r>
      <w:r w:rsidR="00545D1B" w:rsidRPr="00742A04">
        <w:t xml:space="preserve"> </w:t>
      </w:r>
      <w:r w:rsidR="007D36C8" w:rsidRPr="00742A04">
        <w:t xml:space="preserve">la </w:t>
      </w:r>
      <w:r w:rsidR="004F2F8A" w:rsidRPr="00742A04">
        <w:t>implementación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0689C" w:rsidRPr="00742A04">
        <w:t>un proyecto piloto</w:t>
      </w:r>
      <w:r w:rsidR="00545D1B" w:rsidRPr="00742A04">
        <w:t xml:space="preserve"> </w:t>
      </w:r>
      <w:r w:rsidR="00DD5E1A" w:rsidRPr="00742A04">
        <w:t>de utilización</w:t>
      </w:r>
      <w:r w:rsidR="00545D1B" w:rsidRPr="00742A04">
        <w:t xml:space="preserve"> </w:t>
      </w:r>
      <w:r w:rsidR="004A0730" w:rsidRPr="00742A04">
        <w:t>de</w:t>
      </w:r>
      <w:r w:rsidR="00DD5E1A" w:rsidRPr="00742A04">
        <w:t xml:space="preserve"> un</w:t>
      </w:r>
      <w:r w:rsidR="00545D1B" w:rsidRPr="00742A04">
        <w:t xml:space="preserve"> </w:t>
      </w:r>
      <w:r w:rsidR="00DD5E1A" w:rsidRPr="00742A04">
        <w:t>monitoreo ele</w:t>
      </w:r>
      <w:r w:rsidR="00DD5E1A" w:rsidRPr="00742A04">
        <w:t>c</w:t>
      </w:r>
      <w:r w:rsidR="00DD5E1A" w:rsidRPr="00742A04">
        <w:t>trónico de</w:t>
      </w:r>
      <w:r w:rsidR="00545D1B" w:rsidRPr="00742A04">
        <w:t xml:space="preserve"> </w:t>
      </w:r>
      <w:r w:rsidR="00DD5E1A" w:rsidRPr="00742A04">
        <w:t xml:space="preserve">exclusión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el caso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ha</w:t>
      </w:r>
      <w:r w:rsidR="00DD5E1A" w:rsidRPr="00742A04">
        <w:t>yan</w:t>
      </w:r>
      <w:r w:rsidR="00545D1B" w:rsidRPr="00742A04">
        <w:t xml:space="preserve"> viola</w:t>
      </w:r>
      <w:r w:rsidR="00DD5E1A" w:rsidRPr="00742A04">
        <w:t>do un</w:t>
      </w:r>
      <w:r w:rsidR="00545D1B" w:rsidRPr="00742A04">
        <w:t xml:space="preserve">a </w:t>
      </w:r>
      <w:r w:rsidR="00802868" w:rsidRPr="00742A04">
        <w:t>prohibición de</w:t>
      </w:r>
      <w:r w:rsidR="00545D1B" w:rsidRPr="00742A04">
        <w:t xml:space="preserve"> </w:t>
      </w:r>
      <w:r w:rsidR="00802868" w:rsidRPr="00742A04">
        <w:t>visitas</w:t>
      </w:r>
      <w:r w:rsidR="00545D1B" w:rsidRPr="00742A04">
        <w:t xml:space="preserve">. </w:t>
      </w:r>
      <w:r w:rsidR="00DD5E1A" w:rsidRPr="00742A04">
        <w:t>Se ha pedido al</w:t>
      </w:r>
      <w:r w:rsidR="00545D1B" w:rsidRPr="00742A04">
        <w:t xml:space="preserve"> </w:t>
      </w:r>
      <w:r w:rsidR="005E2D7A" w:rsidRPr="00742A04">
        <w:t>grupo de trabajo</w:t>
      </w:r>
      <w:r w:rsidR="00545D1B" w:rsidRPr="00742A04">
        <w:t xml:space="preserve"> </w:t>
      </w:r>
      <w:r w:rsidR="00DD5E1A" w:rsidRPr="00742A04">
        <w:t>que</w:t>
      </w:r>
      <w:r w:rsidR="00545D1B" w:rsidRPr="00742A04">
        <w:t xml:space="preserve"> present</w:t>
      </w:r>
      <w:r w:rsidR="00DD5E1A" w:rsidRPr="00742A04">
        <w:t>e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 xml:space="preserve">s </w:t>
      </w:r>
      <w:r w:rsidR="00DD5E1A" w:rsidRPr="00742A04">
        <w:t>sobre el</w:t>
      </w:r>
      <w:r w:rsidR="00545D1B" w:rsidRPr="00742A04">
        <w:t xml:space="preserve"> </w:t>
      </w:r>
      <w:r w:rsidR="00615664" w:rsidRPr="00742A04">
        <w:t>t</w:t>
      </w:r>
      <w:r w:rsidR="00615664" w:rsidRPr="00742A04">
        <w:t>i</w:t>
      </w:r>
      <w:r w:rsidR="00615664" w:rsidRPr="00742A04">
        <w:t>po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D5E1A" w:rsidRPr="00742A04">
        <w:t>monitoreo electrónico</w:t>
      </w:r>
      <w:r w:rsidR="00545D1B" w:rsidRPr="00742A04">
        <w:t xml:space="preserve"> </w:t>
      </w:r>
      <w:r w:rsidR="00DD5E1A" w:rsidRPr="00742A04">
        <w:t>que debería utilizarse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213CF" w:rsidRPr="00742A04">
        <w:t>el proyecto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D5E1A" w:rsidRPr="00742A04">
        <w:t>que</w:t>
      </w:r>
      <w:r w:rsidR="000E16DE" w:rsidRPr="00742A04">
        <w:t xml:space="preserve"> estudi</w:t>
      </w:r>
      <w:r w:rsidR="00DD5E1A" w:rsidRPr="00742A04">
        <w:t>e</w:t>
      </w:r>
      <w:r w:rsidR="00545D1B" w:rsidRPr="00742A04">
        <w:t xml:space="preserve"> </w:t>
      </w:r>
      <w:r w:rsidR="00DD5E1A" w:rsidRPr="00742A04">
        <w:t>la neces</w:t>
      </w:r>
      <w:r w:rsidR="00DD5E1A" w:rsidRPr="00742A04">
        <w:t>i</w:t>
      </w:r>
      <w:r w:rsidR="00DD5E1A" w:rsidRPr="00742A04">
        <w:t xml:space="preserve">dad de </w:t>
      </w:r>
      <w:r w:rsidR="00545D1B" w:rsidRPr="00742A04">
        <w:t>solu</w:t>
      </w:r>
      <w:r w:rsidR="008907B8" w:rsidRPr="00742A04">
        <w:t>ciones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E2D7A" w:rsidRPr="00742A04">
        <w:t>organiza</w:t>
      </w:r>
      <w:r w:rsidR="00DD5E1A" w:rsidRPr="00742A04">
        <w:t>r el</w:t>
      </w:r>
      <w:r w:rsidR="00545D1B" w:rsidRPr="00742A04">
        <w:t xml:space="preserve"> </w:t>
      </w:r>
      <w:r w:rsidR="00DD5E1A" w:rsidRPr="00742A04">
        <w:t>monitoreo electrónico y formule propuestas al respecto</w:t>
      </w:r>
      <w:r w:rsidR="00545D1B" w:rsidRPr="00742A04">
        <w:t xml:space="preserve">. </w:t>
      </w:r>
      <w:r w:rsidR="00DD5E1A" w:rsidRPr="00742A04">
        <w:t>El grupo</w:t>
      </w:r>
      <w:r w:rsidR="005E2D7A" w:rsidRPr="00742A04">
        <w:t xml:space="preserve"> de trabajo</w:t>
      </w:r>
      <w:r w:rsidR="00545D1B" w:rsidRPr="00742A04">
        <w:t xml:space="preserve"> </w:t>
      </w:r>
      <w:r w:rsidR="00DD5E1A" w:rsidRPr="00742A04">
        <w:t>aprovechará</w:t>
      </w:r>
      <w:r w:rsidR="00545D1B" w:rsidRPr="00742A04">
        <w:t xml:space="preserve"> </w:t>
      </w:r>
      <w:r w:rsidR="00DD5E1A" w:rsidRPr="00742A04">
        <w:t>la experiencia</w:t>
      </w:r>
      <w:r w:rsidR="00545D1B" w:rsidRPr="00742A04">
        <w:t xml:space="preserve"> </w:t>
      </w:r>
      <w:r w:rsidR="00DD5E1A" w:rsidRPr="00742A04">
        <w:t>obtenida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7C65B3" w:rsidRPr="00742A04">
        <w:t>Suecia</w:t>
      </w:r>
      <w:r w:rsidR="00545D1B" w:rsidRPr="00742A04">
        <w:t xml:space="preserve">, </w:t>
      </w:r>
      <w:r w:rsidR="003E4840" w:rsidRPr="00742A04">
        <w:t>el R</w:t>
      </w:r>
      <w:r w:rsidR="003E4840" w:rsidRPr="00742A04">
        <w:t>e</w:t>
      </w:r>
      <w:r w:rsidR="003E4840" w:rsidRPr="00742A04">
        <w:t>i</w:t>
      </w:r>
      <w:r w:rsidR="00DD5E1A" w:rsidRPr="00742A04">
        <w:softHyphen/>
      </w:r>
      <w:r w:rsidR="003E4840" w:rsidRPr="00742A04">
        <w:t>no Unido</w:t>
      </w:r>
      <w:r w:rsidR="00545D1B" w:rsidRPr="00742A04">
        <w:t xml:space="preserve">, </w:t>
      </w:r>
      <w:r w:rsidR="007C65B3" w:rsidRPr="00742A04">
        <w:t>los Estados Unidos de América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C65B3" w:rsidRPr="00742A04">
        <w:t>España</w:t>
      </w:r>
      <w:r w:rsidR="00545D1B" w:rsidRPr="00742A04">
        <w:t xml:space="preserve">, </w:t>
      </w:r>
      <w:r w:rsidR="00DD5E1A" w:rsidRPr="00742A04">
        <w:t xml:space="preserve">países </w:t>
      </w:r>
      <w:r w:rsidR="00E575DB" w:rsidRPr="00742A04">
        <w:t>que</w:t>
      </w:r>
      <w:r w:rsidR="00545D1B" w:rsidRPr="00742A04">
        <w:t xml:space="preserve"> </w:t>
      </w:r>
      <w:r w:rsidR="00DD5E1A" w:rsidRPr="00742A04">
        <w:t>han ensayado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DD5E1A" w:rsidRPr="00742A04">
        <w:t>e</w:t>
      </w:r>
      <w:r w:rsidR="00DD5E1A" w:rsidRPr="00742A04">
        <w:t>s</w:t>
      </w:r>
      <w:r w:rsidR="00DD5E1A" w:rsidRPr="00742A04">
        <w:t>tán</w:t>
      </w:r>
      <w:r w:rsidR="00545D1B" w:rsidRPr="00742A04">
        <w:t xml:space="preserve"> </w:t>
      </w:r>
      <w:r w:rsidR="00DD5E1A" w:rsidRPr="00742A04">
        <w:t>ensayando</w:t>
      </w:r>
      <w:r w:rsidR="00545D1B" w:rsidRPr="00742A04">
        <w:t xml:space="preserve"> </w:t>
      </w:r>
      <w:r w:rsidR="00DD5E1A" w:rsidRPr="00742A04">
        <w:t>el uso</w:t>
      </w:r>
      <w:r w:rsidR="00545D1B" w:rsidRPr="00742A04">
        <w:t xml:space="preserve"> </w:t>
      </w:r>
      <w:r w:rsidR="004A0730" w:rsidRPr="00742A04">
        <w:t>de</w:t>
      </w:r>
      <w:r w:rsidR="00DD5E1A" w:rsidRPr="00742A04">
        <w:t>l</w:t>
      </w:r>
      <w:r w:rsidR="00545D1B" w:rsidRPr="00742A04">
        <w:t xml:space="preserve"> </w:t>
      </w:r>
      <w:r w:rsidR="00DD5E1A" w:rsidRPr="00742A04">
        <w:t>monitoreo electrónico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ha</w:t>
      </w:r>
      <w:r w:rsidR="00DD5E1A" w:rsidRPr="00742A04">
        <w:t>yan violado un</w:t>
      </w:r>
      <w:r w:rsidR="00545D1B" w:rsidRPr="00742A04">
        <w:t xml:space="preserve">a </w:t>
      </w:r>
      <w:r w:rsidR="00802868" w:rsidRPr="00742A04">
        <w:t>prohibición de</w:t>
      </w:r>
      <w:r w:rsidR="00545D1B" w:rsidRPr="00742A04">
        <w:t xml:space="preserve"> </w:t>
      </w:r>
      <w:r w:rsidR="00802868" w:rsidRPr="00742A04">
        <w:t>visitas</w:t>
      </w:r>
      <w:r w:rsidR="00545D1B" w:rsidRPr="00742A04">
        <w:t>.</w:t>
      </w:r>
      <w:r w:rsidR="001167D2" w:rsidRPr="00742A04">
        <w:t xml:space="preserve"> </w:t>
      </w:r>
      <w:r w:rsidR="00232FAC" w:rsidRPr="00742A04">
        <w:t>Se prevé que e</w:t>
      </w:r>
      <w:r w:rsidR="001167D2" w:rsidRPr="00742A04">
        <w:t xml:space="preserve">l </w:t>
      </w:r>
      <w:r w:rsidR="00FB5EDF" w:rsidRPr="00742A04">
        <w:t>informe</w:t>
      </w:r>
      <w:r w:rsidR="00545D1B" w:rsidRPr="00742A04">
        <w:t xml:space="preserve"> </w:t>
      </w:r>
      <w:r w:rsidR="00232FAC" w:rsidRPr="00742A04">
        <w:t>quede terminado</w:t>
      </w:r>
      <w:r w:rsidR="00DD5E1A" w:rsidRPr="00742A04">
        <w:t xml:space="preserve"> en</w:t>
      </w:r>
      <w:r w:rsidR="004D313C" w:rsidRPr="00742A04">
        <w:t xml:space="preserve"> el otoño</w:t>
      </w:r>
      <w:r w:rsidR="00F43124" w:rsidRPr="00742A04">
        <w:t xml:space="preserve"> de</w:t>
      </w:r>
      <w:r w:rsidR="00545D1B" w:rsidRPr="00742A04">
        <w:t xml:space="preserve"> 2006, </w:t>
      </w:r>
      <w:r w:rsidR="00877AA0" w:rsidRPr="00742A04">
        <w:t>y</w:t>
      </w:r>
      <w:r w:rsidR="00545D1B" w:rsidRPr="00742A04">
        <w:t xml:space="preserve"> </w:t>
      </w:r>
      <w:r w:rsidR="00232FAC" w:rsidRPr="00742A04">
        <w:t>el proyecto</w:t>
      </w:r>
      <w:r w:rsidRPr="00742A04">
        <w:t xml:space="preserve"> piloto</w:t>
      </w:r>
      <w:r w:rsidR="00545D1B" w:rsidRPr="00742A04">
        <w:t xml:space="preserve"> </w:t>
      </w:r>
      <w:r w:rsidR="00232FAC" w:rsidRPr="00742A04">
        <w:t>se iniciará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enero de</w:t>
      </w:r>
      <w:r w:rsidR="00545D1B" w:rsidRPr="00742A04">
        <w:t xml:space="preserve"> 2007.</w:t>
      </w:r>
    </w:p>
    <w:p w:rsidR="00545D1B" w:rsidRPr="00742A04" w:rsidRDefault="005D2D07" w:rsidP="00021DB5">
      <w:pPr>
        <w:pStyle w:val="SingleTxt"/>
        <w:ind w:firstLine="475"/>
      </w:pPr>
      <w:r w:rsidRPr="00742A04">
        <w:t>El sistema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32FAC" w:rsidRPr="00742A04">
        <w:t>oficinas de asesoramiento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32FAC" w:rsidRPr="00742A04">
        <w:t>las víctimas de delitos</w:t>
      </w:r>
      <w:r w:rsidR="00545D1B" w:rsidRPr="00742A04">
        <w:t xml:space="preserve"> </w:t>
      </w:r>
      <w:r w:rsidR="00BE1768" w:rsidRPr="00742A04">
        <w:t>se establ</w:t>
      </w:r>
      <w:r w:rsidR="00BE1768" w:rsidRPr="00742A04">
        <w:t>e</w:t>
      </w:r>
      <w:r w:rsidR="00BE1768" w:rsidRPr="00742A04">
        <w:t>ció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1996. </w:t>
      </w:r>
      <w:r w:rsidR="00232FAC" w:rsidRPr="00742A04">
        <w:t>Las oficinas</w:t>
      </w:r>
      <w:r w:rsidR="00545D1B" w:rsidRPr="00742A04">
        <w:t xml:space="preserve"> </w:t>
      </w:r>
      <w:r w:rsidR="001C54BB" w:rsidRPr="00742A04">
        <w:t>brindan</w:t>
      </w:r>
      <w:r w:rsidR="00545D1B" w:rsidRPr="00742A04">
        <w:t xml:space="preserve"> </w:t>
      </w:r>
      <w:r w:rsidR="00502E16" w:rsidRPr="00742A04">
        <w:t>asesoramiento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C54BB" w:rsidRPr="00742A04">
        <w:t>consejo 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C54BB" w:rsidRPr="00742A04">
        <w:t>actos delictivos</w:t>
      </w:r>
      <w:r w:rsidR="00545D1B" w:rsidRPr="00742A04">
        <w:t>.</w:t>
      </w:r>
      <w:r w:rsidR="003E5775" w:rsidRPr="00742A04">
        <w:t xml:space="preserve"> </w:t>
      </w:r>
      <w:r w:rsidR="001C54BB" w:rsidRPr="00742A04">
        <w:t>Hasta</w:t>
      </w:r>
      <w:r w:rsidR="00CD2FF0" w:rsidRPr="00742A04">
        <w:t xml:space="preserve"> mayo de</w:t>
      </w:r>
      <w:r w:rsidR="00545D1B" w:rsidRPr="00742A04">
        <w:t xml:space="preserve"> 2005 </w:t>
      </w:r>
      <w:r w:rsidR="001C54BB" w:rsidRPr="00742A04">
        <w:t xml:space="preserve">se </w:t>
      </w:r>
      <w:r w:rsidR="00EF5B12" w:rsidRPr="00742A04">
        <w:t>habían</w:t>
      </w:r>
      <w:r w:rsidR="001C54BB" w:rsidRPr="00742A04">
        <w:t xml:space="preserve"> abierto en</w:t>
      </w:r>
      <w:r w:rsidR="00545D1B" w:rsidRPr="00742A04">
        <w:t xml:space="preserve"> total </w:t>
      </w:r>
      <w:r w:rsidR="001C54BB" w:rsidRPr="00742A04">
        <w:t>diez</w:t>
      </w:r>
      <w:r w:rsidR="00545D1B" w:rsidRPr="00742A04">
        <w:t xml:space="preserve"> </w:t>
      </w:r>
      <w:r w:rsidR="00232FAC" w:rsidRPr="00742A04">
        <w:t>oficinas de asesor</w:t>
      </w:r>
      <w:r w:rsidR="00232FAC" w:rsidRPr="00742A04">
        <w:t>a</w:t>
      </w:r>
      <w:r w:rsidR="00232FAC" w:rsidRPr="00742A04">
        <w:t>miento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="0030626A" w:rsidRPr="00742A04">
        <w:t>Además de</w:t>
      </w:r>
      <w:r w:rsidR="00545D1B" w:rsidRPr="00742A04">
        <w:t xml:space="preserve"> </w:t>
      </w:r>
      <w:r w:rsidR="00EF5B12">
        <w:t>esas</w:t>
      </w:r>
      <w:r w:rsidR="00545D1B" w:rsidRPr="00742A04">
        <w:t xml:space="preserve"> </w:t>
      </w:r>
      <w:r w:rsidR="001B4F21" w:rsidRPr="00742A04">
        <w:t>oficinas</w:t>
      </w:r>
      <w:r w:rsidR="00545D1B" w:rsidRPr="00742A04">
        <w:t xml:space="preserve">, </w:t>
      </w:r>
      <w:r w:rsidR="001C54BB" w:rsidRPr="00742A04">
        <w:t>se inició en Trondheim un</w:t>
      </w:r>
      <w:r w:rsidR="00545D1B" w:rsidRPr="00742A04">
        <w:t xml:space="preserve"> </w:t>
      </w:r>
      <w:r w:rsidR="009B122F" w:rsidRPr="00742A04">
        <w:t>proyecto piloto</w:t>
      </w:r>
      <w:r w:rsidR="00545D1B" w:rsidRPr="00742A04">
        <w:t xml:space="preserve"> </w:t>
      </w:r>
      <w:r w:rsidR="001C54BB" w:rsidRPr="00742A04">
        <w:t xml:space="preserve">trienal </w:t>
      </w:r>
      <w:r w:rsidR="000F5C41" w:rsidRPr="00742A04">
        <w:t>(2004-2006)</w:t>
      </w:r>
      <w:r w:rsidR="000F5C41">
        <w:t xml:space="preserve"> </w:t>
      </w:r>
      <w:r w:rsidR="001C54BB" w:rsidRPr="00742A04">
        <w:t>de</w:t>
      </w:r>
      <w:r w:rsidR="00545D1B" w:rsidRPr="00742A04">
        <w:t xml:space="preserve"> </w:t>
      </w:r>
      <w:r w:rsidR="001C54BB" w:rsidRPr="00742A04">
        <w:t>centro de apoyo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C54BB" w:rsidRPr="00742A04">
        <w:t xml:space="preserve">las personas </w:t>
      </w:r>
      <w:r w:rsidR="00C451B6" w:rsidRPr="00742A04">
        <w:t>agravi</w:t>
      </w:r>
      <w:r w:rsidR="001C54BB" w:rsidRPr="00742A04">
        <w:t>adas</w:t>
      </w:r>
      <w:r w:rsidR="00545D1B" w:rsidRPr="00742A04">
        <w:t xml:space="preserve">. </w:t>
      </w:r>
      <w:r w:rsidR="002213CF" w:rsidRPr="00742A04">
        <w:t xml:space="preserve">El </w:t>
      </w:r>
      <w:r w:rsidR="001C54BB" w:rsidRPr="00742A04">
        <w:t>pe</w:t>
      </w:r>
      <w:r w:rsidR="001C54BB" w:rsidRPr="00742A04">
        <w:t>r</w:t>
      </w:r>
      <w:r w:rsidR="001C54BB" w:rsidRPr="00742A04">
        <w:t>sonal del proyecto</w:t>
      </w:r>
      <w:r w:rsidR="00545D1B" w:rsidRPr="00742A04">
        <w:t xml:space="preserve">, </w:t>
      </w:r>
      <w:r w:rsidR="003E5775" w:rsidRPr="00742A04">
        <w:t>que</w:t>
      </w:r>
      <w:r w:rsidR="00545D1B" w:rsidRPr="00742A04">
        <w:t xml:space="preserve"> </w:t>
      </w:r>
      <w:r w:rsidR="001C54BB" w:rsidRPr="00742A04">
        <w:t>está ubicado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C54BB" w:rsidRPr="00742A04">
        <w:t>la jefatura de policía de Trondheim</w:t>
      </w:r>
      <w:r w:rsidR="00545D1B" w:rsidRPr="00742A04">
        <w:t xml:space="preserve">, </w:t>
      </w:r>
      <w:r w:rsidR="000A5430" w:rsidRPr="00742A04">
        <w:t>brinda apoyo</w:t>
      </w:r>
      <w:r w:rsidR="00545D1B" w:rsidRPr="00742A04">
        <w:t xml:space="preserve"> </w:t>
      </w:r>
      <w:r w:rsidR="001C54BB" w:rsidRPr="00742A04">
        <w:t>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C54BB" w:rsidRPr="00742A04">
        <w:t xml:space="preserve">a </w:t>
      </w:r>
      <w:r w:rsidR="00B86412" w:rsidRPr="00742A04">
        <w:t xml:space="preserve">sus </w:t>
      </w:r>
      <w:r w:rsidR="002A458D" w:rsidRPr="00742A04">
        <w:t>familiares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1C54BB" w:rsidRPr="00742A04">
        <w:t>este proyecto</w:t>
      </w:r>
      <w:r w:rsidR="00545D1B" w:rsidRPr="00742A04">
        <w:t xml:space="preserve"> </w:t>
      </w:r>
      <w:r w:rsidR="001C54BB" w:rsidRPr="00742A04">
        <w:t xml:space="preserve">se asigna una </w:t>
      </w:r>
      <w:r w:rsidR="00BB1CDE" w:rsidRPr="00742A04">
        <w:t>importancia</w:t>
      </w:r>
      <w:r w:rsidR="00545D1B" w:rsidRPr="00742A04">
        <w:t xml:space="preserve"> </w:t>
      </w:r>
      <w:r w:rsidR="001C54BB" w:rsidRPr="00742A04">
        <w:t>decisiva</w:t>
      </w:r>
      <w:r w:rsidR="00545D1B" w:rsidRPr="00742A04">
        <w:t xml:space="preserve"> </w:t>
      </w:r>
      <w:r w:rsidR="0030626A" w:rsidRPr="00742A04">
        <w:t>a</w:t>
      </w:r>
      <w:r w:rsidR="001C54BB" w:rsidRPr="00742A04">
        <w:t>l logro de una estrecha</w:t>
      </w:r>
      <w:r w:rsidR="00545D1B" w:rsidRPr="00742A04">
        <w:t xml:space="preserve">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="004A0730" w:rsidRPr="00742A04">
        <w:t>con</w:t>
      </w:r>
      <w:r w:rsidR="001C54BB" w:rsidRPr="00742A04">
        <w:t xml:space="preserve"> los </w:t>
      </w:r>
      <w:r w:rsidR="00507A11" w:rsidRPr="00742A04">
        <w:t>servicios municipales</w:t>
      </w:r>
      <w:r w:rsidR="00311327" w:rsidRPr="00742A04">
        <w:t xml:space="preserve"> de ap</w:t>
      </w:r>
      <w:r w:rsidR="00311327" w:rsidRPr="00742A04">
        <w:t>o</w:t>
      </w:r>
      <w:r w:rsidR="00311327" w:rsidRPr="00742A04">
        <w:t>yo</w:t>
      </w:r>
      <w:r w:rsidR="00545D1B" w:rsidRPr="00742A04">
        <w:t>.</w:t>
      </w:r>
    </w:p>
    <w:p w:rsidR="00545D1B" w:rsidRPr="00742A04" w:rsidRDefault="001C54BB" w:rsidP="00021DB5">
      <w:pPr>
        <w:pStyle w:val="SingleTxt"/>
        <w:ind w:firstLine="475"/>
      </w:pPr>
      <w:r w:rsidRPr="00742A04">
        <w:t xml:space="preserve">La </w:t>
      </w:r>
      <w:r w:rsidR="007D406D" w:rsidRPr="00742A04">
        <w:t xml:space="preserve">prestación </w:t>
      </w:r>
      <w:r w:rsidR="000F5C41">
        <w:t>de</w:t>
      </w:r>
      <w:r w:rsidRPr="00742A04">
        <w:t xml:space="preserve"> testimonio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un proceso penal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frecuentemente un</w:t>
      </w:r>
      <w:r w:rsidR="00545D1B" w:rsidRPr="00742A04">
        <w:t xml:space="preserve">a </w:t>
      </w:r>
      <w:r w:rsidR="008F0C8E" w:rsidRPr="00742A04">
        <w:t>exp</w:t>
      </w:r>
      <w:r w:rsidR="008F0C8E" w:rsidRPr="00742A04">
        <w:t>e</w:t>
      </w:r>
      <w:r w:rsidR="008F0C8E" w:rsidRPr="00742A04">
        <w:t>riencia</w:t>
      </w:r>
      <w:r w:rsidR="00545D1B" w:rsidRPr="00742A04">
        <w:t xml:space="preserve"> </w:t>
      </w:r>
      <w:r w:rsidRPr="00742A04">
        <w:t xml:space="preserve">muy traumática </w:t>
      </w:r>
      <w:r w:rsidR="00F43124" w:rsidRPr="00742A04">
        <w:t>para</w:t>
      </w:r>
      <w:r w:rsidR="00545D1B" w:rsidRPr="00742A04">
        <w:t xml:space="preserve"> </w:t>
      </w:r>
      <w:r w:rsidR="00232FAC" w:rsidRPr="00742A04">
        <w:t>las víctimas de delitos</w:t>
      </w:r>
      <w:r w:rsidR="00545D1B" w:rsidRPr="00742A04">
        <w:t xml:space="preserve">, </w:t>
      </w:r>
      <w:r w:rsidR="00230F13" w:rsidRPr="00742A04">
        <w:t>en particular</w:t>
      </w:r>
      <w:r w:rsidR="00545D1B" w:rsidRPr="00742A04">
        <w:t xml:space="preserve"> </w:t>
      </w:r>
      <w:r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d</w:t>
      </w:r>
      <w:r w:rsidRPr="00742A04">
        <w:t>e</w:t>
      </w:r>
      <w:r w:rsidRPr="00742A04">
        <w:t xml:space="preserve">litos </w:t>
      </w:r>
      <w:r w:rsidR="00545D1B" w:rsidRPr="00742A04">
        <w:t xml:space="preserve">sexuales. </w:t>
      </w:r>
      <w:r w:rsidR="00B31D97" w:rsidRPr="00742A04">
        <w:t>Para mejorar</w:t>
      </w:r>
      <w:r w:rsidR="00545D1B" w:rsidRPr="00742A04">
        <w:t xml:space="preserve"> </w:t>
      </w:r>
      <w:r w:rsidR="000472FC" w:rsidRPr="00742A04">
        <w:t>la situación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32FAC" w:rsidRPr="00742A04">
        <w:t>las víctimas de delitos</w:t>
      </w:r>
      <w:r w:rsidR="00545D1B" w:rsidRPr="00742A04">
        <w:t xml:space="preserve">,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Pr="00742A04">
        <w:t>encargó</w:t>
      </w:r>
      <w:r w:rsidR="00545D1B" w:rsidRPr="00742A04">
        <w:t xml:space="preserve"> </w:t>
      </w:r>
      <w:r w:rsidR="00FC59C5" w:rsidRPr="00742A04">
        <w:t>un informe</w:t>
      </w:r>
      <w:r w:rsidR="00545D1B" w:rsidRPr="00742A04">
        <w:t xml:space="preserve"> </w:t>
      </w:r>
      <w:r w:rsidR="00C451B6" w:rsidRPr="00742A04">
        <w:t>sobre</w:t>
      </w:r>
      <w:r w:rsidR="00545D1B" w:rsidRPr="00742A04">
        <w:t xml:space="preserve"> </w:t>
      </w:r>
      <w:r w:rsidR="000472FC" w:rsidRPr="00742A04">
        <w:t>la situación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451B6" w:rsidRPr="00742A04">
        <w:t>la persona agraviada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un proceso penal</w:t>
      </w:r>
      <w:r w:rsidR="00545D1B" w:rsidRPr="00742A04">
        <w:t xml:space="preserve"> (Anne Robberstad, </w:t>
      </w:r>
      <w:r w:rsidR="00545D1B" w:rsidRPr="00742A04">
        <w:rPr>
          <w:i/>
        </w:rPr>
        <w:t>Kontradiksjon og verdighet 2002</w:t>
      </w:r>
      <w:r w:rsidR="00545D1B" w:rsidRPr="00742A04">
        <w:t xml:space="preserve"> (</w:t>
      </w:r>
      <w:r w:rsidR="00C451B6" w:rsidRPr="00742A04">
        <w:t>“El derecho</w:t>
      </w:r>
      <w:r w:rsidR="00545D1B" w:rsidRPr="00742A04">
        <w:t xml:space="preserve"> </w:t>
      </w:r>
      <w:r w:rsidR="002F3238" w:rsidRPr="00742A04">
        <w:t xml:space="preserve">a ser </w:t>
      </w:r>
      <w:r w:rsidR="00C451B6" w:rsidRPr="00742A04">
        <w:t>oí</w:t>
      </w:r>
      <w:r w:rsidR="002F3238" w:rsidRPr="00742A04">
        <w:t>do</w:t>
      </w:r>
      <w:r w:rsidR="00545D1B" w:rsidRPr="00742A04">
        <w:t xml:space="preserve"> </w:t>
      </w:r>
      <w:r w:rsidR="00877AA0" w:rsidRPr="00742A04">
        <w:t>y</w:t>
      </w:r>
      <w:r w:rsidR="00C451B6" w:rsidRPr="00742A04">
        <w:t xml:space="preserve"> la d</w:t>
      </w:r>
      <w:r w:rsidR="00545D1B" w:rsidRPr="00742A04">
        <w:t>ign</w:t>
      </w:r>
      <w:r w:rsidR="00502E16" w:rsidRPr="00742A04">
        <w:t>idad</w:t>
      </w:r>
      <w:r w:rsidR="00C451B6" w:rsidRPr="00742A04">
        <w:t>”</w:t>
      </w:r>
      <w:r w:rsidR="00545D1B" w:rsidRPr="00742A04">
        <w:t xml:space="preserve">, 2002)). </w:t>
      </w:r>
      <w:r w:rsidR="00834309" w:rsidRPr="00742A04">
        <w:t>Las propuestas</w:t>
      </w:r>
      <w:r w:rsidR="00545D1B" w:rsidRPr="00742A04">
        <w:t xml:space="preserve"> </w:t>
      </w:r>
      <w:r w:rsidR="00C451B6" w:rsidRPr="00742A04">
        <w:t>formuladas en dicho</w:t>
      </w:r>
      <w:r w:rsidR="00545D1B" w:rsidRPr="00742A04">
        <w:t xml:space="preserve"> </w:t>
      </w:r>
      <w:r w:rsidR="00B31D97" w:rsidRPr="00742A04">
        <w:t>informe</w:t>
      </w:r>
      <w:r w:rsidR="00545D1B" w:rsidRPr="00742A04">
        <w:t xml:space="preserve"> </w:t>
      </w:r>
      <w:r w:rsidR="00C451B6" w:rsidRPr="00742A04">
        <w:t>fueron objeto de seguimiento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9B122F" w:rsidRPr="00742A04">
        <w:t>un grupo</w:t>
      </w:r>
      <w:r w:rsidR="005E2D7A" w:rsidRPr="00742A04">
        <w:t xml:space="preserve"> de trabajo</w:t>
      </w:r>
      <w:r w:rsidR="00545D1B" w:rsidRPr="00742A04">
        <w:t xml:space="preserve"> </w:t>
      </w:r>
      <w:r w:rsidR="00C451B6" w:rsidRPr="00742A04">
        <w:t>establecido</w:t>
      </w:r>
      <w:r w:rsidR="00545D1B" w:rsidRPr="00742A04">
        <w:t xml:space="preserve"> </w:t>
      </w:r>
      <w:r w:rsidR="00C451B6" w:rsidRPr="00742A04">
        <w:t>par</w:t>
      </w:r>
      <w:r w:rsidR="0030626A" w:rsidRPr="00742A04">
        <w:t>a</w:t>
      </w:r>
      <w:r w:rsidR="00545D1B" w:rsidRPr="00742A04">
        <w:t xml:space="preserve"> consider</w:t>
      </w:r>
      <w:r w:rsidR="006534CA" w:rsidRPr="00742A04">
        <w:t>ar</w:t>
      </w:r>
      <w:r w:rsidR="00545D1B" w:rsidRPr="00742A04">
        <w:t xml:space="preserve"> </w:t>
      </w:r>
      <w:r w:rsidR="00550986" w:rsidRPr="00742A04">
        <w:t>varios</w:t>
      </w:r>
      <w:r w:rsidR="00545D1B" w:rsidRPr="00742A04">
        <w:t xml:space="preserve"> </w:t>
      </w:r>
      <w:r w:rsidR="006534CA" w:rsidRPr="00742A04">
        <w:t>aspectos prácticos</w:t>
      </w:r>
      <w:r w:rsidR="00545D1B" w:rsidRPr="00742A04">
        <w:t xml:space="preserve"> </w:t>
      </w:r>
      <w:r w:rsidR="00154FBB" w:rsidRPr="00742A04">
        <w:t>relacio</w:t>
      </w:r>
      <w:r w:rsidR="005C39D4" w:rsidRPr="00742A04">
        <w:t>nados</w:t>
      </w:r>
      <w:r w:rsidR="00154FBB" w:rsidRPr="00742A04">
        <w:t xml:space="preserve"> con</w:t>
      </w:r>
      <w:r w:rsidR="00545D1B" w:rsidRPr="00742A04">
        <w:t xml:space="preserve"> </w:t>
      </w:r>
      <w:r w:rsidR="005C39D4" w:rsidRPr="00742A04">
        <w:t>el</w:t>
      </w:r>
      <w:r w:rsidRPr="00742A04">
        <w:t xml:space="preserve"> proceso penal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5C39D4" w:rsidRPr="00742A04">
        <w:t>podrían reducir</w:t>
      </w:r>
      <w:r w:rsidR="00545D1B" w:rsidRPr="00742A04">
        <w:t xml:space="preserve"> </w:t>
      </w:r>
      <w:r w:rsidR="005C39D4" w:rsidRPr="00742A04">
        <w:t>la incidencia neg</w:t>
      </w:r>
      <w:r w:rsidR="005C39D4" w:rsidRPr="00742A04">
        <w:t>a</w:t>
      </w:r>
      <w:r w:rsidR="005C39D4" w:rsidRPr="00742A04">
        <w:t>tiva e</w:t>
      </w:r>
      <w:r w:rsidR="00545D1B" w:rsidRPr="00742A04">
        <w:t xml:space="preserve">n </w:t>
      </w:r>
      <w:r w:rsidRPr="00742A04">
        <w:t xml:space="preserve">las personas </w:t>
      </w:r>
      <w:r w:rsidR="00C451B6" w:rsidRPr="00742A04">
        <w:t>agravi</w:t>
      </w:r>
      <w:r w:rsidRPr="00742A04">
        <w:t>adas</w:t>
      </w:r>
      <w:r w:rsidR="00545D1B" w:rsidRPr="00742A04">
        <w:t xml:space="preserve">. </w:t>
      </w:r>
      <w:r w:rsidR="005C39D4" w:rsidRPr="00742A04">
        <w:t>En septiembre de 2005, e</w:t>
      </w:r>
      <w:r w:rsidR="00DD5E1A" w:rsidRPr="00742A04">
        <w:t>l grupo</w:t>
      </w:r>
      <w:r w:rsidR="005E2D7A" w:rsidRPr="00742A04">
        <w:t xml:space="preserve"> de trabajo</w:t>
      </w:r>
      <w:r w:rsidR="00545D1B" w:rsidRPr="00742A04">
        <w:t xml:space="preserve"> </w:t>
      </w:r>
      <w:r w:rsidR="006534CA" w:rsidRPr="00742A04">
        <w:t>presentó</w:t>
      </w:r>
      <w:r w:rsidR="00545D1B" w:rsidRPr="00742A04">
        <w:t xml:space="preserve"> </w:t>
      </w:r>
      <w:r w:rsidR="005C39D4" w:rsidRPr="00742A04">
        <w:t>su informe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5C39D4" w:rsidRPr="00742A04">
        <w:t>el cual</w:t>
      </w:r>
      <w:r w:rsidR="00545D1B" w:rsidRPr="00742A04">
        <w:t xml:space="preserve"> pro</w:t>
      </w:r>
      <w:r w:rsidR="006A6B9F">
        <w:t>puso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F5B12" w:rsidRPr="00742A04">
        <w:t>la capacitación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C39D4" w:rsidRPr="00742A04">
        <w:t>los participantes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C39D4" w:rsidRPr="00742A04">
        <w:t>el enjuiciamiento penal</w:t>
      </w:r>
      <w:r w:rsidR="00C14BFF" w:rsidRPr="00742A04">
        <w:t xml:space="preserve"> </w:t>
      </w:r>
      <w:r w:rsidR="005C39D4" w:rsidRPr="00742A04">
        <w:t>respecto de las</w:t>
      </w:r>
      <w:r w:rsidR="00545D1B" w:rsidRPr="00742A04">
        <w:t xml:space="preserve"> </w:t>
      </w:r>
      <w:r w:rsidR="005C39D4" w:rsidRPr="00742A04">
        <w:t xml:space="preserve">reacciones </w:t>
      </w:r>
      <w:r w:rsidR="00545D1B" w:rsidRPr="00742A04">
        <w:t>general</w:t>
      </w:r>
      <w:r w:rsidR="005C39D4" w:rsidRPr="00742A04">
        <w:t>es de las</w:t>
      </w:r>
      <w:r w:rsidR="00545D1B" w:rsidRPr="00742A04">
        <w:t xml:space="preserve"> </w:t>
      </w:r>
      <w:r w:rsidR="00502E16" w:rsidRPr="00742A04">
        <w:t>víctima</w:t>
      </w:r>
      <w:r w:rsidR="005C39D4" w:rsidRPr="00742A04">
        <w:t>s</w:t>
      </w:r>
      <w:r w:rsidR="00545D1B" w:rsidRPr="00742A04">
        <w:t xml:space="preserve">, </w:t>
      </w:r>
      <w:r w:rsidR="005C39D4" w:rsidRPr="00742A04">
        <w:t>elaborar un</w:t>
      </w:r>
      <w:r w:rsidR="00545D1B" w:rsidRPr="00742A04">
        <w:t xml:space="preserve"> </w:t>
      </w:r>
      <w:r w:rsidR="001167D2" w:rsidRPr="00742A04">
        <w:t>sistema</w:t>
      </w:r>
      <w:r w:rsidR="00545D1B" w:rsidRPr="00742A04">
        <w:t xml:space="preserve"> </w:t>
      </w:r>
      <w:r w:rsidR="005C39D4" w:rsidRPr="00742A04">
        <w:t>par</w:t>
      </w:r>
      <w:r w:rsidR="0030626A" w:rsidRPr="00742A04">
        <w:t>a</w:t>
      </w:r>
      <w:r w:rsidR="00545D1B" w:rsidRPr="00742A04">
        <w:t xml:space="preserve"> </w:t>
      </w:r>
      <w:r w:rsidR="000A5430" w:rsidRPr="00742A04">
        <w:t>brindar apoyo</w:t>
      </w:r>
      <w:r w:rsidR="00545D1B" w:rsidRPr="00742A04">
        <w:t xml:space="preserve"> </w:t>
      </w:r>
      <w:r w:rsidR="00F43124" w:rsidRPr="00742A04">
        <w:t>a</w:t>
      </w:r>
      <w:r w:rsidR="00545D1B" w:rsidRPr="00742A04">
        <w:t xml:space="preserve"> </w:t>
      </w:r>
      <w:r w:rsidR="00963214" w:rsidRPr="00742A04">
        <w:t>los testigos</w:t>
      </w:r>
      <w:r w:rsidR="007C65B3" w:rsidRPr="00742A04">
        <w:t xml:space="preserve"> y mejorar</w:t>
      </w:r>
      <w:r w:rsidR="00545D1B" w:rsidRPr="00742A04">
        <w:t xml:space="preserve"> </w:t>
      </w:r>
      <w:r w:rsidR="005C39D4" w:rsidRPr="00742A04">
        <w:t>la protección de los testigos</w:t>
      </w:r>
      <w:r w:rsidR="00C27C42" w:rsidRPr="00742A04">
        <w:t>.</w:t>
      </w:r>
      <w:r w:rsidR="00545D1B" w:rsidRPr="00742A04">
        <w:t xml:space="preserve"> </w:t>
      </w:r>
      <w:r w:rsidR="005C39D4" w:rsidRPr="00742A04">
        <w:t>Actualmente el Ministerio de Justicia está implementando las medidas propue</w:t>
      </w:r>
      <w:r w:rsidR="005C39D4" w:rsidRPr="00742A04">
        <w:t>s</w:t>
      </w:r>
      <w:r w:rsidR="005C39D4" w:rsidRPr="00742A04">
        <w:t>tas</w:t>
      </w:r>
      <w:r w:rsidR="00545D1B" w:rsidRPr="00742A04">
        <w:t>.</w:t>
      </w:r>
    </w:p>
    <w:p w:rsidR="00545D1B" w:rsidRPr="00742A04" w:rsidRDefault="00EF5B12" w:rsidP="00021DB5">
      <w:pPr>
        <w:pStyle w:val="SingleTxt"/>
        <w:ind w:firstLine="475"/>
      </w:pPr>
      <w:r w:rsidRPr="00742A04">
        <w:t xml:space="preserve">Con miras a seguir mejorando la situación de las personas agraviadas y </w:t>
      </w:r>
      <w:r w:rsidR="006A6B9F">
        <w:t xml:space="preserve">los </w:t>
      </w:r>
      <w:r w:rsidRPr="00742A04">
        <w:t>f</w:t>
      </w:r>
      <w:r w:rsidRPr="00742A04">
        <w:t>a</w:t>
      </w:r>
      <w:r w:rsidRPr="00742A04">
        <w:t>miliares supérstites, un comité de</w:t>
      </w:r>
      <w:r>
        <w:t xml:space="preserve"> designación</w:t>
      </w:r>
      <w:r w:rsidRPr="00742A04">
        <w:t xml:space="preserve"> pública presentó en mayo de 2006 un informe en que se proponían medidas para mejorar</w:t>
      </w:r>
      <w:r>
        <w:t xml:space="preserve"> la</w:t>
      </w:r>
      <w:r w:rsidRPr="00742A04">
        <w:t xml:space="preserve"> posición de esas personas en el proceso penal (NOU 2006: </w:t>
      </w:r>
      <w:r w:rsidRPr="00742A04">
        <w:rPr>
          <w:i/>
        </w:rPr>
        <w:t xml:space="preserve">Fornærmede i straffeprosessen – ny perspektiv, nye rettigheter </w:t>
      </w:r>
      <w:r w:rsidRPr="00742A04">
        <w:t>(Informe Oficial de Noruega 2006: “Las personas agraviadas en el proc</w:t>
      </w:r>
      <w:r w:rsidRPr="00742A04">
        <w:t>e</w:t>
      </w:r>
      <w:r w:rsidRPr="00742A04">
        <w:t xml:space="preserve">so penal – nueva perspectiva, nuevos derechos”). </w:t>
      </w:r>
      <w:r w:rsidR="001A1CB5" w:rsidRPr="00742A04">
        <w:t>E</w:t>
      </w:r>
      <w:r w:rsidR="00CE1CFC" w:rsidRPr="00742A04">
        <w:t>l</w:t>
      </w:r>
      <w:r w:rsidR="001A1CB5" w:rsidRPr="00742A04">
        <w:t xml:space="preserve"> </w:t>
      </w:r>
      <w:r w:rsidR="00CE1CFC" w:rsidRPr="00742A04">
        <w:t>comité</w:t>
      </w:r>
      <w:r w:rsidR="00545D1B" w:rsidRPr="00742A04">
        <w:t xml:space="preserve"> </w:t>
      </w:r>
      <w:r w:rsidR="001A1CB5" w:rsidRPr="00742A04">
        <w:t>propone que</w:t>
      </w:r>
      <w:r w:rsidR="00545D1B" w:rsidRPr="00742A04">
        <w:t>:</w:t>
      </w:r>
    </w:p>
    <w:p w:rsidR="00545D1B" w:rsidRPr="00742A04" w:rsidRDefault="00C14BFF" w:rsidP="00021DB5">
      <w:pPr>
        <w:pStyle w:val="SingleTxt"/>
        <w:numPr>
          <w:ilvl w:val="0"/>
          <w:numId w:val="39"/>
        </w:numPr>
        <w:tabs>
          <w:tab w:val="clear" w:pos="1742"/>
          <w:tab w:val="left" w:pos="900"/>
        </w:tabs>
      </w:pPr>
      <w:r w:rsidRPr="00742A04">
        <w:t>en</w:t>
      </w:r>
      <w:r w:rsidR="00545D1B" w:rsidRPr="00742A04">
        <w:t xml:space="preserve"> </w:t>
      </w:r>
      <w:r w:rsidR="001A1CB5" w:rsidRPr="00742A04">
        <w:t>los casos penales graves</w:t>
      </w:r>
      <w:r w:rsidR="00545D1B" w:rsidRPr="00742A04">
        <w:t xml:space="preserve"> </w:t>
      </w:r>
      <w:r w:rsidR="001A1CB5" w:rsidRPr="00742A04">
        <w:t xml:space="preserve">se dé a las personas agraviadas y a </w:t>
      </w:r>
      <w:r w:rsidR="006A6B9F">
        <w:t>lo</w:t>
      </w:r>
      <w:r w:rsidR="001A1CB5" w:rsidRPr="00742A04">
        <w:t>s famili</w:t>
      </w:r>
      <w:r w:rsidR="001A1CB5" w:rsidRPr="00742A04">
        <w:t>a</w:t>
      </w:r>
      <w:r w:rsidR="001A1CB5" w:rsidRPr="00742A04">
        <w:t>res supérstites información sustanci</w:t>
      </w:r>
      <w:r w:rsidR="00545D1B" w:rsidRPr="00742A04">
        <w:t>a</w:t>
      </w:r>
      <w:r w:rsidR="005F7B32" w:rsidRPr="00742A04">
        <w:t xml:space="preserve">lmente </w:t>
      </w:r>
      <w:r w:rsidR="001A1CB5" w:rsidRPr="00742A04">
        <w:t>mejor en calidad y cantidad</w:t>
      </w:r>
      <w:r w:rsidR="00545D1B" w:rsidRPr="00742A04">
        <w:t xml:space="preserve"> </w:t>
      </w:r>
      <w:r w:rsidR="001A1CB5" w:rsidRPr="00742A04">
        <w:t>a lo largo de todo e</w:t>
      </w:r>
      <w:r w:rsidR="00581775" w:rsidRPr="00742A04">
        <w:t>l caso</w:t>
      </w:r>
      <w:r w:rsidR="00545D1B" w:rsidRPr="00742A04">
        <w:t xml:space="preserve">. </w:t>
      </w:r>
      <w:r w:rsidR="001A1CB5" w:rsidRPr="00742A04">
        <w:t>E</w:t>
      </w:r>
      <w:r w:rsidR="00CE1CFC" w:rsidRPr="00742A04">
        <w:t>l</w:t>
      </w:r>
      <w:r w:rsidR="001A1CB5" w:rsidRPr="00742A04">
        <w:t xml:space="preserve"> </w:t>
      </w:r>
      <w:r w:rsidR="00CE1CFC" w:rsidRPr="00742A04">
        <w:t>comité</w:t>
      </w:r>
      <w:r w:rsidR="00545D1B" w:rsidRPr="00742A04">
        <w:t xml:space="preserve"> </w:t>
      </w:r>
      <w:r w:rsidR="001A1CB5" w:rsidRPr="00742A04">
        <w:t>propone</w:t>
      </w:r>
      <w:r w:rsidR="00545D1B" w:rsidRPr="00742A04">
        <w:t xml:space="preserve"> </w:t>
      </w:r>
      <w:r w:rsidR="000C68A8" w:rsidRPr="00742A04">
        <w:t xml:space="preserve">que la </w:t>
      </w:r>
      <w:r w:rsidR="00FC59C5" w:rsidRPr="00742A04">
        <w:t>policía</w:t>
      </w:r>
      <w:r w:rsidR="00545D1B" w:rsidRPr="00742A04">
        <w:t xml:space="preserve"> </w:t>
      </w:r>
      <w:r w:rsidR="001A1CB5" w:rsidRPr="00742A04">
        <w:t>suministre</w:t>
      </w:r>
      <w:r w:rsidR="00545D1B" w:rsidRPr="00742A04">
        <w:t xml:space="preserve"> inform</w:t>
      </w:r>
      <w:r w:rsidR="00545D1B" w:rsidRPr="00742A04">
        <w:t>a</w:t>
      </w:r>
      <w:r w:rsidRPr="00742A04">
        <w:t xml:space="preserve">ción </w:t>
      </w:r>
      <w:r w:rsidR="001A1CB5" w:rsidRPr="00742A04">
        <w:t>sobre 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A1CB5" w:rsidRPr="00742A04">
        <w:t>la marcha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A1CB5" w:rsidRPr="00742A04">
        <w:t>la investigación</w:t>
      </w:r>
      <w:r w:rsidR="00C27C42" w:rsidRPr="00742A04">
        <w:t>.</w:t>
      </w:r>
      <w:r w:rsidR="00545D1B" w:rsidRPr="00742A04">
        <w:t xml:space="preserve"> </w:t>
      </w:r>
      <w:r w:rsidR="001A1CB5" w:rsidRPr="00742A04">
        <w:t>También se debe informar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451B6" w:rsidRPr="00742A04">
        <w:t>persona agraviada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A1CB5" w:rsidRPr="00742A04">
        <w:t xml:space="preserve">a sus </w:t>
      </w:r>
      <w:r w:rsidR="002A458D" w:rsidRPr="00742A04">
        <w:t>familiares supérstites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9082E" w:rsidRPr="00742A04">
        <w:t>todas las decisiones</w:t>
      </w:r>
      <w:r w:rsidR="00545D1B" w:rsidRPr="00742A04">
        <w:t xml:space="preserve"> </w:t>
      </w:r>
      <w:r w:rsidR="00D9082E" w:rsidRPr="00742A04">
        <w:t>adoptadas</w:t>
      </w:r>
      <w:r w:rsidR="00545D1B" w:rsidRPr="00742A04">
        <w:t xml:space="preserve"> </w:t>
      </w:r>
      <w:r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9082E" w:rsidRPr="00742A04">
        <w:t>el enjuiciamiento</w:t>
      </w:r>
      <w:r w:rsidR="00935A90" w:rsidRPr="00742A04">
        <w:t>,</w:t>
      </w:r>
      <w:r w:rsidR="00545D1B" w:rsidRPr="00742A04">
        <w:t xml:space="preserve"> </w:t>
      </w:r>
      <w:r w:rsidR="00D9082E" w:rsidRPr="00742A04">
        <w:t>de todas las audie</w:t>
      </w:r>
      <w:r w:rsidR="00D9082E" w:rsidRPr="00742A04">
        <w:t>n</w:t>
      </w:r>
      <w:r w:rsidR="00D9082E" w:rsidRPr="00742A04">
        <w:t>cias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9082E" w:rsidRPr="00742A04">
        <w:t>de todas las apelaciones que se presenten</w:t>
      </w:r>
      <w:r w:rsidR="00545D1B" w:rsidRPr="00742A04">
        <w:t>.</w:t>
      </w:r>
    </w:p>
    <w:p w:rsidR="00545D1B" w:rsidRPr="00742A04" w:rsidRDefault="001A1CB5" w:rsidP="00021DB5">
      <w:pPr>
        <w:pStyle w:val="SingleTxt"/>
        <w:numPr>
          <w:ilvl w:val="0"/>
          <w:numId w:val="39"/>
        </w:numPr>
        <w:tabs>
          <w:tab w:val="clear" w:pos="1742"/>
          <w:tab w:val="left" w:pos="900"/>
        </w:tabs>
      </w:pPr>
      <w:r w:rsidRPr="00742A04">
        <w:t xml:space="preserve">se amplíe </w:t>
      </w:r>
      <w:r w:rsidR="001C6742" w:rsidRPr="00742A04">
        <w:t xml:space="preserve">el derecho </w:t>
      </w:r>
      <w:r w:rsidR="0030626A" w:rsidRPr="00742A04">
        <w:t>a</w:t>
      </w:r>
      <w:r w:rsidR="00545D1B" w:rsidRPr="00742A04">
        <w:t xml:space="preserve"> </w:t>
      </w:r>
      <w:r w:rsidR="00121DBC" w:rsidRPr="00742A04">
        <w:t>s</w:t>
      </w:r>
      <w:r w:rsidR="00545D1B" w:rsidRPr="00742A04">
        <w:t>e</w:t>
      </w:r>
      <w:r w:rsidR="00121DBC" w:rsidRPr="00742A04">
        <w:t>r</w:t>
      </w:r>
      <w:r w:rsidR="00545D1B" w:rsidRPr="00742A04">
        <w:t xml:space="preserve"> inform</w:t>
      </w:r>
      <w:r w:rsidR="00121DBC" w:rsidRPr="00742A04">
        <w:t>ados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21DBC" w:rsidRPr="00742A04">
        <w:t>la liberación</w:t>
      </w:r>
      <w:r w:rsidR="00545D1B" w:rsidRPr="00742A04">
        <w:t xml:space="preserve">, etc. </w:t>
      </w:r>
      <w:r w:rsidR="004A0730" w:rsidRPr="00742A04">
        <w:t>de</w:t>
      </w:r>
      <w:r w:rsidR="00545D1B" w:rsidRPr="00742A04">
        <w:t xml:space="preserve"> </w:t>
      </w:r>
      <w:r w:rsidR="00121DBC" w:rsidRPr="00742A04">
        <w:t>los reclusos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121DBC" w:rsidRPr="00742A04">
        <w:t>están cumpliendo una condena</w:t>
      </w:r>
      <w:r w:rsidR="00545D1B" w:rsidRPr="00742A04">
        <w:t>.</w:t>
      </w:r>
    </w:p>
    <w:p w:rsidR="00545D1B" w:rsidRPr="00742A04" w:rsidRDefault="00FC59C5" w:rsidP="00021DB5">
      <w:pPr>
        <w:pStyle w:val="SingleTxt"/>
        <w:numPr>
          <w:ilvl w:val="0"/>
          <w:numId w:val="39"/>
        </w:numPr>
        <w:tabs>
          <w:tab w:val="clear" w:pos="1742"/>
          <w:tab w:val="left" w:pos="900"/>
        </w:tabs>
      </w:pPr>
      <w:r w:rsidRPr="00742A04">
        <w:t>la policía</w:t>
      </w:r>
      <w:r w:rsidR="00545D1B" w:rsidRPr="00742A04">
        <w:t xml:space="preserve"> </w:t>
      </w:r>
      <w:r w:rsidR="001A1CB5" w:rsidRPr="00742A04">
        <w:t>nombre</w:t>
      </w:r>
      <w:r w:rsidR="00545D1B" w:rsidRPr="00742A04">
        <w:t xml:space="preserve"> </w:t>
      </w:r>
      <w:r w:rsidR="006A6B9F">
        <w:t xml:space="preserve">a </w:t>
      </w:r>
      <w:r w:rsidR="00121DBC" w:rsidRPr="00742A04">
        <w:t>un</w:t>
      </w:r>
      <w:r w:rsidR="00545D1B" w:rsidRPr="00742A04">
        <w:t>a</w:t>
      </w:r>
      <w:r w:rsidR="00121DBC" w:rsidRPr="00742A04">
        <w:t xml:space="preserve"> </w:t>
      </w:r>
      <w:r w:rsidR="00CB4CDB" w:rsidRPr="00742A04">
        <w:t>persona</w:t>
      </w:r>
      <w:r w:rsidR="00545D1B" w:rsidRPr="00742A04">
        <w:t xml:space="preserve"> </w:t>
      </w:r>
      <w:r w:rsidR="00121DBC" w:rsidRPr="00742A04">
        <w:t xml:space="preserve">como contacto </w:t>
      </w:r>
      <w:r w:rsidR="00F43124" w:rsidRPr="00742A04">
        <w:t>para</w:t>
      </w:r>
      <w:r w:rsidR="00545D1B" w:rsidRPr="00742A04">
        <w:t xml:space="preserve"> </w:t>
      </w:r>
      <w:r w:rsidR="001C54BB" w:rsidRPr="00742A04">
        <w:t xml:space="preserve">las personas </w:t>
      </w:r>
      <w:r w:rsidR="00C451B6" w:rsidRPr="00742A04">
        <w:t>agravi</w:t>
      </w:r>
      <w:r w:rsidR="001C54BB" w:rsidRPr="00742A04">
        <w:t>adas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21DBC" w:rsidRPr="00742A04">
        <w:t xml:space="preserve">los </w:t>
      </w:r>
      <w:r w:rsidR="002A458D" w:rsidRPr="00742A04">
        <w:t>familiares supérstites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121DBC" w:rsidRPr="00742A04">
        <w:t>que a éstos se les dé una</w:t>
      </w:r>
      <w:r w:rsidR="00545D1B" w:rsidRPr="00742A04">
        <w:t xml:space="preserve"> </w:t>
      </w:r>
      <w:r w:rsidR="002F3238" w:rsidRPr="00742A04">
        <w:t>oport</w:t>
      </w:r>
      <w:r w:rsidR="00545D1B" w:rsidRPr="00742A04">
        <w:t>un</w:t>
      </w:r>
      <w:r w:rsidR="00502E16" w:rsidRPr="00742A04">
        <w:t>idad</w:t>
      </w:r>
      <w:r w:rsidR="00545D1B" w:rsidRPr="00742A04">
        <w:t xml:space="preserve"> </w:t>
      </w:r>
      <w:r w:rsidR="00121DBC" w:rsidRPr="00742A04">
        <w:t xml:space="preserve">de </w:t>
      </w:r>
      <w:r w:rsidR="00EF5B12" w:rsidRPr="00742A04">
        <w:t>r</w:t>
      </w:r>
      <w:r w:rsidR="00EF5B12" w:rsidRPr="00742A04">
        <w:t>e</w:t>
      </w:r>
      <w:r w:rsidR="00EF5B12" w:rsidRPr="00742A04">
        <w:t>unirse</w:t>
      </w:r>
      <w:r w:rsidR="00121DBC" w:rsidRPr="00742A04">
        <w:t xml:space="preserve"> con el fiscal</w:t>
      </w:r>
      <w:r w:rsidR="00545D1B" w:rsidRPr="00742A04">
        <w:t>.</w:t>
      </w:r>
    </w:p>
    <w:p w:rsidR="00545D1B" w:rsidRPr="00742A04" w:rsidRDefault="00121DBC" w:rsidP="00021DB5">
      <w:pPr>
        <w:pStyle w:val="SingleTxt"/>
        <w:numPr>
          <w:ilvl w:val="0"/>
          <w:numId w:val="39"/>
        </w:numPr>
        <w:tabs>
          <w:tab w:val="clear" w:pos="1742"/>
          <w:tab w:val="left" w:pos="900"/>
        </w:tabs>
      </w:pPr>
      <w:r w:rsidRPr="00742A04">
        <w:t>en los casos penales graves se permita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451B6" w:rsidRPr="00742A04">
        <w:t>persona agraviada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</w:t>
      </w:r>
      <w:r w:rsidR="002A458D" w:rsidRPr="00742A04">
        <w:t>famili</w:t>
      </w:r>
      <w:r w:rsidR="002A458D" w:rsidRPr="00742A04">
        <w:t>a</w:t>
      </w:r>
      <w:r w:rsidR="002A458D" w:rsidRPr="00742A04">
        <w:t>res supérstites</w:t>
      </w:r>
      <w:r w:rsidR="00545D1B" w:rsidRPr="00742A04">
        <w:t xml:space="preserve"> </w:t>
      </w:r>
      <w:r w:rsidRPr="00742A04">
        <w:t>asistir a todas las audiencias que se celebren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el caso</w:t>
      </w:r>
      <w:r w:rsidR="00545D1B" w:rsidRPr="00742A04">
        <w:t>, i</w:t>
      </w:r>
      <w:r w:rsidR="00545D1B" w:rsidRPr="00742A04">
        <w:t>n</w:t>
      </w:r>
      <w:r w:rsidR="00545D1B" w:rsidRPr="00742A04">
        <w:t>clu</w:t>
      </w:r>
      <w:r w:rsidR="00E65D48" w:rsidRPr="00742A04">
        <w:t>so las que celebren</w:t>
      </w:r>
      <w:r w:rsidR="00545D1B" w:rsidRPr="00742A04">
        <w:t xml:space="preserve"> </w:t>
      </w:r>
      <w:r w:rsidR="00E65D48" w:rsidRPr="00742A04">
        <w:t>a puerta cerrada</w:t>
      </w:r>
      <w:r w:rsidR="00545D1B" w:rsidRPr="00742A04">
        <w:t>.</w:t>
      </w:r>
    </w:p>
    <w:p w:rsidR="00545D1B" w:rsidRPr="00742A04" w:rsidRDefault="00E65D48" w:rsidP="00021DB5">
      <w:pPr>
        <w:pStyle w:val="SingleTxt"/>
        <w:numPr>
          <w:ilvl w:val="0"/>
          <w:numId w:val="39"/>
        </w:numPr>
        <w:tabs>
          <w:tab w:val="clear" w:pos="1742"/>
          <w:tab w:val="left" w:pos="900"/>
        </w:tabs>
      </w:pPr>
      <w:r w:rsidRPr="00742A04">
        <w:t xml:space="preserve">en los casos penales graves </w:t>
      </w:r>
      <w:r w:rsidR="00C451B6" w:rsidRPr="00742A04">
        <w:t>la persona agraviada</w:t>
      </w:r>
      <w:r w:rsidR="00545D1B" w:rsidRPr="00742A04">
        <w:t xml:space="preserve"> </w:t>
      </w:r>
      <w:r w:rsidR="00877AA0" w:rsidRPr="00742A04">
        <w:t>y</w:t>
      </w:r>
      <w:r w:rsidRPr="00742A04">
        <w:t xml:space="preserve"> sus</w:t>
      </w:r>
      <w:r w:rsidR="00545D1B" w:rsidRPr="00742A04">
        <w:t xml:space="preserve"> </w:t>
      </w:r>
      <w:r w:rsidR="002A458D" w:rsidRPr="00742A04">
        <w:t>familiares supérstites</w:t>
      </w:r>
      <w:r w:rsidR="00545D1B" w:rsidRPr="00742A04">
        <w:t xml:space="preserve"> </w:t>
      </w:r>
      <w:r w:rsidRPr="00742A04">
        <w:t>tengan</w:t>
      </w:r>
      <w:r w:rsidR="001C6742" w:rsidRPr="00742A04">
        <w:t xml:space="preserve"> derecho </w:t>
      </w:r>
      <w:r w:rsidRPr="00742A04">
        <w:t>a</w:t>
      </w:r>
      <w:r w:rsidR="002F3238" w:rsidRPr="00742A04">
        <w:t xml:space="preserve"> expresar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opin</w:t>
      </w:r>
      <w:r w:rsidR="005E6919" w:rsidRPr="00742A04">
        <w:t xml:space="preserve">ión </w:t>
      </w:r>
      <w:r w:rsidR="00877AA0" w:rsidRPr="00742A04">
        <w:t>y</w:t>
      </w:r>
      <w:r w:rsidR="00545D1B" w:rsidRPr="00742A04">
        <w:t xml:space="preserve"> </w:t>
      </w:r>
      <w:r w:rsidR="006E0918" w:rsidRPr="00742A04">
        <w:t>puedan refutar la</w:t>
      </w:r>
      <w:r w:rsidR="00545D1B" w:rsidRPr="00742A04">
        <w:t xml:space="preserve"> informa</w:t>
      </w:r>
      <w:r w:rsidR="00C14BFF" w:rsidRPr="00742A04">
        <w:t xml:space="preserve">ción </w:t>
      </w:r>
      <w:r w:rsidR="006E0918" w:rsidRPr="00742A04">
        <w:t>tanto</w:t>
      </w:r>
      <w:r w:rsidR="00545D1B" w:rsidRPr="00742A04">
        <w:t xml:space="preserve"> </w:t>
      </w:r>
      <w:r w:rsidR="003315C7" w:rsidRPr="00742A04">
        <w:t>durante</w:t>
      </w:r>
      <w:r w:rsidR="00545D1B" w:rsidRPr="00742A04">
        <w:t xml:space="preserve"> </w:t>
      </w:r>
      <w:r w:rsidR="001A1CB5" w:rsidRPr="00742A04">
        <w:t>la investigación</w:t>
      </w:r>
      <w:r w:rsidR="00C14BFF" w:rsidRPr="00742A04">
        <w:t xml:space="preserve"> </w:t>
      </w:r>
      <w:r w:rsidR="00581775" w:rsidRPr="00742A04">
        <w:t>del caso</w:t>
      </w:r>
      <w:r w:rsidR="00545D1B" w:rsidRPr="00742A04">
        <w:t xml:space="preserve"> </w:t>
      </w:r>
      <w:r w:rsidR="006E0918" w:rsidRPr="00742A04">
        <w:t>como</w:t>
      </w:r>
      <w:r w:rsidR="00545D1B" w:rsidRPr="00742A04">
        <w:t xml:space="preserve"> </w:t>
      </w:r>
      <w:r w:rsidR="003C25BF" w:rsidRPr="00742A04">
        <w:t>cuand</w:t>
      </w:r>
      <w:r w:rsidR="0056679F" w:rsidRPr="00742A04">
        <w:t xml:space="preserve">o el </w:t>
      </w:r>
      <w:r w:rsidR="000A5430" w:rsidRPr="00742A04">
        <w:t>caso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6E0918" w:rsidRPr="00742A04">
        <w:t>presentado ante el tribunal</w:t>
      </w:r>
      <w:r w:rsidR="00545D1B" w:rsidRPr="00742A04">
        <w:t xml:space="preserve">. </w:t>
      </w:r>
      <w:r w:rsidR="006E0918" w:rsidRPr="00742A04">
        <w:t>E</w:t>
      </w:r>
      <w:r w:rsidR="00CE1CFC" w:rsidRPr="00742A04">
        <w:t>l</w:t>
      </w:r>
      <w:r w:rsidR="006E0918" w:rsidRPr="00742A04">
        <w:t xml:space="preserve"> </w:t>
      </w:r>
      <w:r w:rsidR="00CE1CFC" w:rsidRPr="00742A04">
        <w:t>comité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1A1CB5" w:rsidRPr="00742A04">
        <w:t>propone que</w:t>
      </w:r>
      <w:r w:rsidR="00545D1B" w:rsidRPr="00742A04">
        <w:t xml:space="preserve"> </w:t>
      </w:r>
      <w:r w:rsidR="003315C7" w:rsidRPr="00742A04">
        <w:t>durante</w:t>
      </w:r>
      <w:r w:rsidR="00545D1B" w:rsidRPr="00742A04">
        <w:t xml:space="preserve"> </w:t>
      </w:r>
      <w:r w:rsidR="006E0918" w:rsidRPr="00742A04">
        <w:t xml:space="preserve">la audiencia principal las </w:t>
      </w:r>
      <w:r w:rsidR="001C54BB" w:rsidRPr="00742A04">
        <w:t xml:space="preserve">personas </w:t>
      </w:r>
      <w:r w:rsidR="00C451B6" w:rsidRPr="00742A04">
        <w:t>agravi</w:t>
      </w:r>
      <w:r w:rsidR="001C54BB" w:rsidRPr="00742A04">
        <w:t>adas</w:t>
      </w:r>
      <w:r w:rsidR="00545D1B" w:rsidRPr="00742A04">
        <w:t xml:space="preserve"> </w:t>
      </w:r>
      <w:r w:rsidR="006E0918" w:rsidRPr="00742A04">
        <w:t>tengan</w:t>
      </w:r>
      <w:r w:rsidR="001C6742" w:rsidRPr="00742A04">
        <w:t xml:space="preserve"> derecho </w:t>
      </w:r>
      <w:r w:rsidR="0030626A" w:rsidRPr="00742A04">
        <w:t>a</w:t>
      </w:r>
      <w:r w:rsidR="00545D1B" w:rsidRPr="00742A04">
        <w:t xml:space="preserve"> </w:t>
      </w:r>
      <w:r w:rsidR="006E0918" w:rsidRPr="00742A04">
        <w:t>interrogar al acusado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E0918" w:rsidRPr="00742A04">
        <w:t xml:space="preserve">a </w:t>
      </w:r>
      <w:r w:rsidR="00963214" w:rsidRPr="00742A04">
        <w:t>los test</w:t>
      </w:r>
      <w:r w:rsidR="00963214" w:rsidRPr="00742A04">
        <w:t>i</w:t>
      </w:r>
      <w:r w:rsidR="00963214" w:rsidRPr="00742A04">
        <w:t>gos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6E0918" w:rsidRPr="00742A04">
        <w:t>el mismo derecho que</w:t>
      </w:r>
      <w:r w:rsidR="00545D1B" w:rsidRPr="00742A04">
        <w:t xml:space="preserve"> </w:t>
      </w:r>
      <w:r w:rsidR="006E0918" w:rsidRPr="00742A04">
        <w:t>el acusado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6E0918" w:rsidRPr="00742A04">
        <w:t>formular una réplica</w:t>
      </w:r>
      <w:r w:rsidR="00545D1B" w:rsidRPr="00742A04">
        <w:t xml:space="preserve"> final.</w:t>
      </w:r>
    </w:p>
    <w:p w:rsidR="00545D1B" w:rsidRPr="00742A04" w:rsidRDefault="006E0918" w:rsidP="00021DB5">
      <w:pPr>
        <w:pStyle w:val="SingleTxt"/>
        <w:numPr>
          <w:ilvl w:val="0"/>
          <w:numId w:val="39"/>
        </w:numPr>
        <w:tabs>
          <w:tab w:val="clear" w:pos="1742"/>
          <w:tab w:val="left" w:pos="900"/>
        </w:tabs>
      </w:pPr>
      <w:r w:rsidRPr="00742A04">
        <w:t xml:space="preserve">se reconozca el derecho a tener abogado defensor a </w:t>
      </w:r>
      <w:r w:rsidR="00BA5ABE" w:rsidRPr="00742A04">
        <w:t>más</w:t>
      </w:r>
      <w:r w:rsidR="00545D1B" w:rsidRPr="00742A04">
        <w:t xml:space="preserve"> </w:t>
      </w:r>
      <w:r w:rsidR="001C54BB" w:rsidRPr="00742A04">
        <w:t xml:space="preserve">personas </w:t>
      </w:r>
      <w:r w:rsidR="00C451B6" w:rsidRPr="00742A04">
        <w:t>agravi</w:t>
      </w:r>
      <w:r w:rsidR="001C54BB" w:rsidRPr="00742A04">
        <w:t>a</w:t>
      </w:r>
      <w:r w:rsidR="001C54BB" w:rsidRPr="00742A04">
        <w:t>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A458D" w:rsidRPr="00742A04">
        <w:t>familiares supérstites</w:t>
      </w:r>
      <w:r w:rsidR="00545D1B" w:rsidRPr="00742A04">
        <w:t xml:space="preserve"> </w:t>
      </w:r>
      <w:r w:rsidR="00024DBC" w:rsidRPr="00742A04">
        <w:t>y que</w:t>
      </w:r>
      <w:r w:rsidR="00545D1B" w:rsidRPr="00742A04">
        <w:t xml:space="preserve"> </w:t>
      </w:r>
      <w:r w:rsidRPr="00742A04">
        <w:t>se aclaren y amplíen las</w:t>
      </w:r>
      <w:r w:rsidR="00545D1B" w:rsidRPr="00742A04">
        <w:t xml:space="preserve"> </w:t>
      </w:r>
      <w:r w:rsidR="00AE0831" w:rsidRPr="00742A04">
        <w:t>funciones</w:t>
      </w:r>
      <w:r w:rsidR="00545D1B" w:rsidRPr="00742A04">
        <w:t xml:space="preserve"> </w:t>
      </w:r>
      <w:r w:rsidR="004A0730" w:rsidRPr="00742A04">
        <w:t>de</w:t>
      </w:r>
      <w:r w:rsidRPr="00742A04">
        <w:t>l abog</w:t>
      </w:r>
      <w:r w:rsidRPr="00742A04">
        <w:t>a</w:t>
      </w:r>
      <w:r w:rsidRPr="00742A04">
        <w:t>do</w:t>
      </w:r>
      <w:r w:rsidR="00545D1B" w:rsidRPr="00742A04">
        <w:t>.</w:t>
      </w:r>
    </w:p>
    <w:p w:rsidR="00545D1B" w:rsidRPr="00742A04" w:rsidRDefault="008B63DF" w:rsidP="00E65D48">
      <w:pPr>
        <w:pStyle w:val="SingleTxt"/>
        <w:keepNext/>
        <w:rPr>
          <w:i/>
        </w:rPr>
      </w:pPr>
      <w:r w:rsidRPr="00742A04">
        <w:rPr>
          <w:i/>
        </w:rPr>
        <w:t>Asistencia jurídica gratuita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</w:t>
      </w:r>
      <w:r w:rsidR="006E0918" w:rsidRPr="00742A04">
        <w:rPr>
          <w:i/>
        </w:rPr>
        <w:t>derecho a indemnización</w:t>
      </w:r>
    </w:p>
    <w:p w:rsidR="00545D1B" w:rsidRPr="00742A04" w:rsidRDefault="006E0918" w:rsidP="009B5DA3">
      <w:pPr>
        <w:pStyle w:val="SingleTxt"/>
        <w:ind w:firstLine="475"/>
      </w:pPr>
      <w:r w:rsidRPr="00742A04">
        <w:t>Las v</w:t>
      </w:r>
      <w:r w:rsidR="00502E16" w:rsidRPr="00742A04">
        <w:t>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violencia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asistencia jurídica</w:t>
      </w:r>
      <w:r w:rsidR="00545D1B" w:rsidRPr="00742A04">
        <w:t xml:space="preserve"> </w:t>
      </w:r>
      <w:r w:rsidRPr="00742A04">
        <w:t>para presentar</w:t>
      </w:r>
      <w:r w:rsidR="00545D1B" w:rsidRPr="00742A04">
        <w:t xml:space="preserve"> </w:t>
      </w:r>
      <w:r w:rsidR="00E574AD" w:rsidRPr="00742A04">
        <w:t>pretensiones jurídicas civiles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574AD" w:rsidRPr="00742A04">
        <w:t>conjunción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1C54BB" w:rsidRPr="00742A04">
        <w:t>un proceso penal</w:t>
      </w:r>
      <w:r w:rsidR="006A6B9F">
        <w:t>, con arreglo a</w:t>
      </w:r>
      <w:r w:rsidR="00E574AD" w:rsidRPr="00742A04">
        <w:t>l</w:t>
      </w:r>
      <w:r w:rsidR="00545D1B" w:rsidRPr="00742A04">
        <w:t xml:space="preserve"> </w:t>
      </w:r>
      <w:r w:rsidR="00E574AD" w:rsidRPr="00742A04">
        <w:t>c</w:t>
      </w:r>
      <w:r w:rsidR="00232DF9" w:rsidRPr="00742A04">
        <w:t>a</w:t>
      </w:r>
      <w:r w:rsidR="00232DF9" w:rsidRPr="00742A04">
        <w:t>pítulo</w:t>
      </w:r>
      <w:r w:rsidR="00545D1B" w:rsidRPr="00742A04">
        <w:t xml:space="preserve"> 29 </w:t>
      </w:r>
      <w:r w:rsidR="00F43124" w:rsidRPr="00742A04">
        <w:t xml:space="preserve">de la </w:t>
      </w:r>
      <w:r w:rsidR="00963214" w:rsidRPr="00742A04">
        <w:t xml:space="preserve">Ley </w:t>
      </w:r>
      <w:r w:rsidR="008B63DF" w:rsidRPr="00742A04">
        <w:t>de Procedimiento Penal</w:t>
      </w:r>
      <w:r w:rsidR="00545D1B" w:rsidRPr="00742A04">
        <w:t xml:space="preserve">, </w:t>
      </w:r>
      <w:r w:rsidR="008E5EBF" w:rsidRPr="00742A04">
        <w:t>o</w:t>
      </w:r>
      <w:r w:rsidR="00545D1B" w:rsidRPr="00742A04">
        <w:t xml:space="preserve"> </w:t>
      </w:r>
      <w:r w:rsidR="00BD47D3" w:rsidRPr="00742A04">
        <w:t xml:space="preserve">en virtud </w:t>
      </w:r>
      <w:r w:rsidR="00F43124" w:rsidRPr="00742A04">
        <w:t xml:space="preserve">de la </w:t>
      </w:r>
      <w:r w:rsidR="00230F13" w:rsidRPr="00742A04">
        <w:t>Ley</w:t>
      </w:r>
      <w:r w:rsidR="00545D1B" w:rsidRPr="00742A04">
        <w:t xml:space="preserve"> </w:t>
      </w:r>
      <w:r w:rsidR="00E574AD" w:rsidRPr="00742A04">
        <w:t>sobre</w:t>
      </w:r>
      <w:r w:rsidR="00545D1B" w:rsidRPr="00742A04">
        <w:t xml:space="preserve"> </w:t>
      </w:r>
      <w:r w:rsidR="00E574AD" w:rsidRPr="00742A04">
        <w:t>Asistencia Jurídica Gratuita</w:t>
      </w:r>
      <w:r w:rsidR="00545D1B" w:rsidRPr="00742A04">
        <w:t>.</w:t>
      </w:r>
    </w:p>
    <w:p w:rsidR="00545D1B" w:rsidRPr="00742A04" w:rsidRDefault="00E574AD" w:rsidP="009B5DA3">
      <w:pPr>
        <w:pStyle w:val="SingleTxt"/>
        <w:ind w:firstLine="475"/>
      </w:pPr>
      <w:r w:rsidRPr="00742A04">
        <w:t>Con arreglo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Ley</w:t>
      </w:r>
      <w:r w:rsidR="008B63DF" w:rsidRPr="00742A04">
        <w:t xml:space="preserve"> sobre Asistencia Jurídica Gratuita</w:t>
      </w:r>
      <w:r w:rsidR="00545D1B" w:rsidRPr="00742A04">
        <w:t xml:space="preserve">,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Just</w:t>
      </w:r>
      <w:r w:rsidR="007C341F" w:rsidRPr="00742A04">
        <w:t>i</w:t>
      </w:r>
      <w:r w:rsidR="007C341F" w:rsidRPr="00742A04">
        <w:t>cia</w:t>
      </w:r>
      <w:r w:rsidR="00545D1B" w:rsidRPr="00742A04">
        <w:t xml:space="preserve"> </w:t>
      </w:r>
      <w:r w:rsidR="009B122F" w:rsidRPr="00742A04">
        <w:t>ha establecido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 </w:t>
      </w:r>
      <w:r w:rsidRPr="00742A04">
        <w:t>plan especial</w:t>
      </w:r>
      <w:r w:rsidR="00545D1B" w:rsidRPr="00742A04">
        <w:t xml:space="preserve"> </w:t>
      </w:r>
      <w:r w:rsidRPr="00742A04">
        <w:t xml:space="preserve">de </w:t>
      </w:r>
      <w:r w:rsidR="008B63DF" w:rsidRPr="00742A04">
        <w:t>asistencia jurídica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vi</w:t>
      </w:r>
      <w:r w:rsidR="00A05847" w:rsidRPr="00742A04">
        <w:t>o</w:t>
      </w:r>
      <w:r w:rsidR="00A05847" w:rsidRPr="00742A04">
        <w:t>lencia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general (</w:t>
      </w:r>
      <w:r w:rsidR="00242371" w:rsidRPr="00742A04">
        <w:t>mujeres y hombres</w:t>
      </w:r>
      <w:r w:rsidR="00545D1B" w:rsidRPr="00742A04">
        <w:t xml:space="preserve">)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la iniciación de</w:t>
      </w:r>
      <w:r w:rsidR="00545D1B" w:rsidRPr="00742A04">
        <w:t xml:space="preserve"> ac</w:t>
      </w:r>
      <w:r w:rsidR="00C14BFF" w:rsidRPr="00742A04">
        <w:t>ci</w:t>
      </w:r>
      <w:r w:rsidRPr="00742A04">
        <w:t>ones j</w:t>
      </w:r>
      <w:r w:rsidRPr="00742A04">
        <w:t>u</w:t>
      </w:r>
      <w:r w:rsidRPr="00742A04">
        <w:t>diciales de</w:t>
      </w:r>
      <w:r w:rsidR="00545D1B" w:rsidRPr="00742A04">
        <w:t xml:space="preserve"> </w:t>
      </w:r>
      <w:r w:rsidR="00BA5ABE" w:rsidRPr="00742A04">
        <w:t>daños y perjuicios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311327" w:rsidRPr="00742A04">
        <w:t>el autor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Pr="00742A04">
        <w:t>l</w:t>
      </w:r>
      <w:r w:rsidR="00AE0831" w:rsidRPr="00742A04">
        <w:t>os casos de este tipo</w:t>
      </w:r>
      <w:r w:rsidR="00545D1B" w:rsidRPr="00742A04">
        <w:t xml:space="preserve">, </w:t>
      </w:r>
      <w:r w:rsidRPr="00742A04">
        <w:t>las víctimas de la violencia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B63DF" w:rsidRPr="00742A04">
        <w:t>asistencia jurídica gratuita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Pr="00742A04">
        <w:t>necesidad de prueba de ingresos</w:t>
      </w:r>
      <w:r w:rsidR="00545D1B" w:rsidRPr="00742A04">
        <w:t xml:space="preserve">. </w:t>
      </w:r>
      <w:r w:rsidR="00232DF9" w:rsidRPr="00742A04">
        <w:t>Si</w:t>
      </w:r>
      <w:r w:rsidR="00545D1B" w:rsidRPr="00742A04">
        <w:t xml:space="preserve"> </w:t>
      </w:r>
      <w:r w:rsidRPr="00742A04">
        <w:t xml:space="preserve">se incoa </w:t>
      </w:r>
      <w:r w:rsidR="001C54BB" w:rsidRPr="00742A04">
        <w:t>un proceso penal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311327" w:rsidRPr="00742A04">
        <w:t xml:space="preserve">el </w:t>
      </w:r>
      <w:r w:rsidR="0052773D">
        <w:t>infractor</w:t>
      </w:r>
      <w:r w:rsidR="00545D1B" w:rsidRPr="00742A04">
        <w:t xml:space="preserve">, </w:t>
      </w:r>
      <w:r w:rsidR="00CB0483" w:rsidRPr="00742A04">
        <w:t>sin embargo</w:t>
      </w:r>
      <w:r w:rsidR="00545D1B" w:rsidRPr="00742A04">
        <w:t xml:space="preserve">, </w:t>
      </w:r>
      <w:r w:rsidR="0093592B" w:rsidRPr="00742A04">
        <w:t xml:space="preserve">la </w:t>
      </w:r>
      <w:r w:rsidR="008B63DF" w:rsidRPr="00742A04">
        <w:t>asiste</w:t>
      </w:r>
      <w:r w:rsidR="008B63DF" w:rsidRPr="00742A04">
        <w:t>n</w:t>
      </w:r>
      <w:r w:rsidR="008B63DF" w:rsidRPr="00742A04">
        <w:t>cia jurídica gratuita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93592B" w:rsidRPr="00742A04">
        <w:t>una pretensión de</w:t>
      </w:r>
      <w:r w:rsidR="00545D1B" w:rsidRPr="00742A04">
        <w:t xml:space="preserve"> </w:t>
      </w:r>
      <w:r w:rsidR="00BA5ABE" w:rsidRPr="00742A04">
        <w:t>daños y perjuicios</w:t>
      </w:r>
      <w:r w:rsidR="00545D1B" w:rsidRPr="00742A04">
        <w:t xml:space="preserve"> </w:t>
      </w:r>
      <w:r w:rsidR="00BB4DB1" w:rsidRPr="00742A04">
        <w:t>es</w:t>
      </w:r>
      <w:r w:rsidR="0093592B" w:rsidRPr="00742A04">
        <w:t>tá</w:t>
      </w:r>
      <w:r w:rsidR="00545D1B" w:rsidRPr="00742A04">
        <w:t xml:space="preserve"> cond</w:t>
      </w:r>
      <w:r w:rsidR="00545D1B" w:rsidRPr="00742A04">
        <w:t>i</w:t>
      </w:r>
      <w:r w:rsidR="0093592B" w:rsidRPr="00742A04">
        <w:t>c</w:t>
      </w:r>
      <w:r w:rsidR="00545D1B" w:rsidRPr="00742A04">
        <w:t>iona</w:t>
      </w:r>
      <w:r w:rsidR="0093592B" w:rsidRPr="00742A04">
        <w:t>da a que la pretensión se formule dentro de la causa penal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311327" w:rsidRPr="00742A04">
        <w:t>el autor</w:t>
      </w:r>
      <w:r w:rsidR="00545D1B" w:rsidRPr="00742A04">
        <w:t xml:space="preserve">, </w:t>
      </w:r>
      <w:r w:rsidR="00E77E20" w:rsidRPr="00742A04">
        <w:t>per</w:t>
      </w:r>
      <w:r w:rsidR="0056679F" w:rsidRPr="00742A04">
        <w:t xml:space="preserve">o </w:t>
      </w:r>
      <w:r w:rsidR="00F37482" w:rsidRPr="00742A04">
        <w:t>no es necesario que el tribunal falle sobre to</w:t>
      </w:r>
      <w:r w:rsidR="0052773D">
        <w:t>dos los aspectos</w:t>
      </w:r>
      <w:r w:rsidR="00F37482" w:rsidRPr="00742A04">
        <w:t xml:space="preserve"> d</w:t>
      </w:r>
      <w:r w:rsidR="0056679F" w:rsidRPr="00742A04">
        <w:t xml:space="preserve">el </w:t>
      </w:r>
      <w:r w:rsidR="000A5430" w:rsidRPr="00742A04">
        <w:t>caso</w:t>
      </w:r>
      <w:r w:rsidR="00545D1B" w:rsidRPr="00742A04">
        <w:t>.</w:t>
      </w:r>
    </w:p>
    <w:p w:rsidR="00545D1B" w:rsidRPr="00742A04" w:rsidRDefault="0093592B" w:rsidP="009B5DA3">
      <w:pPr>
        <w:pStyle w:val="SingleTxt"/>
        <w:ind w:firstLine="475"/>
      </w:pPr>
      <w:r w:rsidRPr="00742A04">
        <w:t xml:space="preserve">Según </w:t>
      </w:r>
      <w:r w:rsidR="008B63DF" w:rsidRPr="00742A04">
        <w:t>la Ley sobre Asistencia Jurídica Gratuita</w:t>
      </w:r>
      <w:r w:rsidR="00545D1B" w:rsidRPr="00742A04">
        <w:t xml:space="preserve">, </w:t>
      </w:r>
      <w:r w:rsidR="00E574AD" w:rsidRPr="00742A04">
        <w:t>las víctimas de la violencia</w:t>
      </w:r>
      <w:r w:rsidR="00545D1B" w:rsidRPr="00742A04">
        <w:t xml:space="preserve"> </w:t>
      </w:r>
      <w:r w:rsidRPr="00742A04">
        <w:t>también 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B63DF" w:rsidRPr="00742A04">
        <w:t>asistencia jurídica gratuita</w:t>
      </w:r>
      <w:r w:rsidR="00545D1B" w:rsidRPr="00742A04">
        <w:t xml:space="preserve"> </w:t>
      </w:r>
      <w:r w:rsidR="0038081E" w:rsidRPr="00742A04">
        <w:t>para demandar al Estado recl</w:t>
      </w:r>
      <w:r w:rsidR="0038081E" w:rsidRPr="00742A04">
        <w:t>a</w:t>
      </w:r>
      <w:r w:rsidR="0038081E" w:rsidRPr="00742A04">
        <w:t>mando una</w:t>
      </w:r>
      <w:r w:rsidR="00545D1B" w:rsidRPr="00742A04">
        <w:t xml:space="preserve"> </w:t>
      </w:r>
      <w:r w:rsidR="0038081E" w:rsidRPr="00742A04">
        <w:t>indemnización por</w:t>
      </w:r>
      <w:r w:rsidR="00545D1B" w:rsidRPr="00742A04">
        <w:t xml:space="preserve"> </w:t>
      </w:r>
      <w:r w:rsidR="0038081E" w:rsidRPr="00742A04">
        <w:t>lesiones personales</w:t>
      </w:r>
      <w:r w:rsidR="00545D1B" w:rsidRPr="00742A04">
        <w:t xml:space="preserve"> caus</w:t>
      </w:r>
      <w:r w:rsidR="0038081E" w:rsidRPr="00742A04">
        <w:t>adas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FC59C5" w:rsidRPr="00742A04">
        <w:t>un acto delictivo</w:t>
      </w:r>
      <w:r w:rsidR="00545D1B" w:rsidRPr="00742A04">
        <w:t xml:space="preserve"> (</w:t>
      </w:r>
      <w:r w:rsidR="0038081E" w:rsidRPr="00742A04">
        <w:t>indemnización para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8081E" w:rsidRPr="00742A04">
        <w:t>delitos violentos</w:t>
      </w:r>
      <w:r w:rsidR="00545D1B" w:rsidRPr="00742A04">
        <w:t xml:space="preserve">). </w:t>
      </w:r>
      <w:r w:rsidR="004A0730" w:rsidRPr="00742A04">
        <w:t>En</w:t>
      </w:r>
      <w:r w:rsidR="00545D1B" w:rsidRPr="00742A04">
        <w:t xml:space="preserve"> </w:t>
      </w:r>
      <w:r w:rsidR="00502E16" w:rsidRPr="00742A04">
        <w:t>tal</w:t>
      </w:r>
      <w:r w:rsidR="0038081E" w:rsidRPr="00742A04">
        <w:t>es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, </w:t>
      </w:r>
      <w:r w:rsidR="00CB0483" w:rsidRPr="00742A04">
        <w:t>sin embargo</w:t>
      </w:r>
      <w:r w:rsidR="00545D1B" w:rsidRPr="00742A04">
        <w:t xml:space="preserve">, </w:t>
      </w:r>
      <w:r w:rsidR="0038081E" w:rsidRPr="00742A04">
        <w:t>deben cumplirse determinados requisitos</w:t>
      </w:r>
      <w:r w:rsidR="00545D1B" w:rsidRPr="00742A04">
        <w:t xml:space="preserve"> financi</w:t>
      </w:r>
      <w:r w:rsidR="0038081E" w:rsidRPr="00742A04">
        <w:t>ero</w:t>
      </w:r>
      <w:r w:rsidR="008907B8" w:rsidRPr="00742A04">
        <w:t>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8081E" w:rsidRPr="00742A04">
        <w:t xml:space="preserve">tener derecho a </w:t>
      </w:r>
      <w:r w:rsidR="00502E16" w:rsidRPr="00742A04">
        <w:t>asistencia</w:t>
      </w:r>
      <w:r w:rsidR="00545D1B" w:rsidRPr="00742A04">
        <w:t xml:space="preserve"> (</w:t>
      </w:r>
      <w:r w:rsidR="005E2D7A" w:rsidRPr="00742A04">
        <w:t>ingresos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8081E" w:rsidRPr="00742A04">
        <w:t>bienes por debajo de determinado nivel</w:t>
      </w:r>
      <w:r w:rsidR="00545D1B" w:rsidRPr="00742A04">
        <w:t xml:space="preserve">), </w:t>
      </w:r>
      <w:r w:rsidR="00877AA0" w:rsidRPr="00742A04">
        <w:t>y</w:t>
      </w:r>
      <w:r w:rsidR="00545D1B" w:rsidRPr="00742A04">
        <w:t xml:space="preserve"> </w:t>
      </w:r>
      <w:r w:rsidR="0038081E" w:rsidRPr="00742A04">
        <w:t xml:space="preserve">la víctima </w:t>
      </w:r>
      <w:r w:rsidR="007D4688" w:rsidRPr="00742A04">
        <w:t>debe</w:t>
      </w:r>
      <w:r w:rsidR="00545D1B" w:rsidRPr="00742A04">
        <w:t xml:space="preserve"> </w:t>
      </w:r>
      <w:r w:rsidR="0038081E" w:rsidRPr="00742A04">
        <w:t>pagar</w:t>
      </w:r>
      <w:r w:rsidR="00982243" w:rsidRPr="00742A04">
        <w:t xml:space="preserve"> una parte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8081E" w:rsidRPr="00742A04">
        <w:t>los costos</w:t>
      </w:r>
      <w:r w:rsidR="00545D1B" w:rsidRPr="00742A04">
        <w:t>.</w:t>
      </w:r>
    </w:p>
    <w:p w:rsidR="00545D1B" w:rsidRPr="00133FE4" w:rsidRDefault="0038081E" w:rsidP="0038081E">
      <w:pPr>
        <w:pStyle w:val="SingleTxt"/>
        <w:jc w:val="left"/>
        <w:rPr>
          <w:i/>
        </w:rPr>
      </w:pPr>
      <w:r w:rsidRPr="00133FE4">
        <w:rPr>
          <w:i/>
        </w:rPr>
        <w:t xml:space="preserve">Esfuerzos por </w:t>
      </w:r>
      <w:r w:rsidR="00502E16" w:rsidRPr="00133FE4">
        <w:rPr>
          <w:i/>
        </w:rPr>
        <w:t>prevenir</w:t>
      </w:r>
      <w:r w:rsidRPr="00133FE4">
        <w:rPr>
          <w:i/>
        </w:rPr>
        <w:t xml:space="preserve"> </w:t>
      </w:r>
      <w:r w:rsidR="00550986" w:rsidRPr="00133FE4">
        <w:rPr>
          <w:i/>
        </w:rPr>
        <w:t>la violencia contra la mujer</w:t>
      </w:r>
      <w:r w:rsidRPr="00133FE4">
        <w:rPr>
          <w:i/>
        </w:rPr>
        <w:t xml:space="preserve"> dirigidos</w:t>
      </w:r>
      <w:r w:rsidRPr="00133FE4">
        <w:rPr>
          <w:i/>
        </w:rPr>
        <w:br/>
        <w:t>especialmente a ciertos grupos</w:t>
      </w:r>
    </w:p>
    <w:p w:rsidR="00545D1B" w:rsidRPr="00742A04" w:rsidRDefault="005C6D40" w:rsidP="002C4922">
      <w:pPr>
        <w:pStyle w:val="SingleTxt"/>
        <w:rPr>
          <w:b/>
        </w:rPr>
      </w:pPr>
      <w:r w:rsidRPr="00742A04">
        <w:rPr>
          <w:b/>
        </w:rPr>
        <w:t>Los hombres</w:t>
      </w:r>
      <w:r w:rsidR="00545D1B" w:rsidRPr="00742A04">
        <w:rPr>
          <w:b/>
        </w:rPr>
        <w:t xml:space="preserve"> </w:t>
      </w:r>
      <w:r w:rsidR="0038081E" w:rsidRPr="00742A04">
        <w:rPr>
          <w:b/>
        </w:rPr>
        <w:t>como</w:t>
      </w:r>
      <w:r w:rsidR="00B31D97" w:rsidRPr="00742A04">
        <w:rPr>
          <w:b/>
        </w:rPr>
        <w:t xml:space="preserve"> autores</w:t>
      </w:r>
      <w:r w:rsidR="00545D1B" w:rsidRPr="00742A04">
        <w:rPr>
          <w:b/>
        </w:rPr>
        <w:t xml:space="preserve"> </w:t>
      </w:r>
      <w:r w:rsidR="004A0730" w:rsidRPr="00742A04">
        <w:rPr>
          <w:b/>
        </w:rPr>
        <w:t>de</w:t>
      </w:r>
      <w:r w:rsidR="00545D1B" w:rsidRPr="00742A04">
        <w:rPr>
          <w:b/>
        </w:rPr>
        <w:t xml:space="preserve"> </w:t>
      </w:r>
      <w:r w:rsidR="0038081E" w:rsidRPr="00742A04">
        <w:rPr>
          <w:b/>
        </w:rPr>
        <w:t xml:space="preserve">actos de </w:t>
      </w:r>
      <w:r w:rsidR="00A05847" w:rsidRPr="00742A04">
        <w:rPr>
          <w:b/>
        </w:rPr>
        <w:t>violencia</w:t>
      </w:r>
    </w:p>
    <w:p w:rsidR="000A08D8" w:rsidRPr="00742A04" w:rsidRDefault="0038081E" w:rsidP="009B5DA3">
      <w:pPr>
        <w:pStyle w:val="SingleTxt"/>
        <w:ind w:firstLine="475"/>
      </w:pPr>
      <w:r w:rsidRPr="00742A04">
        <w:t>E</w:t>
      </w:r>
      <w:r w:rsidR="000F0ACC" w:rsidRPr="00742A04">
        <w:t>n e</w:t>
      </w:r>
      <w:r w:rsidRPr="00742A04">
        <w:t>l Plan</w:t>
      </w:r>
      <w:r w:rsidR="00F650FB" w:rsidRPr="00742A04">
        <w:t xml:space="preserve"> de Acción</w:t>
      </w:r>
      <w:r w:rsidR="00545D1B" w:rsidRPr="00742A04">
        <w:t xml:space="preserve"> </w:t>
      </w:r>
      <w:r w:rsidR="007C341F" w:rsidRPr="00742A04">
        <w:t>de Lucha contra</w:t>
      </w:r>
      <w:r w:rsidR="00A30B35" w:rsidRPr="00742A04">
        <w:t xml:space="preserve"> la </w:t>
      </w:r>
      <w:r w:rsidR="005E603B" w:rsidRPr="00742A04">
        <w:t>Violencia Doméstica</w:t>
      </w:r>
      <w:r w:rsidR="00545D1B" w:rsidRPr="00742A04">
        <w:t xml:space="preserve"> </w:t>
      </w:r>
      <w:r w:rsidR="000F0ACC" w:rsidRPr="00742A04">
        <w:t>se hace hincapié en que</w:t>
      </w:r>
      <w:r w:rsidR="00545D1B" w:rsidRPr="00742A04">
        <w:t xml:space="preserve"> </w:t>
      </w:r>
      <w:r w:rsidR="000F0ACC" w:rsidRPr="00742A04">
        <w:t>también es preciso concentrar</w:t>
      </w:r>
      <w:r w:rsidR="00502E16" w:rsidRPr="00742A04">
        <w:t xml:space="preserve"> esfuerzos</w:t>
      </w:r>
      <w:r w:rsidR="00545D1B" w:rsidRPr="00742A04">
        <w:t xml:space="preserve"> </w:t>
      </w:r>
      <w:r w:rsidR="005E6919" w:rsidRPr="00742A04">
        <w:t>en</w:t>
      </w:r>
      <w:r w:rsidR="00545D1B" w:rsidRPr="00742A04">
        <w:t xml:space="preserve"> </w:t>
      </w:r>
      <w:r w:rsidR="00D3378F" w:rsidRPr="00742A04">
        <w:t xml:space="preserve">la persona </w:t>
      </w:r>
      <w:r w:rsidR="000F0ACC" w:rsidRPr="00742A04">
        <w:t>que comete</w:t>
      </w:r>
      <w:r w:rsidR="00545D1B" w:rsidRPr="00742A04">
        <w:t xml:space="preserve"> </w:t>
      </w:r>
      <w:r w:rsidR="000F0ACC" w:rsidRPr="00742A04">
        <w:t>el acto violento</w:t>
      </w:r>
      <w:r w:rsidR="000A08D8" w:rsidRPr="00742A04">
        <w:t>.</w:t>
      </w:r>
    </w:p>
    <w:p w:rsidR="00545D1B" w:rsidRPr="00742A04" w:rsidRDefault="000F0ACC" w:rsidP="009B5DA3">
      <w:pPr>
        <w:pStyle w:val="SingleTxt"/>
        <w:ind w:firstLine="475"/>
      </w:pPr>
      <w:r w:rsidRPr="00742A04">
        <w:t>El castigo</w:t>
      </w:r>
      <w:r w:rsidR="00545D1B" w:rsidRPr="00742A04">
        <w:t xml:space="preserve"> </w:t>
      </w:r>
      <w:r w:rsidR="00133FE4">
        <w:t xml:space="preserve">por sí </w:t>
      </w:r>
      <w:r w:rsidRPr="00742A04">
        <w:t>solo</w:t>
      </w:r>
      <w:r w:rsidR="00545D1B" w:rsidRPr="00742A04">
        <w:t xml:space="preserve"> </w:t>
      </w:r>
      <w:r w:rsidR="00673B5D" w:rsidRPr="00742A04">
        <w:t xml:space="preserve">no es </w:t>
      </w:r>
      <w:r w:rsidRPr="00742A04">
        <w:t>la solución correcta</w:t>
      </w:r>
      <w:r w:rsidR="00C14BFF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los hombres violentos</w:t>
      </w:r>
      <w:r w:rsidR="00545D1B" w:rsidRPr="00742A04">
        <w:t xml:space="preserve">, </w:t>
      </w:r>
      <w:r w:rsidRPr="00742A04">
        <w:t xml:space="preserve">aunque </w:t>
      </w:r>
      <w:r w:rsidR="00BD47D3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0C68A8" w:rsidRPr="00742A04">
        <w:t xml:space="preserve">que la </w:t>
      </w:r>
      <w:r w:rsidR="000A5430" w:rsidRPr="00742A04">
        <w:t>sociedad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impo</w:t>
      </w:r>
      <w:r w:rsidRPr="00742A04">
        <w:t>nga</w:t>
      </w:r>
      <w:r w:rsidR="00545D1B" w:rsidRPr="00742A04">
        <w:t xml:space="preserve"> </w:t>
      </w:r>
      <w:r w:rsidRPr="00742A04">
        <w:t>penas</w:t>
      </w:r>
      <w:r w:rsidR="00545D1B" w:rsidRPr="00742A04">
        <w:t xml:space="preserve"> </w:t>
      </w:r>
      <w:r w:rsidRPr="00742A04">
        <w:t>a fin de</w:t>
      </w:r>
      <w:r w:rsidR="00545D1B" w:rsidRPr="00742A04">
        <w:t xml:space="preserve"> </w:t>
      </w:r>
      <w:r w:rsidRPr="00742A04">
        <w:t>poner de r</w:t>
      </w:r>
      <w:r w:rsidRPr="00742A04">
        <w:t>e</w:t>
      </w:r>
      <w:r w:rsidRPr="00742A04">
        <w:t>lieve que</w:t>
      </w:r>
      <w:r w:rsidR="00545D1B" w:rsidRPr="00742A04">
        <w:t xml:space="preserve"> </w:t>
      </w:r>
      <w:r w:rsidRPr="00742A04">
        <w:t xml:space="preserve">un acto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una violación</w:t>
      </w:r>
      <w:r w:rsidR="00545D1B" w:rsidRPr="00742A04">
        <w:t xml:space="preserve"> </w:t>
      </w:r>
      <w:r w:rsidR="006137EC" w:rsidRPr="00742A04">
        <w:t>de</w:t>
      </w:r>
      <w:r w:rsidRPr="00742A04">
        <w:t xml:space="preserve"> la</w:t>
      </w:r>
      <w:r w:rsidR="006137EC" w:rsidRPr="00742A04">
        <w:t xml:space="preserve"> </w:t>
      </w:r>
      <w:r w:rsidRPr="00742A04">
        <w:t>ley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un abuso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. </w:t>
      </w:r>
      <w:r w:rsidRPr="00742A04">
        <w:t>Hay</w:t>
      </w:r>
      <w:r w:rsidR="00545D1B" w:rsidRPr="00742A04">
        <w:t xml:space="preserve"> </w:t>
      </w:r>
      <w:r w:rsidRPr="00742A04">
        <w:t>instituciones públicas y privadas</w:t>
      </w:r>
      <w:r w:rsidR="00545D1B" w:rsidRPr="00742A04">
        <w:t xml:space="preserve"> </w:t>
      </w:r>
      <w:r w:rsidRPr="00742A04">
        <w:t>que ofrecen</w:t>
      </w:r>
      <w:r w:rsidR="00545D1B" w:rsidRPr="00742A04">
        <w:t xml:space="preserve"> </w:t>
      </w:r>
      <w:r w:rsidR="00B31D97" w:rsidRPr="00742A04">
        <w:t>tratamiento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c</w:t>
      </w:r>
      <w:r w:rsidRPr="00742A04">
        <w:t>o</w:t>
      </w:r>
      <w:r w:rsidRPr="00742A04">
        <w:t>meten actos de violencia doméstica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311327" w:rsidRPr="00742A04">
        <w:t>los</w:t>
      </w:r>
      <w:r w:rsidR="00B31D97" w:rsidRPr="00742A04">
        <w:t xml:space="preserve"> servicios</w:t>
      </w:r>
      <w:r w:rsidR="00545D1B" w:rsidRPr="00742A04">
        <w:t xml:space="preserve"> </w:t>
      </w:r>
      <w:r w:rsidR="0081178E" w:rsidRPr="00742A04">
        <w:t>están desigualmente</w:t>
      </w:r>
      <w:r w:rsidR="00545D1B" w:rsidRPr="00742A04">
        <w:t xml:space="preserve"> distribu</w:t>
      </w:r>
      <w:r w:rsidR="0081178E" w:rsidRPr="00742A04">
        <w:t>idos</w:t>
      </w:r>
      <w:r w:rsidR="00975FBB">
        <w:t xml:space="preserve"> desde el </w:t>
      </w:r>
      <w:r w:rsidR="0081178E" w:rsidRPr="00742A04">
        <w:t>punto de vista</w:t>
      </w:r>
      <w:r w:rsidR="00545D1B" w:rsidRPr="00742A04">
        <w:t xml:space="preserve"> </w:t>
      </w:r>
      <w:r w:rsidR="0081178E" w:rsidRPr="00742A04">
        <w:t>geográfico</w:t>
      </w:r>
      <w:r w:rsidR="005F7B32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11327" w:rsidRPr="00742A04">
        <w:t>los</w:t>
      </w:r>
      <w:r w:rsidR="00B31D97" w:rsidRPr="00742A04">
        <w:t xml:space="preserve"> programas de tratamiento</w:t>
      </w:r>
      <w:r w:rsidR="00545D1B" w:rsidRPr="00742A04">
        <w:t xml:space="preserve"> </w:t>
      </w:r>
      <w:r w:rsidR="0081178E" w:rsidRPr="00742A04">
        <w:t>no han sido</w:t>
      </w:r>
      <w:r w:rsidR="00545D1B" w:rsidRPr="00742A04">
        <w:t xml:space="preserve"> evalua</w:t>
      </w:r>
      <w:r w:rsidR="0081178E" w:rsidRPr="00742A04">
        <w:t>dos</w:t>
      </w:r>
      <w:r w:rsidR="00545D1B" w:rsidRPr="00742A04">
        <w:t xml:space="preserve"> satisfactori</w:t>
      </w:r>
      <w:r w:rsidR="0081178E" w:rsidRPr="00742A04">
        <w:t>amente</w:t>
      </w:r>
      <w:r w:rsidR="00545D1B" w:rsidRPr="00742A04">
        <w:t xml:space="preserve">. </w:t>
      </w:r>
      <w:r w:rsidR="0081178E" w:rsidRPr="00742A04">
        <w:t>Con las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81178E" w:rsidRPr="00742A04">
        <w:t xml:space="preserve">comprendidas </w:t>
      </w:r>
      <w:r w:rsidR="00C14BFF" w:rsidRPr="00742A04">
        <w:t>en</w:t>
      </w:r>
      <w:r w:rsidR="00C05B34" w:rsidRPr="00742A04">
        <w:t xml:space="preserve"> el Plan</w:t>
      </w:r>
      <w:r w:rsidR="00F650FB" w:rsidRPr="00742A04">
        <w:t xml:space="preserve"> de Acción</w:t>
      </w:r>
      <w:r w:rsidR="00545D1B" w:rsidRPr="00742A04">
        <w:t xml:space="preserve">, </w:t>
      </w:r>
      <w:r w:rsidR="0081178E" w:rsidRPr="00742A04">
        <w:t xml:space="preserve">se </w:t>
      </w:r>
      <w:r w:rsidR="005E3714">
        <w:t>elabor</w:t>
      </w:r>
      <w:r w:rsidR="0081178E" w:rsidRPr="00742A04">
        <w:t xml:space="preserve">arán </w:t>
      </w:r>
      <w:r w:rsidR="00B31D97" w:rsidRPr="00742A04">
        <w:t>programas de tratamiento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31D97" w:rsidRPr="00742A04">
        <w:t>los autores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1178E" w:rsidRPr="00742A04">
        <w:t xml:space="preserve">actos de </w:t>
      </w:r>
      <w:r w:rsidR="00A05847" w:rsidRPr="00742A04">
        <w:t>viole</w:t>
      </w:r>
      <w:r w:rsidR="00A05847" w:rsidRPr="00742A04">
        <w:t>n</w:t>
      </w:r>
      <w:r w:rsidR="00A05847" w:rsidRPr="00742A04">
        <w:t>cia</w:t>
      </w:r>
      <w:r w:rsidR="005E3714">
        <w:t>,</w:t>
      </w:r>
      <w:r w:rsidR="00545D1B" w:rsidRPr="00742A04">
        <w:t xml:space="preserve"> </w:t>
      </w:r>
      <w:r w:rsidR="0081178E" w:rsidRPr="00742A04">
        <w:t>se ofrecerán en todo el</w:t>
      </w:r>
      <w:r w:rsidR="00545D1B" w:rsidRPr="00742A04">
        <w:t xml:space="preserve"> </w:t>
      </w:r>
      <w:r w:rsidR="00893DF9" w:rsidRPr="00742A04">
        <w:t>país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81178E" w:rsidRPr="00742A04">
        <w:t>a los hombres reclusos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81178E" w:rsidRPr="00742A04">
        <w:t>tengan un</w:t>
      </w:r>
      <w:r w:rsidR="00545D1B" w:rsidRPr="00742A04">
        <w:t xml:space="preserve"> </w:t>
      </w:r>
      <w:r w:rsidR="00982243" w:rsidRPr="00742A04">
        <w:t>pr</w:t>
      </w:r>
      <w:r w:rsidR="00982243" w:rsidRPr="00742A04">
        <w:t>o</w:t>
      </w:r>
      <w:r w:rsidR="00982243" w:rsidRPr="00742A04">
        <w:t>blema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5E3714">
        <w:t>se les brindará</w:t>
      </w:r>
      <w:r w:rsidR="00545D1B" w:rsidRPr="00742A04">
        <w:t xml:space="preserve"> </w:t>
      </w:r>
      <w:r w:rsidR="00B31D97" w:rsidRPr="00742A04">
        <w:t>tratamiento</w:t>
      </w:r>
      <w:r w:rsidR="005E3714">
        <w:t xml:space="preserve"> por parte de</w:t>
      </w:r>
      <w:r w:rsidR="00545D1B" w:rsidRPr="00742A04">
        <w:t xml:space="preserve"> </w:t>
      </w:r>
      <w:r w:rsidR="0081178E" w:rsidRPr="00742A04">
        <w:t>los servicios ordinarios de</w:t>
      </w:r>
      <w:r w:rsidR="00545D1B" w:rsidRPr="00742A04">
        <w:t xml:space="preserve"> </w:t>
      </w:r>
      <w:r w:rsidR="00B83FEB" w:rsidRPr="00742A04">
        <w:t>salud</w:t>
      </w:r>
      <w:r w:rsidR="0081178E" w:rsidRPr="00742A04">
        <w:t>, así como</w:t>
      </w:r>
      <w:r w:rsidR="005E3714">
        <w:t xml:space="preserve"> de</w:t>
      </w:r>
      <w:r w:rsidR="00545D1B" w:rsidRPr="00742A04">
        <w:t xml:space="preserve"> </w:t>
      </w:r>
      <w:r w:rsidR="00587443" w:rsidRPr="00742A04">
        <w:t>diversos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s </w:t>
      </w:r>
      <w:r w:rsidR="0081178E" w:rsidRPr="00742A04">
        <w:t>administrados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1725A9" w:rsidRPr="00742A04">
        <w:t>los Servicios Corre</w:t>
      </w:r>
      <w:r w:rsidR="001725A9" w:rsidRPr="00742A04">
        <w:t>c</w:t>
      </w:r>
      <w:r w:rsidR="001725A9" w:rsidRPr="00742A04">
        <w:t>cionales</w:t>
      </w:r>
      <w:r w:rsidR="00545D1B" w:rsidRPr="00742A04">
        <w:t xml:space="preserve"> </w:t>
      </w:r>
      <w:r w:rsidR="0081178E" w:rsidRPr="00742A04">
        <w:t>con el fin de modificar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935A90" w:rsidRPr="00742A04">
        <w:t>comportamiento</w:t>
      </w:r>
      <w:r w:rsidR="00545D1B" w:rsidRPr="00742A04">
        <w:t xml:space="preserve">. </w:t>
      </w:r>
      <w:r w:rsidR="0081178E" w:rsidRPr="00742A04">
        <w:t>Algunos e</w:t>
      </w:r>
      <w:r w:rsidR="00502E16" w:rsidRPr="00742A04">
        <w:t>jemplos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2E16" w:rsidRPr="00742A04">
        <w:t>tal</w:t>
      </w:r>
      <w:r w:rsidR="0081178E" w:rsidRPr="00742A04">
        <w:t>es</w:t>
      </w:r>
      <w:r w:rsidR="00545D1B" w:rsidRPr="00742A04">
        <w:t xml:space="preserve"> </w:t>
      </w:r>
      <w:r w:rsidR="00F43124" w:rsidRPr="00742A04">
        <w:t>pr</w:t>
      </w:r>
      <w:r w:rsidR="00F43124" w:rsidRPr="00742A04">
        <w:t>o</w:t>
      </w:r>
      <w:r w:rsidR="00F43124" w:rsidRPr="00742A04">
        <w:t>grama</w:t>
      </w:r>
      <w:r w:rsidR="00545D1B" w:rsidRPr="00742A04">
        <w:t xml:space="preserve">s </w:t>
      </w:r>
      <w:r w:rsidR="0081178E" w:rsidRPr="00742A04">
        <w:t>son</w:t>
      </w:r>
      <w:r w:rsidR="00545D1B" w:rsidRPr="00742A04">
        <w:t xml:space="preserve"> </w:t>
      </w:r>
      <w:r w:rsidR="0081178E" w:rsidRPr="00742A04">
        <w:t>la terapia colectiva</w:t>
      </w:r>
      <w:r w:rsidR="00545D1B" w:rsidRPr="00742A04">
        <w:t xml:space="preserve"> </w:t>
      </w:r>
      <w:r w:rsidR="00D52339" w:rsidRPr="00742A04">
        <w:t>sobre la base de</w:t>
      </w:r>
      <w:r w:rsidR="0081178E" w:rsidRPr="00742A04">
        <w:t>l modelo de</w:t>
      </w:r>
      <w:r w:rsidR="00545D1B" w:rsidRPr="00742A04">
        <w:t xml:space="preserve"> Al</w:t>
      </w:r>
      <w:r w:rsidR="0081178E" w:rsidRPr="00742A04">
        <w:t>ternativa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Viole</w:t>
      </w:r>
      <w:r w:rsidR="00A05847" w:rsidRPr="00742A04">
        <w:t>n</w:t>
      </w:r>
      <w:r w:rsidR="00A05847" w:rsidRPr="00742A04">
        <w:t>cia</w:t>
      </w:r>
      <w:r w:rsidR="00545D1B" w:rsidRPr="00742A04">
        <w:t xml:space="preserve">, </w:t>
      </w:r>
      <w:r w:rsidR="0081178E" w:rsidRPr="00742A04">
        <w:t>grupos</w:t>
      </w:r>
      <w:r w:rsidR="00545D1B" w:rsidRPr="00742A04">
        <w:t xml:space="preserve"> </w:t>
      </w:r>
      <w:r w:rsidR="0081178E" w:rsidRPr="00742A04">
        <w:t xml:space="preserve">de gestión del </w:t>
      </w:r>
      <w:r w:rsidR="00EF5B12" w:rsidRPr="00742A04">
        <w:t>estrés</w:t>
      </w:r>
      <w:r w:rsidR="00EF5B12">
        <w:t xml:space="preserve"> </w:t>
      </w:r>
      <w:r w:rsidR="00EF5B12" w:rsidRPr="00742A04">
        <w:t>y</w:t>
      </w:r>
      <w:r w:rsidR="00545D1B" w:rsidRPr="00742A04">
        <w:t xml:space="preserve"> </w:t>
      </w:r>
      <w:r w:rsidR="0081178E" w:rsidRPr="00742A04">
        <w:t>grupos de ge</w:t>
      </w:r>
      <w:r w:rsidR="0081178E" w:rsidRPr="00742A04">
        <w:t>s</w:t>
      </w:r>
      <w:r w:rsidR="0081178E" w:rsidRPr="00742A04">
        <w:t>tión de la agresividad</w:t>
      </w:r>
      <w:r w:rsidR="00545D1B" w:rsidRPr="00742A04">
        <w:t>.</w:t>
      </w:r>
    </w:p>
    <w:p w:rsidR="00545D1B" w:rsidRPr="00742A04" w:rsidRDefault="00495D7B" w:rsidP="009B5DA3">
      <w:pPr>
        <w:pStyle w:val="SingleTxt"/>
        <w:ind w:firstLine="475"/>
      </w:pPr>
      <w:r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1178E" w:rsidRPr="00742A04">
        <w:t>las enseñanzas obtenidas</w:t>
      </w:r>
      <w:r w:rsidR="00545D1B" w:rsidRPr="00742A04">
        <w:t xml:space="preserve"> </w:t>
      </w:r>
      <w:r w:rsidR="0081178E" w:rsidRPr="00742A04">
        <w:t>es que los hombres</w:t>
      </w:r>
      <w:r w:rsidR="00545D1B" w:rsidRPr="00742A04">
        <w:t xml:space="preserve"> </w:t>
      </w:r>
      <w:r w:rsidR="0081178E" w:rsidRPr="00742A04">
        <w:t>no se sienten</w:t>
      </w:r>
      <w:r w:rsidR="00545D1B" w:rsidRPr="00742A04">
        <w:t xml:space="preserve"> </w:t>
      </w:r>
      <w:r w:rsidR="0081178E" w:rsidRPr="00742A04">
        <w:t>poderosos</w:t>
      </w:r>
      <w:r w:rsidR="00545D1B" w:rsidRPr="00742A04">
        <w:t xml:space="preserve"> </w:t>
      </w:r>
      <w:r w:rsidR="003C25BF" w:rsidRPr="00742A04">
        <w:t>cuando</w:t>
      </w:r>
      <w:r w:rsidR="0081178E" w:rsidRPr="00742A04">
        <w:t xml:space="preserve"> </w:t>
      </w:r>
      <w:r w:rsidR="00544B38" w:rsidRPr="00742A04">
        <w:t>recurren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violencia</w:t>
      </w:r>
      <w:r w:rsidR="00545D1B" w:rsidRPr="00742A04">
        <w:t xml:space="preserve"> – </w:t>
      </w:r>
      <w:r w:rsidR="0081178E" w:rsidRPr="00742A04">
        <w:t>se sienten</w:t>
      </w:r>
      <w:r w:rsidR="00545D1B" w:rsidRPr="00742A04">
        <w:t xml:space="preserve"> </w:t>
      </w:r>
      <w:r w:rsidR="0081178E" w:rsidRPr="00742A04">
        <w:t>impotentes</w:t>
      </w:r>
      <w:r w:rsidR="00545D1B" w:rsidRPr="00742A04">
        <w:t xml:space="preserve">. </w:t>
      </w:r>
      <w:r w:rsidR="0081178E" w:rsidRPr="00742A04">
        <w:t>Otro</w:t>
      </w:r>
      <w:r w:rsidR="00545D1B" w:rsidRPr="00742A04">
        <w:t xml:space="preserve"> </w:t>
      </w:r>
      <w:r w:rsidR="00544B38" w:rsidRPr="00742A04">
        <w:t>aspecto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912890" w:rsidRPr="00742A04">
        <w:t>negación d</w:t>
      </w:r>
      <w:r w:rsidR="004A0730" w:rsidRPr="00742A04">
        <w:t>e</w:t>
      </w:r>
      <w:r w:rsidR="00545D1B" w:rsidRPr="00742A04">
        <w:t xml:space="preserve"> </w:t>
      </w:r>
      <w:r w:rsidR="008E5EBF" w:rsidRPr="00742A04">
        <w:t>responsabilidad</w:t>
      </w:r>
      <w:r w:rsidR="00545D1B" w:rsidRPr="00742A04">
        <w:t xml:space="preserve"> – </w:t>
      </w:r>
      <w:r w:rsidR="00912890" w:rsidRPr="00742A04">
        <w:t>fue</w:t>
      </w:r>
      <w:r w:rsidR="00545D1B" w:rsidRPr="00742A04">
        <w:t xml:space="preserve"> </w:t>
      </w:r>
      <w:r w:rsidR="00AD5494" w:rsidRPr="00742A04">
        <w:t>su pareja</w:t>
      </w:r>
      <w:r w:rsidR="00545D1B" w:rsidRPr="00742A04">
        <w:t xml:space="preserve"> </w:t>
      </w:r>
      <w:r w:rsidR="00912890" w:rsidRPr="00742A04">
        <w:t>quien la inició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12890" w:rsidRPr="00742A04">
        <w:t>quien tiene la culpa</w:t>
      </w:r>
      <w:r w:rsidR="00545D1B" w:rsidRPr="00742A04">
        <w:t xml:space="preserve">. </w:t>
      </w:r>
      <w:r w:rsidR="00CF2F77" w:rsidRPr="00742A04">
        <w:t>Es</w:t>
      </w:r>
      <w:r w:rsidR="00545D1B" w:rsidRPr="00742A04">
        <w:t xml:space="preserve"> </w:t>
      </w:r>
      <w:r w:rsidR="007E0DFE" w:rsidRPr="00742A04">
        <w:t>esencial</w:t>
      </w:r>
      <w:r w:rsidR="00545D1B" w:rsidRPr="00742A04">
        <w:t xml:space="preserve"> </w:t>
      </w:r>
      <w:r w:rsidR="00912890" w:rsidRPr="00742A04">
        <w:t>que esos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912890" w:rsidRPr="00742A04">
        <w:t>aprendan a asumir la</w:t>
      </w:r>
      <w:r w:rsidR="00545D1B" w:rsidRPr="00742A04">
        <w:t xml:space="preserve"> </w:t>
      </w:r>
      <w:r w:rsidR="008E5EBF" w:rsidRPr="00742A04">
        <w:t>responsabilidad</w:t>
      </w:r>
      <w:r w:rsidR="00545D1B" w:rsidRPr="00742A04">
        <w:t xml:space="preserve"> </w:t>
      </w:r>
      <w:r w:rsidR="00912890" w:rsidRPr="00742A04">
        <w:t>por sus acciones</w:t>
      </w:r>
      <w:r w:rsidR="00545D1B" w:rsidRPr="00742A04">
        <w:t xml:space="preserve">, </w:t>
      </w:r>
      <w:r w:rsidR="00024DBC" w:rsidRPr="00742A04">
        <w:t>y que</w:t>
      </w:r>
      <w:r w:rsidR="00545D1B" w:rsidRPr="00742A04">
        <w:t xml:space="preserve"> </w:t>
      </w:r>
      <w:r w:rsidR="00912890" w:rsidRPr="00742A04">
        <w:t>se formen una</w:t>
      </w:r>
      <w:r w:rsidR="00545D1B" w:rsidRPr="00742A04">
        <w:t xml:space="preserve"> </w:t>
      </w:r>
      <w:r w:rsidR="00242371" w:rsidRPr="00742A04">
        <w:t>diferente</w:t>
      </w:r>
      <w:r w:rsidR="00545D1B" w:rsidRPr="00742A04">
        <w:t xml:space="preserve"> </w:t>
      </w:r>
      <w:r w:rsidR="00912890" w:rsidRPr="00742A04">
        <w:t>percepción</w:t>
      </w:r>
      <w:r w:rsidR="00545D1B" w:rsidRPr="00742A04">
        <w:t xml:space="preserve"> </w:t>
      </w:r>
      <w:r w:rsidR="00912890" w:rsidRPr="00742A04">
        <w:t>de la mujer</w:t>
      </w:r>
      <w:r w:rsidR="00545D1B" w:rsidRPr="00742A04">
        <w:t xml:space="preserve">. </w:t>
      </w:r>
      <w:r w:rsidR="00912890" w:rsidRPr="00742A04">
        <w:t>Y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912890" w:rsidRPr="00742A04">
        <w:t>que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912890" w:rsidRPr="00742A04">
        <w:t>mi</w:t>
      </w:r>
      <w:r w:rsidR="00912890" w:rsidRPr="00742A04">
        <w:t>s</w:t>
      </w:r>
      <w:r w:rsidR="00912890" w:rsidRPr="00742A04">
        <w:t>mos</w:t>
      </w:r>
      <w:r w:rsidR="00545D1B" w:rsidRPr="00742A04">
        <w:t xml:space="preserve">, </w:t>
      </w:r>
      <w:r w:rsidR="00912890" w:rsidRPr="00742A04">
        <w:t>merced a</w:t>
      </w:r>
      <w:r w:rsidR="00545D1B" w:rsidRPr="00742A04">
        <w:t xml:space="preserve"> </w:t>
      </w:r>
      <w:r w:rsidR="00587443" w:rsidRPr="00742A04">
        <w:t>di</w:t>
      </w:r>
      <w:r w:rsidR="00912890" w:rsidRPr="00742A04">
        <w:t>versa</w:t>
      </w:r>
      <w:r w:rsidR="00587443" w:rsidRPr="00742A04">
        <w:t>s</w:t>
      </w:r>
      <w:r w:rsidR="00545D1B" w:rsidRPr="00742A04">
        <w:t xml:space="preserve"> </w:t>
      </w:r>
      <w:r w:rsidR="00912890" w:rsidRPr="00742A04">
        <w:t>medidas de elevación d</w:t>
      </w:r>
      <w:r w:rsidR="00B31D97" w:rsidRPr="00742A04">
        <w:t>el nivel de conciencia</w:t>
      </w:r>
      <w:r w:rsidR="00545D1B" w:rsidRPr="00742A04">
        <w:t xml:space="preserve">, </w:t>
      </w:r>
      <w:r w:rsidR="00912890" w:rsidRPr="00742A04">
        <w:t>aprendan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con</w:t>
      </w:r>
      <w:r w:rsidR="00912890" w:rsidRPr="00742A04">
        <w:t>de</w:t>
      </w:r>
      <w:r w:rsidR="00545D1B" w:rsidRPr="00742A04">
        <w:t>n</w:t>
      </w:r>
      <w:r w:rsidR="00912890" w:rsidRPr="00742A04">
        <w:t>ar el</w:t>
      </w:r>
      <w:r w:rsidR="00545D1B" w:rsidRPr="00742A04">
        <w:t xml:space="preserve"> </w:t>
      </w:r>
      <w:r w:rsidR="00912890" w:rsidRPr="00742A04">
        <w:t>uso de la violencia por parte de otros</w:t>
      </w:r>
      <w:r w:rsidR="00C076F2" w:rsidRPr="00742A04">
        <w:t xml:space="preserve"> </w:t>
      </w:r>
      <w:r w:rsidR="007E0DFE" w:rsidRPr="00742A04">
        <w:t>ho</w:t>
      </w:r>
      <w:r w:rsidR="007E0DFE" w:rsidRPr="00742A04">
        <w:t>m</w:t>
      </w:r>
      <w:r w:rsidR="007E0DFE" w:rsidRPr="00742A04">
        <w:t>bres</w:t>
      </w:r>
      <w:r w:rsidR="00545D1B" w:rsidRPr="00742A04">
        <w:t>.</w:t>
      </w:r>
    </w:p>
    <w:p w:rsidR="00545D1B" w:rsidRPr="00742A04" w:rsidRDefault="00912890" w:rsidP="009B5DA3">
      <w:pPr>
        <w:pStyle w:val="SingleTxt"/>
        <w:ind w:firstLine="475"/>
      </w:pPr>
      <w:r w:rsidRPr="00742A04">
        <w:t>Como forma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2E16" w:rsidRPr="00742A04">
        <w:t>prevenir</w:t>
      </w:r>
      <w:r w:rsidRPr="00742A04">
        <w:t xml:space="preserve"> la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ayudar a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A826CB" w:rsidRPr="00742A04">
        <w:rPr>
          <w:i/>
        </w:rPr>
        <w:t xml:space="preserve">antes </w:t>
      </w:r>
      <w:r w:rsidR="00A826CB" w:rsidRPr="00742A04">
        <w:t>de</w:t>
      </w:r>
      <w:r w:rsidR="00545D1B" w:rsidRPr="00742A04">
        <w:t xml:space="preserve"> </w:t>
      </w:r>
      <w:r w:rsidR="005E3714">
        <w:t xml:space="preserve">que </w:t>
      </w:r>
      <w:r w:rsidRPr="00742A04">
        <w:t>ll</w:t>
      </w:r>
      <w:r w:rsidRPr="00742A04">
        <w:t>e</w:t>
      </w:r>
      <w:r w:rsidRPr="00742A04">
        <w:t>g</w:t>
      </w:r>
      <w:r w:rsidR="005E3714">
        <w:t>uen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etapa en que</w:t>
      </w:r>
      <w:r w:rsidR="00545D1B" w:rsidRPr="00742A04">
        <w:t xml:space="preserve"> </w:t>
      </w:r>
      <w:r w:rsidR="00544B38" w:rsidRPr="00742A04">
        <w:t>recurren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violencia</w:t>
      </w:r>
      <w:r w:rsidR="00545D1B" w:rsidRPr="00742A04">
        <w:t xml:space="preserve">, </w:t>
      </w:r>
      <w:r w:rsidR="008F0C8E" w:rsidRPr="00742A04">
        <w:t>el Gobierno</w:t>
      </w:r>
      <w:r w:rsidR="00545D1B" w:rsidRPr="00742A04">
        <w:t xml:space="preserve"> </w:t>
      </w:r>
      <w:r w:rsidRPr="00742A04">
        <w:t>aporta</w:t>
      </w:r>
      <w:r w:rsidR="00545D1B" w:rsidRPr="00742A04">
        <w:t xml:space="preserve"> </w:t>
      </w:r>
      <w:r w:rsidR="006B65CD" w:rsidRPr="00742A04">
        <w:t>financiación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el Centro</w:t>
      </w:r>
      <w:r w:rsidR="001A3EBF" w:rsidRPr="00742A04">
        <w:t xml:space="preserve"> de Recursos para </w:t>
      </w:r>
      <w:r w:rsidRPr="00742A04">
        <w:t>los H</w:t>
      </w:r>
      <w:r w:rsidR="005C6D40" w:rsidRPr="00742A04">
        <w:t>ombres</w:t>
      </w:r>
      <w:r w:rsidR="00545D1B" w:rsidRPr="00742A04">
        <w:t xml:space="preserve"> (REFORM). REFORM </w:t>
      </w:r>
      <w:r w:rsidRPr="00742A04">
        <w:t>ha elaborado</w:t>
      </w:r>
      <w:r w:rsidR="00545D1B" w:rsidRPr="00742A04">
        <w:t xml:space="preserve"> </w:t>
      </w:r>
      <w:r w:rsidR="003C25BF" w:rsidRPr="00742A04">
        <w:t>pr</w:t>
      </w:r>
      <w:r w:rsidR="003C25BF" w:rsidRPr="00742A04">
        <w:t>o</w:t>
      </w:r>
      <w:r w:rsidR="003C25BF" w:rsidRPr="00742A04">
        <w:t>puesta</w:t>
      </w:r>
      <w:r w:rsidR="00545D1B" w:rsidRPr="00742A04">
        <w:t xml:space="preserve">s </w:t>
      </w:r>
      <w:r w:rsidRPr="00742A04">
        <w:t>de</w:t>
      </w:r>
      <w:r w:rsidR="00502E16" w:rsidRPr="00742A04">
        <w:t xml:space="preserve"> formas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 w:rsidR="00DD5E1A" w:rsidRPr="00742A04">
        <w:t>el 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violencia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Pr="00742A04">
        <w:t>más</w:t>
      </w:r>
      <w:r w:rsidR="00545D1B" w:rsidRPr="00742A04">
        <w:t xml:space="preserve"> informa</w:t>
      </w:r>
      <w:r w:rsidR="00935A90" w:rsidRPr="00742A04">
        <w:t>ción,</w:t>
      </w:r>
      <w:r w:rsidR="00545D1B" w:rsidRPr="00742A04">
        <w:t xml:space="preserve"> </w:t>
      </w:r>
      <w:r w:rsidRPr="00742A04">
        <w:t>véase</w:t>
      </w:r>
      <w:r w:rsidR="00545D1B" w:rsidRPr="00742A04">
        <w:t xml:space="preserve"> </w:t>
      </w:r>
      <w:r w:rsidR="00CD2FF0" w:rsidRPr="00742A04">
        <w:t>la se</w:t>
      </w:r>
      <w:r w:rsidR="00CD2FF0" w:rsidRPr="00742A04">
        <w:t>c</w:t>
      </w:r>
      <w:r w:rsidR="00CD2FF0" w:rsidRPr="00742A04">
        <w:t>ción</w:t>
      </w:r>
      <w:r w:rsidR="00C14BFF" w:rsidRPr="00742A04">
        <w:t xml:space="preserve"> </w:t>
      </w:r>
      <w:r w:rsidR="005E3714">
        <w:t>relativa al</w:t>
      </w:r>
      <w:r w:rsidR="00552048" w:rsidRPr="00742A04">
        <w:t xml:space="preserve"> artículo</w:t>
      </w:r>
      <w:r w:rsidR="00545D1B" w:rsidRPr="00742A04">
        <w:t xml:space="preserve"> </w:t>
      </w:r>
      <w:smartTag w:uri="urn:schemas-microsoft-com:office:smarttags" w:element="metricconverter">
        <w:smartTagPr>
          <w:attr w:name="ProductID" w:val="5 a"/>
        </w:smartTagPr>
        <w:r w:rsidR="00545D1B" w:rsidRPr="00742A04">
          <w:t xml:space="preserve">5 </w:t>
        </w:r>
        <w:r w:rsidR="00545D1B" w:rsidRPr="00742A04">
          <w:rPr>
            <w:i/>
          </w:rPr>
          <w:t>a</w:t>
        </w:r>
      </w:smartTag>
      <w:r w:rsidR="00545D1B" w:rsidRPr="00742A04">
        <w:t>.</w:t>
      </w:r>
    </w:p>
    <w:p w:rsidR="00545D1B" w:rsidRPr="00742A04" w:rsidRDefault="005E603B" w:rsidP="00831F07">
      <w:pPr>
        <w:pStyle w:val="SingleTxt"/>
        <w:keepNext/>
        <w:jc w:val="left"/>
        <w:rPr>
          <w:b/>
        </w:rPr>
      </w:pPr>
      <w:r w:rsidRPr="00742A04">
        <w:rPr>
          <w:b/>
        </w:rPr>
        <w:t xml:space="preserve">Niños </w:t>
      </w:r>
      <w:r w:rsidR="00E574AD" w:rsidRPr="00742A04">
        <w:rPr>
          <w:b/>
        </w:rPr>
        <w:t>víctimas de la violencia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545D1B" w:rsidRPr="00742A04">
        <w:rPr>
          <w:b/>
        </w:rPr>
        <w:t xml:space="preserve"> </w:t>
      </w:r>
      <w:r w:rsidR="002F3238" w:rsidRPr="00742A04">
        <w:rPr>
          <w:b/>
        </w:rPr>
        <w:t>niños</w:t>
      </w:r>
      <w:r w:rsidR="00545D1B" w:rsidRPr="00742A04">
        <w:rPr>
          <w:b/>
        </w:rPr>
        <w:t xml:space="preserve"> </w:t>
      </w:r>
      <w:r w:rsidR="003E5775" w:rsidRPr="00742A04">
        <w:rPr>
          <w:b/>
        </w:rPr>
        <w:t>que</w:t>
      </w:r>
      <w:r w:rsidR="00912890" w:rsidRPr="00742A04">
        <w:rPr>
          <w:b/>
        </w:rPr>
        <w:br/>
      </w:r>
      <w:r w:rsidR="00831F07" w:rsidRPr="00742A04">
        <w:rPr>
          <w:b/>
        </w:rPr>
        <w:t>presencian</w:t>
      </w:r>
      <w:r w:rsidR="00912890" w:rsidRPr="00742A04">
        <w:rPr>
          <w:b/>
        </w:rPr>
        <w:t xml:space="preserve"> </w:t>
      </w:r>
      <w:r w:rsidRPr="00742A04">
        <w:rPr>
          <w:b/>
        </w:rPr>
        <w:t>actos de violencia</w:t>
      </w:r>
      <w:r w:rsidR="00CB2022" w:rsidRPr="00742A04">
        <w:rPr>
          <w:b/>
        </w:rPr>
        <w:t xml:space="preserve"> domé</w:t>
      </w:r>
      <w:r w:rsidR="00CB2022" w:rsidRPr="00742A04">
        <w:rPr>
          <w:b/>
        </w:rPr>
        <w:t>s</w:t>
      </w:r>
      <w:r w:rsidR="00CB2022" w:rsidRPr="00742A04">
        <w:rPr>
          <w:b/>
        </w:rPr>
        <w:t>tica</w:t>
      </w:r>
    </w:p>
    <w:p w:rsidR="00545D1B" w:rsidRPr="00742A04" w:rsidRDefault="004D313C" w:rsidP="009B5DA3">
      <w:pPr>
        <w:pStyle w:val="SingleTxt"/>
        <w:ind w:firstLine="475"/>
      </w:pPr>
      <w:r w:rsidRPr="00742A04">
        <w:t>Varios</w:t>
      </w:r>
      <w:r w:rsidR="00545D1B" w:rsidRPr="00742A04">
        <w:t xml:space="preserve"> </w:t>
      </w:r>
      <w:r w:rsidR="00603216" w:rsidRPr="00742A04">
        <w:t>ministerios</w:t>
      </w:r>
      <w:r w:rsidR="00545D1B" w:rsidRPr="00742A04">
        <w:t xml:space="preserve"> </w:t>
      </w:r>
      <w:r w:rsidR="00912890" w:rsidRPr="00742A04">
        <w:t>participan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502E16" w:rsidRPr="00742A04">
        <w:t>prevenir</w:t>
      </w:r>
      <w:r w:rsidR="00545D1B" w:rsidRPr="00742A04">
        <w:t xml:space="preserve"> </w:t>
      </w:r>
      <w:r w:rsidR="00912890" w:rsidRPr="00742A04">
        <w:t xml:space="preserve">la </w:t>
      </w:r>
      <w:r w:rsidR="00A05847" w:rsidRPr="00742A04">
        <w:t>violencia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>, inclu</w:t>
      </w:r>
      <w:r w:rsidR="00912890" w:rsidRPr="00742A04">
        <w:t>ida la situación de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E603B" w:rsidRPr="00742A04">
        <w:t>presencian actos de violencia</w:t>
      </w:r>
      <w:r w:rsidR="00CB2022" w:rsidRPr="00742A04">
        <w:t xml:space="preserve"> d</w:t>
      </w:r>
      <w:r w:rsidR="00CB2022" w:rsidRPr="00742A04">
        <w:t>o</w:t>
      </w:r>
      <w:r w:rsidR="00CB2022" w:rsidRPr="00742A04">
        <w:t>méstica</w:t>
      </w:r>
      <w:r w:rsidR="00545D1B" w:rsidRPr="00742A04">
        <w:t xml:space="preserve">. </w:t>
      </w:r>
      <w:r w:rsidR="00912890" w:rsidRPr="00742A04">
        <w:t>Ese</w:t>
      </w:r>
      <w:r w:rsidR="00116976" w:rsidRPr="00742A04">
        <w:t xml:space="preserve"> trabajo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coord</w:t>
      </w:r>
      <w:r w:rsidR="00545D1B" w:rsidRPr="00742A04">
        <w:t>i</w:t>
      </w:r>
      <w:r w:rsidR="00545D1B" w:rsidRPr="00742A04">
        <w:t>na</w:t>
      </w:r>
      <w:r w:rsidR="00912890" w:rsidRPr="00742A04">
        <w:t xml:space="preserve">do </w:t>
      </w:r>
      <w:r w:rsidR="001167D2" w:rsidRPr="00742A04">
        <w:t>por</w:t>
      </w:r>
      <w:r w:rsidR="00545D1B" w:rsidRPr="00742A04">
        <w:t xml:space="preserve"> </w:t>
      </w:r>
      <w:r w:rsidR="004A0730"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>.</w:t>
      </w:r>
    </w:p>
    <w:p w:rsidR="00545D1B" w:rsidRPr="00742A04" w:rsidRDefault="00495D7B" w:rsidP="009B5DA3">
      <w:pPr>
        <w:pStyle w:val="SingleTxt"/>
        <w:ind w:firstLine="475"/>
      </w:pPr>
      <w:r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C39D4" w:rsidRPr="00742A04">
        <w:t>las medidas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77058E" w:rsidRPr="00742A04">
        <w:t>un proyecto</w:t>
      </w:r>
      <w:r w:rsidR="00545D1B" w:rsidRPr="00742A04">
        <w:t xml:space="preserve"> </w:t>
      </w:r>
      <w:r w:rsidR="00912890" w:rsidRPr="00742A04">
        <w:t>denominado</w:t>
      </w:r>
      <w:r w:rsidR="00545D1B" w:rsidRPr="00742A04">
        <w:t xml:space="preserve"> </w:t>
      </w:r>
      <w:r w:rsidR="00545D1B" w:rsidRPr="00742A04">
        <w:rPr>
          <w:i/>
        </w:rPr>
        <w:t>Barn som lever med vold i f</w:t>
      </w:r>
      <w:r w:rsidR="00545D1B" w:rsidRPr="00742A04">
        <w:rPr>
          <w:i/>
        </w:rPr>
        <w:t>a</w:t>
      </w:r>
      <w:r w:rsidR="00545D1B" w:rsidRPr="00742A04">
        <w:rPr>
          <w:i/>
        </w:rPr>
        <w:t xml:space="preserve">milien </w:t>
      </w:r>
      <w:r w:rsidR="00545D1B" w:rsidRPr="00742A04">
        <w:t>(</w:t>
      </w:r>
      <w:r w:rsidR="00912890" w:rsidRPr="00742A04">
        <w:t>“</w:t>
      </w:r>
      <w:r w:rsidR="005E603B" w:rsidRPr="00742A04">
        <w:t>Los n</w:t>
      </w:r>
      <w:r w:rsidR="002F3238" w:rsidRPr="00742A04">
        <w:t>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E603B" w:rsidRPr="00742A04">
        <w:t>viven con la violencia doméstica</w:t>
      </w:r>
      <w:r w:rsidR="00912890" w:rsidRPr="00742A04">
        <w:t>”</w:t>
      </w:r>
      <w:r w:rsidR="00545D1B" w:rsidRPr="00742A04">
        <w:t xml:space="preserve">) (2004-2006), </w:t>
      </w:r>
      <w:r w:rsidR="00E575DB" w:rsidRPr="00742A04">
        <w:t>que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912890" w:rsidRPr="00742A04">
        <w:t>a</w:t>
      </w:r>
      <w:r w:rsidR="00912890" w:rsidRPr="00742A04">
        <w:t>d</w:t>
      </w:r>
      <w:r w:rsidR="00912890" w:rsidRPr="00742A04">
        <w:t>ministrado conjuntamente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912890" w:rsidRPr="00742A04">
        <w:t>la</w:t>
      </w:r>
      <w:r w:rsidR="00545D1B" w:rsidRPr="00742A04">
        <w:t xml:space="preserve"> </w:t>
      </w:r>
      <w:r w:rsidR="00912890" w:rsidRPr="00742A04">
        <w:t>organización Alternativa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912890" w:rsidRPr="00742A04">
        <w:t>Violencia</w:t>
      </w:r>
      <w:r w:rsidR="00545D1B" w:rsidRPr="00742A04">
        <w:t xml:space="preserve"> </w:t>
      </w:r>
      <w:r w:rsidR="00912890" w:rsidRPr="00742A04">
        <w:t>en</w:t>
      </w:r>
      <w:r w:rsidR="00545D1B" w:rsidRPr="00742A04">
        <w:t xml:space="preserve"> Oslo </w:t>
      </w:r>
      <w:r w:rsidR="00877AA0" w:rsidRPr="00742A04">
        <w:t>y</w:t>
      </w:r>
      <w:r w:rsidR="00545D1B" w:rsidRPr="00742A04">
        <w:t xml:space="preserve"> Telemark </w:t>
      </w:r>
      <w:r w:rsidR="00877AA0" w:rsidRPr="00742A04">
        <w:t>y</w:t>
      </w:r>
      <w:r w:rsidR="00545D1B" w:rsidRPr="00742A04">
        <w:t xml:space="preserve"> </w:t>
      </w:r>
      <w:r w:rsidR="00912890" w:rsidRPr="00742A04">
        <w:t>el Centro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912890" w:rsidRPr="00742A04">
        <w:t>la Psicología de las Crisis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Bergen. </w:t>
      </w:r>
      <w:r w:rsidR="00912890" w:rsidRPr="00742A04">
        <w:t>Los destinatarios de</w:t>
      </w:r>
      <w:r w:rsidR="002213CF" w:rsidRPr="00742A04">
        <w:t>l proyecto</w:t>
      </w:r>
      <w:r w:rsidR="00545D1B" w:rsidRPr="00742A04">
        <w:t xml:space="preserve"> </w:t>
      </w:r>
      <w:r w:rsidR="00912890" w:rsidRPr="00742A04">
        <w:t>son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912890" w:rsidRPr="00742A04">
        <w:t>están</w:t>
      </w:r>
      <w:r w:rsidR="00545D1B" w:rsidRPr="00742A04">
        <w:t xml:space="preserve"> </w:t>
      </w:r>
      <w:r w:rsidR="005D2D07" w:rsidRPr="00742A04">
        <w:t>ex</w:t>
      </w:r>
      <w:r w:rsidR="00912890" w:rsidRPr="00742A04">
        <w:t>puesto</w:t>
      </w:r>
      <w:r w:rsidR="005D2D07" w:rsidRPr="00742A04">
        <w:t>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>violencia</w:t>
      </w:r>
      <w:r w:rsidR="00912890" w:rsidRPr="00742A04">
        <w:t>,</w:t>
      </w:r>
      <w:r w:rsidR="00545D1B" w:rsidRPr="00742A04">
        <w:t xml:space="preserve"> </w:t>
      </w:r>
      <w:r w:rsidR="00912890" w:rsidRPr="00742A04">
        <w:t>sea como testigos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12890" w:rsidRPr="00742A04">
        <w:t xml:space="preserve">la </w:t>
      </w:r>
      <w:r w:rsidR="00CB2022" w:rsidRPr="00742A04">
        <w:t>violencia doméstica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9111AD" w:rsidRPr="00742A04">
        <w:t>como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311327" w:rsidRPr="00742A04">
        <w:t>violencia física</w:t>
      </w:r>
      <w:r w:rsidR="00545D1B" w:rsidRPr="00742A04">
        <w:t xml:space="preserve">. </w:t>
      </w:r>
      <w:r w:rsidR="002213CF" w:rsidRPr="00742A04">
        <w:t>El proyecto</w:t>
      </w:r>
      <w:r w:rsidR="00545D1B" w:rsidRPr="00742A04">
        <w:t xml:space="preserve"> </w:t>
      </w:r>
      <w:r w:rsidR="009111AD" w:rsidRPr="00742A04">
        <w:t>ti</w:t>
      </w:r>
      <w:r w:rsidR="009111AD" w:rsidRPr="00742A04">
        <w:t>e</w:t>
      </w:r>
      <w:r w:rsidR="009111AD" w:rsidRPr="00742A04">
        <w:t>ne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co</w:t>
      </w:r>
      <w:r w:rsidR="00545D1B" w:rsidRPr="00742A04">
        <w:t>m</w:t>
      </w:r>
      <w:r w:rsidR="00545D1B" w:rsidRPr="00742A04">
        <w:t>ponent</w:t>
      </w:r>
      <w:r w:rsidR="009111AD" w:rsidRPr="00742A04">
        <w:t>e</w:t>
      </w:r>
      <w:r w:rsidR="00545D1B" w:rsidRPr="00742A04">
        <w:t>s</w:t>
      </w:r>
      <w:r w:rsidR="009111AD" w:rsidRPr="00742A04">
        <w:t xml:space="preserve"> principales</w:t>
      </w:r>
      <w:r w:rsidR="00545D1B" w:rsidRPr="00742A04">
        <w:t>:</w:t>
      </w:r>
    </w:p>
    <w:p w:rsidR="00545D1B" w:rsidRPr="00742A04" w:rsidRDefault="009111AD" w:rsidP="009111AD">
      <w:pPr>
        <w:pStyle w:val="SingleTxt"/>
        <w:numPr>
          <w:ilvl w:val="0"/>
          <w:numId w:val="45"/>
        </w:numPr>
      </w:pPr>
      <w:r w:rsidRPr="00742A04">
        <w:rPr>
          <w:i/>
        </w:rPr>
        <w:t>Servicios clínicos</w:t>
      </w:r>
      <w:r w:rsidR="00545D1B" w:rsidRPr="00742A04">
        <w:t xml:space="preserve">. </w:t>
      </w:r>
      <w:r w:rsidRPr="00742A04">
        <w:t>Mediante</w:t>
      </w:r>
      <w:r w:rsidR="00545D1B" w:rsidRPr="00742A04">
        <w:t xml:space="preserve"> </w:t>
      </w:r>
      <w:r w:rsidRPr="00742A04">
        <w:t>el</w:t>
      </w:r>
      <w:r w:rsidR="002213CF" w:rsidRPr="00742A04">
        <w:t xml:space="preserve"> proyecto</w:t>
      </w:r>
      <w:r w:rsidR="00545D1B" w:rsidRPr="00742A04">
        <w:t xml:space="preserve">, </w:t>
      </w:r>
      <w:r w:rsidRPr="00742A04">
        <w:t>se brindan servicios clínicos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F3238" w:rsidRPr="00742A04">
        <w:t>niños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 xml:space="preserve">parte de </w:t>
      </w:r>
      <w:r w:rsidR="00912890" w:rsidRPr="00742A04">
        <w:t>Alternativa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912890" w:rsidRPr="00742A04">
        <w:t>Violencia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Oslo </w:t>
      </w:r>
      <w:r w:rsidR="00877AA0" w:rsidRPr="00742A04">
        <w:t>y</w:t>
      </w:r>
      <w:r w:rsidR="00545D1B" w:rsidRPr="00742A04">
        <w:t xml:space="preserve"> </w:t>
      </w:r>
      <w:r w:rsidR="00912890" w:rsidRPr="00742A04">
        <w:t>Alternat</w:t>
      </w:r>
      <w:r w:rsidR="00912890" w:rsidRPr="00742A04">
        <w:t>i</w:t>
      </w:r>
      <w:r w:rsidR="00912890" w:rsidRPr="00742A04">
        <w:t>va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912890" w:rsidRPr="00742A04">
        <w:t>Violencia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Telemark </w:t>
      </w:r>
      <w:r w:rsidR="00877AA0" w:rsidRPr="00742A04">
        <w:t>y</w:t>
      </w:r>
      <w:r w:rsidR="00545D1B" w:rsidRPr="00742A04">
        <w:t xml:space="preserve"> </w:t>
      </w:r>
      <w:r w:rsidRPr="00742A04">
        <w:t>d</w:t>
      </w:r>
      <w:r w:rsidR="00912890" w:rsidRPr="00742A04">
        <w:t>el Centro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912890" w:rsidRPr="00742A04">
        <w:t>la Psicología de las Crisis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Bergen.</w:t>
      </w:r>
    </w:p>
    <w:p w:rsidR="00545D1B" w:rsidRPr="00742A04" w:rsidRDefault="009111AD" w:rsidP="009111AD">
      <w:pPr>
        <w:pStyle w:val="SingleTxt"/>
        <w:numPr>
          <w:ilvl w:val="0"/>
          <w:numId w:val="45"/>
        </w:numPr>
      </w:pPr>
      <w:r w:rsidRPr="00742A04">
        <w:rPr>
          <w:i/>
        </w:rPr>
        <w:t>I</w:t>
      </w:r>
      <w:r w:rsidR="00E542AA" w:rsidRPr="00742A04">
        <w:rPr>
          <w:i/>
        </w:rPr>
        <w:t>ncremento de</w:t>
      </w:r>
      <w:r w:rsidR="00545D1B" w:rsidRPr="00742A04">
        <w:rPr>
          <w:i/>
        </w:rPr>
        <w:t xml:space="preserve"> </w:t>
      </w:r>
      <w:r w:rsidRPr="00742A04">
        <w:rPr>
          <w:i/>
        </w:rPr>
        <w:t>la base de conocimientos</w:t>
      </w:r>
      <w:r w:rsidR="00545D1B" w:rsidRPr="00742A04">
        <w:rPr>
          <w:i/>
        </w:rPr>
        <w:t xml:space="preserve"> </w:t>
      </w:r>
      <w:r w:rsidRPr="00742A04">
        <w:rPr>
          <w:i/>
        </w:rPr>
        <w:t>difundiendo</w:t>
      </w:r>
      <w:r w:rsidR="00545D1B" w:rsidRPr="00742A04">
        <w:rPr>
          <w:i/>
        </w:rPr>
        <w:t xml:space="preserve"> informa</w:t>
      </w:r>
      <w:r w:rsidR="00C14BFF" w:rsidRPr="00742A04">
        <w:rPr>
          <w:i/>
        </w:rPr>
        <w:t xml:space="preserve">ción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pr</w:t>
      </w:r>
      <w:r w:rsidR="00545D1B" w:rsidRPr="00742A04">
        <w:rPr>
          <w:i/>
        </w:rPr>
        <w:t>o</w:t>
      </w:r>
      <w:r w:rsidRPr="00742A04">
        <w:rPr>
          <w:i/>
        </w:rPr>
        <w:t>porcionando</w:t>
      </w:r>
      <w:r w:rsidR="00545D1B" w:rsidRPr="00742A04">
        <w:rPr>
          <w:i/>
        </w:rPr>
        <w:t xml:space="preserve"> </w:t>
      </w:r>
      <w:r w:rsidR="00581775" w:rsidRPr="00742A04">
        <w:rPr>
          <w:i/>
        </w:rPr>
        <w:t>orientación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los servicios de asesoramiento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familia</w:t>
      </w:r>
      <w:r w:rsidR="00545D1B" w:rsidRPr="00742A04">
        <w:t xml:space="preserve">, </w:t>
      </w:r>
      <w:r w:rsidR="006D7D2F" w:rsidRPr="00742A04">
        <w:t>los servicios de bienestar infantil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</w:t>
      </w:r>
      <w:r w:rsidR="003E5775" w:rsidRPr="00742A04">
        <w:t>centros de crisis</w:t>
      </w:r>
      <w:r w:rsidR="00545D1B" w:rsidRPr="00742A04">
        <w:t xml:space="preserve">. </w:t>
      </w:r>
      <w:r w:rsidRPr="00742A04">
        <w:t>También se difunde i</w:t>
      </w:r>
      <w:r w:rsidR="00545D1B" w:rsidRPr="00742A04">
        <w:t>nforma</w:t>
      </w:r>
      <w:r w:rsidR="00C14BFF" w:rsidRPr="00742A04">
        <w:t xml:space="preserve">ción </w:t>
      </w:r>
      <w:r w:rsidR="0030626A" w:rsidRPr="00742A04">
        <w:t>a</w:t>
      </w:r>
      <w:r w:rsidR="00545D1B" w:rsidRPr="00742A04">
        <w:t xml:space="preserve"> </w:t>
      </w:r>
      <w:r w:rsidR="00B31D97" w:rsidRPr="00742A04">
        <w:t>los servicios</w:t>
      </w:r>
      <w:r w:rsidR="00545D1B" w:rsidRPr="00742A04">
        <w:t xml:space="preserve"> </w:t>
      </w:r>
      <w:r w:rsidRPr="00742A04">
        <w:t xml:space="preserve">psiquiátricos </w:t>
      </w:r>
      <w:r w:rsidR="00F43124" w:rsidRPr="00742A04">
        <w:t>para</w:t>
      </w:r>
      <w:r w:rsidR="00545D1B" w:rsidRPr="00742A04">
        <w:t xml:space="preserve"> </w:t>
      </w:r>
      <w:r w:rsidR="002F3238" w:rsidRPr="00742A04">
        <w:t>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24287" w:rsidRPr="00742A04">
        <w:t>jóvenes</w:t>
      </w:r>
      <w:r w:rsidR="00545D1B" w:rsidRPr="00742A04">
        <w:t>,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C59C5" w:rsidRPr="00742A04">
        <w:t>policía</w:t>
      </w:r>
      <w:r w:rsidR="00545D1B" w:rsidRPr="00742A04">
        <w:t>,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judicatura</w:t>
      </w:r>
      <w:r w:rsidR="00545D1B" w:rsidRPr="00742A04">
        <w:t xml:space="preserve">, etc. </w:t>
      </w:r>
      <w:r w:rsidRPr="00742A04">
        <w:t>Se han diseñado m</w:t>
      </w:r>
      <w:r w:rsidR="00545D1B" w:rsidRPr="00742A04">
        <w:t>aterial</w:t>
      </w:r>
      <w:r w:rsidRPr="00742A04">
        <w:t>e</w:t>
      </w:r>
      <w:r w:rsidR="00545D1B" w:rsidRPr="00742A04">
        <w:t xml:space="preserve">s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ser </w:t>
      </w:r>
      <w:r w:rsidR="00242371" w:rsidRPr="00742A04">
        <w:t>u</w:t>
      </w:r>
      <w:r w:rsidRPr="00742A04">
        <w:t>tilizados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</w:t>
      </w:r>
      <w:r w:rsidRPr="00742A04">
        <w:t>n</w:t>
      </w:r>
      <w:r w:rsidRPr="00742A04">
        <w:t>trevistas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padres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3238" w:rsidRPr="00742A04">
        <w:t>niños</w:t>
      </w:r>
      <w:r w:rsidR="00545D1B" w:rsidRPr="00742A04">
        <w:t xml:space="preserve"> </w:t>
      </w:r>
      <w:r w:rsidRPr="00742A04">
        <w:t>en los</w:t>
      </w:r>
      <w:r w:rsidR="00545D1B" w:rsidRPr="00742A04">
        <w:t xml:space="preserve"> </w:t>
      </w:r>
      <w:r w:rsidR="003E5775" w:rsidRPr="00742A04">
        <w:t>centros de crisis</w:t>
      </w:r>
      <w:r w:rsidR="00545D1B" w:rsidRPr="00742A04">
        <w:t xml:space="preserve">. </w:t>
      </w:r>
      <w:r w:rsidRPr="00742A04">
        <w:t>Se están elaborando materiales didácticos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EF5B12" w:rsidRPr="00742A04">
        <w:t>profesional</w:t>
      </w:r>
      <w:r w:rsidR="00EF5B12">
        <w:t xml:space="preserve">es y se </w:t>
      </w:r>
      <w:r w:rsidR="00EF5B12" w:rsidRPr="00742A04">
        <w:t>está</w:t>
      </w:r>
      <w:r w:rsidR="002C189D" w:rsidRPr="00742A04">
        <w:t xml:space="preserve"> trabajando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2F3238" w:rsidRPr="00742A04">
        <w:t>niños</w:t>
      </w:r>
      <w:r w:rsidR="00545D1B" w:rsidRPr="00742A04">
        <w:t xml:space="preserve"> </w:t>
      </w:r>
      <w:r w:rsidR="00454114">
        <w:t>que viven</w:t>
      </w:r>
      <w:r w:rsidR="00545D1B" w:rsidRPr="00742A04">
        <w:t xml:space="preserve"> </w:t>
      </w:r>
      <w:r w:rsidR="004A0730" w:rsidRPr="00742A04">
        <w:t>con</w:t>
      </w:r>
      <w:r w:rsidRPr="00742A04">
        <w:t xml:space="preserve"> la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>. S</w:t>
      </w:r>
      <w:r w:rsidRPr="00742A04">
        <w:t>e ha otorgado</w:t>
      </w:r>
      <w:r w:rsidR="00545D1B" w:rsidRPr="00742A04">
        <w:t xml:space="preserve"> </w:t>
      </w:r>
      <w:r w:rsidR="006B65CD" w:rsidRPr="00742A04">
        <w:t>financiación</w:t>
      </w:r>
      <w:r w:rsidR="00545D1B" w:rsidRPr="00742A04">
        <w:t xml:space="preserve"> </w:t>
      </w:r>
      <w:r w:rsidRPr="00742A04">
        <w:t>compleme</w:t>
      </w:r>
      <w:r w:rsidRPr="00742A04">
        <w:t>n</w:t>
      </w:r>
      <w:r w:rsidRPr="00742A04">
        <w:t xml:space="preserve">taria </w:t>
      </w:r>
      <w:r w:rsidR="00F43124" w:rsidRPr="00742A04">
        <w:t>para</w:t>
      </w:r>
      <w:r w:rsidR="00545D1B" w:rsidRPr="00742A04">
        <w:t xml:space="preserve"> </w:t>
      </w:r>
      <w:r w:rsidR="002213CF" w:rsidRPr="00742A04">
        <w:t>el proyecto</w:t>
      </w:r>
      <w:r w:rsidR="00545D1B" w:rsidRPr="00742A04">
        <w:t xml:space="preserve"> </w:t>
      </w:r>
      <w:r w:rsidRPr="00742A04">
        <w:t>de elaboración de</w:t>
      </w:r>
      <w:r w:rsidR="00545D1B" w:rsidRPr="00742A04">
        <w:t xml:space="preserve"> material </w:t>
      </w:r>
      <w:r w:rsidRPr="00742A04">
        <w:t xml:space="preserve">de información </w:t>
      </w:r>
      <w:r w:rsidR="00877AA0" w:rsidRPr="00742A04">
        <w:t>y</w:t>
      </w:r>
      <w:r w:rsidR="00545D1B" w:rsidRPr="00742A04">
        <w:t xml:space="preserve"> </w:t>
      </w:r>
      <w:r w:rsidRPr="00742A04">
        <w:t>manu</w:t>
      </w:r>
      <w:r w:rsidRPr="00742A04">
        <w:t>a</w:t>
      </w:r>
      <w:r w:rsidRPr="00742A04">
        <w:t>les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E77E20" w:rsidRPr="00742A04">
        <w:t>público en general</w:t>
      </w:r>
      <w:r w:rsidR="00545D1B" w:rsidRPr="00742A04">
        <w:t xml:space="preserve">, </w:t>
      </w:r>
      <w:r w:rsidR="008B0108" w:rsidRPr="00742A04">
        <w:t>el personal de las clínicas de salud pública</w:t>
      </w:r>
      <w:r w:rsidR="00545D1B" w:rsidRPr="00742A04">
        <w:t xml:space="preserve">, </w:t>
      </w:r>
      <w:r w:rsidR="008B0108" w:rsidRPr="00742A04">
        <w:t>los maestros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B0108" w:rsidRPr="00742A04">
        <w:t>el personal de las guarderías</w:t>
      </w:r>
      <w:r w:rsidR="00545D1B" w:rsidRPr="00742A04">
        <w:t>.</w:t>
      </w:r>
    </w:p>
    <w:p w:rsidR="00545D1B" w:rsidRPr="00742A04" w:rsidRDefault="001902F8" w:rsidP="009111AD">
      <w:pPr>
        <w:pStyle w:val="SingleTxt"/>
        <w:numPr>
          <w:ilvl w:val="0"/>
          <w:numId w:val="45"/>
        </w:numPr>
        <w:rPr>
          <w:u w:val="single"/>
        </w:rPr>
      </w:pPr>
      <w:r w:rsidRPr="00742A04">
        <w:rPr>
          <w:i/>
        </w:rPr>
        <w:t>Investigación</w:t>
      </w:r>
      <w:r w:rsidR="00545D1B" w:rsidRPr="00742A04">
        <w:t xml:space="preserve">: </w:t>
      </w:r>
      <w:r w:rsidR="002213CF" w:rsidRPr="00742A04">
        <w:t>El proyecto</w:t>
      </w:r>
      <w:r w:rsidR="00545D1B" w:rsidRPr="00742A04">
        <w:t xml:space="preserve"> ha obt</w:t>
      </w:r>
      <w:r w:rsidR="008B0108" w:rsidRPr="00742A04">
        <w:t>enido</w:t>
      </w:r>
      <w:r w:rsidR="00545D1B" w:rsidRPr="00742A04">
        <w:t xml:space="preserve"> </w:t>
      </w:r>
      <w:r w:rsidR="008B0108" w:rsidRPr="00742A04">
        <w:t>aprobación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B0108" w:rsidRPr="00742A04">
        <w:t>un proyecto de i</w:t>
      </w:r>
      <w:r w:rsidR="008B0108" w:rsidRPr="00742A04">
        <w:t>n</w:t>
      </w:r>
      <w:r w:rsidR="008B0108" w:rsidRPr="00742A04">
        <w:t>vestigación</w:t>
      </w:r>
      <w:r w:rsidR="00545D1B" w:rsidRPr="00742A04">
        <w:t xml:space="preserve"> </w:t>
      </w:r>
      <w:r w:rsidR="008B0108" w:rsidRPr="00742A04">
        <w:t>denominado</w:t>
      </w:r>
      <w:r w:rsidR="00545D1B" w:rsidRPr="00742A04">
        <w:t xml:space="preserve"> </w:t>
      </w:r>
      <w:r w:rsidR="00545D1B" w:rsidRPr="00742A04">
        <w:rPr>
          <w:i/>
        </w:rPr>
        <w:t>Barn som lever med vold i familien. Hva har ba</w:t>
      </w:r>
      <w:r w:rsidR="00545D1B" w:rsidRPr="00742A04">
        <w:rPr>
          <w:i/>
        </w:rPr>
        <w:t>r</w:t>
      </w:r>
      <w:r w:rsidR="00545D1B" w:rsidRPr="00742A04">
        <w:rPr>
          <w:i/>
        </w:rPr>
        <w:t xml:space="preserve">na i disse familiene opplevd og har det påført dem skader? </w:t>
      </w:r>
      <w:r w:rsidR="00545D1B" w:rsidRPr="00742A04">
        <w:t>(</w:t>
      </w:r>
      <w:r w:rsidR="00EB00BB" w:rsidRPr="00742A04">
        <w:t>“</w:t>
      </w:r>
      <w:r w:rsidR="002F3238" w:rsidRPr="00742A04">
        <w:t>Los niños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EB00BB" w:rsidRPr="00742A04">
        <w:t>viven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B00BB" w:rsidRPr="00742A04">
        <w:t xml:space="preserve">la </w:t>
      </w:r>
      <w:r w:rsidR="00CB2022" w:rsidRPr="00742A04">
        <w:t>violencia doméstica</w:t>
      </w:r>
      <w:r w:rsidR="00545D1B" w:rsidRPr="00742A04">
        <w:t xml:space="preserve">. </w:t>
      </w:r>
      <w:r w:rsidR="00EB00BB" w:rsidRPr="00742A04">
        <w:t xml:space="preserve">¿Qué han experimentado </w:t>
      </w:r>
      <w:r w:rsidR="00311327" w:rsidRPr="00742A04">
        <w:t>los</w:t>
      </w:r>
      <w:r w:rsidR="002F3238" w:rsidRPr="00742A04">
        <w:t xml:space="preserve"> niños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B00BB" w:rsidRPr="00742A04">
        <w:t>esas</w:t>
      </w:r>
      <w:r w:rsidR="00545D1B" w:rsidRPr="00742A04">
        <w:t xml:space="preserve"> </w:t>
      </w:r>
      <w:r w:rsidR="003E5775" w:rsidRPr="00742A04">
        <w:t>familias</w:t>
      </w:r>
      <w:r w:rsidR="00EB00B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EB00BB" w:rsidRPr="00742A04">
        <w:t xml:space="preserve">qué les </w:t>
      </w:r>
      <w:r w:rsidR="00545D1B" w:rsidRPr="00742A04">
        <w:t>ha</w:t>
      </w:r>
      <w:r w:rsidR="00EB00BB" w:rsidRPr="00742A04">
        <w:t xml:space="preserve"> causado daño</w:t>
      </w:r>
      <w:r w:rsidR="00545D1B" w:rsidRPr="00742A04">
        <w:t>?</w:t>
      </w:r>
      <w:r w:rsidR="00101B8C" w:rsidRPr="00742A04">
        <w:t>”</w:t>
      </w:r>
      <w:r w:rsidR="00545D1B" w:rsidRPr="00742A04">
        <w:t xml:space="preserve">) </w:t>
      </w:r>
      <w:r w:rsidR="00101B8C" w:rsidRPr="00742A04">
        <w:t>El objetivo principal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01B8C" w:rsidRPr="00742A04">
        <w:t xml:space="preserve">esta </w:t>
      </w:r>
      <w:r w:rsidR="00844FDB" w:rsidRPr="00742A04">
        <w:t>investigación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101B8C" w:rsidRPr="00742A04">
        <w:t>lograr</w:t>
      </w:r>
      <w:r w:rsidR="00545D1B" w:rsidRPr="00742A04">
        <w:t xml:space="preserve"> </w:t>
      </w:r>
      <w:r w:rsidR="00982243" w:rsidRPr="00742A04">
        <w:t>un mayor grado de</w:t>
      </w:r>
      <w:r w:rsidR="00545D1B" w:rsidRPr="00742A04">
        <w:t xml:space="preserve"> </w:t>
      </w:r>
      <w:r w:rsidR="003E5775" w:rsidRPr="00742A04">
        <w:t>conocimiento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01B8C" w:rsidRPr="00742A04">
        <w:t xml:space="preserve">los </w:t>
      </w:r>
      <w:r w:rsidR="00D515FC" w:rsidRPr="00742A04">
        <w:t xml:space="preserve">niños </w:t>
      </w:r>
      <w:r w:rsidR="00E574AD" w:rsidRPr="00742A04">
        <w:t>ví</w:t>
      </w:r>
      <w:r w:rsidR="00E574AD" w:rsidRPr="00742A04">
        <w:t>c</w:t>
      </w:r>
      <w:r w:rsidR="00E574AD" w:rsidRPr="00742A04">
        <w:t>timas de la violencia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101B8C" w:rsidRPr="00742A04">
        <w:t>a fin de</w:t>
      </w:r>
      <w:r w:rsidR="00B31D97" w:rsidRPr="00742A04">
        <w:t xml:space="preserve"> mejorar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4B0EC3" w:rsidRPr="00742A04">
        <w:t>cali</w:t>
      </w:r>
      <w:r w:rsidR="00502E16" w:rsidRPr="00742A04">
        <w:t>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C68A8" w:rsidRPr="00742A04">
        <w:t>vida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01B8C" w:rsidRPr="00742A04">
        <w:t>sus oportunidades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01B8C" w:rsidRPr="00742A04">
        <w:t>el futuro</w:t>
      </w:r>
      <w:r w:rsidR="00545D1B" w:rsidRPr="00742A04">
        <w:t>.</w:t>
      </w:r>
    </w:p>
    <w:p w:rsidR="00545D1B" w:rsidRPr="00742A04" w:rsidRDefault="00101B8C" w:rsidP="009B5DA3">
      <w:pPr>
        <w:pStyle w:val="SingleTxt"/>
        <w:ind w:firstLine="475"/>
      </w:pPr>
      <w:r w:rsidRPr="00742A04">
        <w:t>Se han elaborado directrices especiales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 </w:t>
      </w:r>
      <w:r w:rsidRPr="00742A04">
        <w:t xml:space="preserve">del sector público </w:t>
      </w:r>
      <w:r w:rsidR="000F0ACC" w:rsidRPr="00742A04">
        <w:t>a fin de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Pr="00742A04">
        <w:t>ayudar a los</w:t>
      </w:r>
      <w:r w:rsidR="00545D1B" w:rsidRPr="00742A04">
        <w:t xml:space="preserve"> </w:t>
      </w:r>
      <w:r w:rsidR="00D515FC" w:rsidRPr="00742A04">
        <w:t xml:space="preserve">niños </w:t>
      </w:r>
      <w:r w:rsidR="00E574AD" w:rsidRPr="00742A04">
        <w:t>víctimas de la violencia</w:t>
      </w:r>
      <w:r w:rsidR="00545D1B" w:rsidRPr="00742A04">
        <w:t xml:space="preserve">, </w:t>
      </w:r>
      <w:r w:rsidRPr="00742A04">
        <w:t>en particular</w:t>
      </w:r>
      <w:r w:rsidR="00545D1B" w:rsidRPr="00742A04">
        <w:t>:</w:t>
      </w:r>
    </w:p>
    <w:p w:rsidR="00545D1B" w:rsidRPr="00742A04" w:rsidRDefault="00101B8C" w:rsidP="00F25AE0">
      <w:pPr>
        <w:pStyle w:val="SingleTxt"/>
        <w:numPr>
          <w:ilvl w:val="0"/>
          <w:numId w:val="40"/>
        </w:numPr>
        <w:tabs>
          <w:tab w:val="clear" w:pos="1742"/>
          <w:tab w:val="left" w:pos="900"/>
        </w:tabs>
      </w:pPr>
      <w:r w:rsidRPr="00742A04">
        <w:t>Una guía</w:t>
      </w:r>
      <w:r w:rsidR="00545D1B" w:rsidRPr="00742A04">
        <w:t xml:space="preserve"> </w:t>
      </w:r>
      <w:r w:rsidRPr="00742A04">
        <w:t>para proporcionar</w:t>
      </w:r>
      <w:r w:rsidR="00545D1B" w:rsidRPr="00742A04">
        <w:t xml:space="preserve"> informa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="003C25BF" w:rsidRPr="00742A04">
        <w:t>cuando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8128DA">
        <w:t>esté</w:t>
      </w:r>
      <w:r w:rsidRPr="00742A04">
        <w:t>n</w:t>
      </w:r>
      <w:r w:rsidR="00545D1B" w:rsidRPr="00742A04">
        <w:t xml:space="preserve"> </w:t>
      </w:r>
      <w:r w:rsidR="005D2D07" w:rsidRPr="00742A04">
        <w:t>expues</w:t>
      </w:r>
      <w:r w:rsidRPr="00742A04">
        <w:t>to</w:t>
      </w:r>
      <w:r w:rsidR="005D2D07" w:rsidRPr="00742A04">
        <w:t>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B2022" w:rsidRPr="00742A04">
        <w:t>violencia doméstica</w:t>
      </w:r>
      <w:r w:rsidR="00545D1B" w:rsidRPr="00742A04">
        <w:t>, Q-1088 B</w:t>
      </w:r>
    </w:p>
    <w:p w:rsidR="00545D1B" w:rsidRPr="00742A04" w:rsidRDefault="00101B8C" w:rsidP="00F25AE0">
      <w:pPr>
        <w:pStyle w:val="SingleTxt"/>
        <w:numPr>
          <w:ilvl w:val="0"/>
          <w:numId w:val="40"/>
        </w:numPr>
        <w:tabs>
          <w:tab w:val="clear" w:pos="1742"/>
          <w:tab w:val="left" w:pos="900"/>
        </w:tabs>
      </w:pPr>
      <w:r w:rsidRPr="00742A04">
        <w:t>Una</w:t>
      </w:r>
      <w:r w:rsidR="00545D1B" w:rsidRPr="00742A04">
        <w:t xml:space="preserve"> circular </w:t>
      </w:r>
      <w:r w:rsidRPr="00742A04">
        <w:t>relativa</w:t>
      </w:r>
      <w:r w:rsidR="002F3238" w:rsidRPr="00742A04">
        <w:t xml:space="preserve"> a</w:t>
      </w:r>
      <w:r w:rsidRPr="00742A04">
        <w:t>l</w:t>
      </w:r>
      <w:r w:rsidR="00545D1B" w:rsidRPr="00742A04">
        <w:t xml:space="preserve"> </w:t>
      </w:r>
      <w:r w:rsidRPr="00742A04">
        <w:t>servicio de bienestar infantil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a </w:t>
      </w:r>
      <w:r w:rsidR="004A0730" w:rsidRPr="00742A04">
        <w:t>su</w:t>
      </w:r>
      <w:r w:rsidR="00545D1B" w:rsidRPr="00742A04">
        <w:t xml:space="preserve"> </w:t>
      </w:r>
      <w:r w:rsidR="00963214" w:rsidRPr="00742A04">
        <w:t>deber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F4DB2" w:rsidRPr="00742A04">
        <w:t>conf</w:t>
      </w:r>
      <w:r w:rsidR="008F4DB2" w:rsidRPr="00742A04">
        <w:t>i</w:t>
      </w:r>
      <w:r w:rsidR="008F4DB2" w:rsidRPr="00742A04">
        <w:t>dencial</w:t>
      </w:r>
      <w:r w:rsidR="00502E16" w:rsidRPr="00742A04">
        <w:t>idad</w:t>
      </w:r>
      <w:r w:rsidR="00545D1B" w:rsidRPr="00742A04">
        <w:t xml:space="preserve">, </w:t>
      </w:r>
      <w:r w:rsidR="001C6742" w:rsidRPr="00742A04">
        <w:t>el derecho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informa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963214" w:rsidRPr="00742A04">
        <w:t>deber</w:t>
      </w:r>
      <w:r w:rsidR="00545D1B" w:rsidRPr="00742A04">
        <w:t xml:space="preserve"> </w:t>
      </w:r>
      <w:r w:rsidRPr="00742A04">
        <w:t>de revelar la</w:t>
      </w:r>
      <w:r w:rsidR="00545D1B" w:rsidRPr="00742A04">
        <w:t xml:space="preserve"> inform</w:t>
      </w:r>
      <w:r w:rsidR="00545D1B" w:rsidRPr="00742A04">
        <w:t>a</w:t>
      </w:r>
      <w:r w:rsidR="00935A90" w:rsidRPr="00742A04">
        <w:t>ción,</w:t>
      </w:r>
      <w:r w:rsidR="00545D1B" w:rsidRPr="00742A04">
        <w:t xml:space="preserve"> Q-24/2005</w:t>
      </w:r>
    </w:p>
    <w:p w:rsidR="000A08D8" w:rsidRPr="00742A04" w:rsidRDefault="00A24287" w:rsidP="00F25AE0">
      <w:pPr>
        <w:pStyle w:val="SingleTxt"/>
        <w:numPr>
          <w:ilvl w:val="0"/>
          <w:numId w:val="40"/>
        </w:numPr>
        <w:tabs>
          <w:tab w:val="clear" w:pos="1742"/>
          <w:tab w:val="left" w:pos="900"/>
        </w:tabs>
      </w:pPr>
      <w:r w:rsidRPr="00742A04">
        <w:t>Los jóvenes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101B8C" w:rsidRPr="00742A04">
        <w:t>venden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101B8C" w:rsidRPr="00742A04">
        <w:t>comercializan</w:t>
      </w:r>
      <w:r w:rsidR="00545D1B" w:rsidRPr="00742A04">
        <w:t xml:space="preserve"> </w:t>
      </w:r>
      <w:r w:rsidR="00101B8C" w:rsidRPr="00742A04">
        <w:t>sexo</w:t>
      </w:r>
      <w:r w:rsidR="00545D1B" w:rsidRPr="00742A04">
        <w:t xml:space="preserve"> – </w:t>
      </w:r>
      <w:r w:rsidR="00101B8C" w:rsidRPr="00742A04">
        <w:t>una guía profesional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11327" w:rsidRPr="00742A04">
        <w:t>los servicios de apoyo</w:t>
      </w:r>
      <w:r w:rsidR="00545D1B" w:rsidRPr="00742A04">
        <w:t>, Q-1100 (</w:t>
      </w:r>
      <w:r w:rsidR="002A7CCF" w:rsidRPr="00742A04">
        <w:t>Asimismo cabe remitirse</w:t>
      </w:r>
      <w:r w:rsidR="0046110E" w:rsidRPr="00742A04">
        <w:t xml:space="preserve"> al artículo</w:t>
      </w:r>
      <w:r w:rsidR="00545D1B" w:rsidRPr="00742A04">
        <w:t xml:space="preserve"> 6, </w:t>
      </w:r>
      <w:r w:rsidR="00C923A8" w:rsidRPr="00742A04">
        <w:t>pu</w:t>
      </w:r>
      <w:r w:rsidR="00C923A8" w:rsidRPr="00742A04">
        <w:t>n</w:t>
      </w:r>
      <w:r w:rsidR="00C923A8" w:rsidRPr="00742A04">
        <w:t>to</w:t>
      </w:r>
      <w:r w:rsidR="00545D1B" w:rsidRPr="00742A04">
        <w:t xml:space="preserve"> 3)</w:t>
      </w:r>
      <w:r w:rsidR="000A08D8" w:rsidRPr="00742A04">
        <w:t>.</w:t>
      </w:r>
    </w:p>
    <w:p w:rsidR="00545D1B" w:rsidRPr="00742A04" w:rsidRDefault="00545D1B" w:rsidP="002C4922">
      <w:pPr>
        <w:pStyle w:val="SingleTxt"/>
      </w:pPr>
      <w:r w:rsidRPr="00742A04">
        <w:t>(</w:t>
      </w:r>
      <w:r w:rsidR="00101B8C" w:rsidRPr="00742A04">
        <w:t>Todos estos materiales</w:t>
      </w:r>
      <w:r w:rsidRPr="00742A04">
        <w:t xml:space="preserve"> </w:t>
      </w:r>
      <w:r w:rsidR="00101B8C" w:rsidRPr="00742A04">
        <w:t>existen</w:t>
      </w:r>
      <w:r w:rsidRPr="00742A04">
        <w:t xml:space="preserve"> </w:t>
      </w:r>
      <w:r w:rsidR="00F25AE0" w:rsidRPr="00742A04">
        <w:t>únicamente en noruego</w:t>
      </w:r>
      <w:r w:rsidRPr="00742A04">
        <w:t>.)</w:t>
      </w:r>
    </w:p>
    <w:p w:rsidR="00545D1B" w:rsidRPr="00742A04" w:rsidRDefault="008176B2" w:rsidP="00F25AE0">
      <w:pPr>
        <w:pStyle w:val="SingleTxt"/>
        <w:ind w:firstLine="475"/>
      </w:pPr>
      <w:r w:rsidRPr="00742A04">
        <w:t>Los</w:t>
      </w:r>
      <w:r w:rsidR="00545D1B" w:rsidRPr="00742A04">
        <w:t xml:space="preserve"> </w:t>
      </w:r>
      <w:r w:rsidR="0081178E" w:rsidRPr="00742A04">
        <w:t>grupos</w:t>
      </w:r>
      <w:r w:rsidR="00545D1B" w:rsidRPr="00742A04">
        <w:t xml:space="preserve"> </w:t>
      </w:r>
      <w:r w:rsidRPr="00742A04">
        <w:t>destinatarios de esas</w:t>
      </w:r>
      <w:r w:rsidR="00545D1B" w:rsidRPr="00742A04">
        <w:t xml:space="preserve"> </w:t>
      </w:r>
      <w:r w:rsidR="008A25D7" w:rsidRPr="00742A04">
        <w:t>directrices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Pr="00742A04">
        <w:t xml:space="preserve">el </w:t>
      </w:r>
      <w:r w:rsidR="00101B8C" w:rsidRPr="00742A04">
        <w:t>servicio de bienestar infa</w:t>
      </w:r>
      <w:r w:rsidR="00101B8C" w:rsidRPr="00742A04">
        <w:t>n</w:t>
      </w:r>
      <w:r w:rsidR="00101B8C" w:rsidRPr="00742A04">
        <w:t>til</w:t>
      </w:r>
      <w:r w:rsidR="00545D1B" w:rsidRPr="00742A04">
        <w:t xml:space="preserve">, </w:t>
      </w:r>
      <w:r w:rsidRPr="00742A04">
        <w:t xml:space="preserve">el personal </w:t>
      </w:r>
      <w:r w:rsidR="00545D1B" w:rsidRPr="00742A04">
        <w:t xml:space="preserve">judicial, </w:t>
      </w:r>
      <w:r w:rsidR="00B31D97" w:rsidRPr="00742A04">
        <w:t>los servicios</w:t>
      </w:r>
      <w:r w:rsidRPr="00742A04">
        <w:t xml:space="preserve"> sociales</w:t>
      </w:r>
      <w:r w:rsidR="00545D1B" w:rsidRPr="00742A04">
        <w:t xml:space="preserve">, </w:t>
      </w:r>
      <w:r w:rsidR="00B31D97" w:rsidRPr="00742A04">
        <w:t>los servicios</w:t>
      </w:r>
      <w:r w:rsidRPr="00742A04">
        <w:t xml:space="preserve"> de salud</w:t>
      </w:r>
      <w:r w:rsidR="00545D1B" w:rsidRPr="00742A04">
        <w:t xml:space="preserve">, </w:t>
      </w:r>
      <w:r w:rsidR="00242371" w:rsidRPr="00742A04">
        <w:t>las guarderías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5775" w:rsidRPr="00742A04">
        <w:t>las escuelas</w:t>
      </w:r>
      <w:r w:rsidR="00545D1B" w:rsidRPr="00742A04">
        <w:t xml:space="preserve">. </w:t>
      </w:r>
      <w:r w:rsidRPr="00742A04">
        <w:t>También se publicará u</w:t>
      </w:r>
      <w:r w:rsidR="00101B8C" w:rsidRPr="00742A04">
        <w:t>na guía</w:t>
      </w:r>
      <w:r w:rsidR="00545D1B" w:rsidRPr="00742A04">
        <w:t xml:space="preserve"> </w:t>
      </w:r>
      <w:r w:rsidRPr="00742A04">
        <w:t>sobre</w:t>
      </w:r>
      <w:r w:rsidR="00545D1B" w:rsidRPr="00742A04">
        <w:t xml:space="preserve"> </w:t>
      </w:r>
      <w:r w:rsidR="0046110E" w:rsidRPr="00742A04">
        <w:t xml:space="preserve">el rol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="00101B8C" w:rsidRPr="00742A04">
        <w:t>servicio de bienestar i</w:t>
      </w:r>
      <w:r w:rsidR="00101B8C" w:rsidRPr="00742A04">
        <w:t>n</w:t>
      </w:r>
      <w:r w:rsidR="00101B8C" w:rsidRPr="00742A04">
        <w:t>fantil</w:t>
      </w:r>
      <w:r w:rsidR="00545D1B" w:rsidRPr="00742A04">
        <w:t xml:space="preserve"> </w:t>
      </w:r>
      <w:r w:rsidR="007D66F2" w:rsidRPr="00742A04">
        <w:t>en caso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que haya sospechas de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las </w:t>
      </w:r>
      <w:r w:rsidR="00802868" w:rsidRPr="00742A04">
        <w:t>visitas</w:t>
      </w:r>
      <w:r w:rsidRPr="00742A04">
        <w:t xml:space="preserve"> parentales</w:t>
      </w:r>
      <w:r w:rsidR="00545D1B" w:rsidRPr="00742A04">
        <w:t>.</w:t>
      </w:r>
    </w:p>
    <w:p w:rsidR="00545D1B" w:rsidRPr="00742A04" w:rsidRDefault="008176B2" w:rsidP="00F25AE0">
      <w:pPr>
        <w:pStyle w:val="SingleTxt"/>
        <w:ind w:firstLine="475"/>
      </w:pPr>
      <w:r w:rsidRPr="00742A04">
        <w:t>Se han adoptado enmiendas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D0883" w:rsidRPr="00742A04">
        <w:t>Ley sobre la Infancia</w:t>
      </w:r>
      <w:r w:rsidR="00545D1B" w:rsidRPr="00742A04">
        <w:t xml:space="preserve">, etc. </w:t>
      </w:r>
      <w:r w:rsidR="005D2D07" w:rsidRPr="00742A04">
        <w:t>para proteger 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Pr="00742A04">
        <w:t>contra el</w:t>
      </w:r>
      <w:r w:rsidR="00545D1B" w:rsidRPr="00742A04">
        <w:t xml:space="preserve"> </w:t>
      </w:r>
      <w:r w:rsidR="00B86412" w:rsidRPr="00742A04">
        <w:t>abuso</w:t>
      </w:r>
      <w:r w:rsidR="006137EC" w:rsidRPr="00742A04">
        <w:t>; véase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Proposi</w:t>
      </w:r>
      <w:r w:rsidR="00C14BFF" w:rsidRPr="00742A04">
        <w:t xml:space="preserve">ción </w:t>
      </w:r>
      <w:r w:rsidR="00F97F41" w:rsidRPr="00742A04">
        <w:t>N°</w:t>
      </w:r>
      <w:r w:rsidR="00545D1B" w:rsidRPr="00742A04">
        <w:t xml:space="preserve"> 11 (2005-2006) </w:t>
      </w:r>
      <w:r w:rsidR="003C25BF" w:rsidRPr="00742A04">
        <w:t>al Odelsting</w:t>
      </w:r>
      <w:r w:rsidR="00545D1B" w:rsidRPr="00742A04">
        <w:t xml:space="preserve">. </w:t>
      </w:r>
      <w:r w:rsidRPr="00742A04">
        <w:t xml:space="preserve">Con arreglo a dichas </w:t>
      </w:r>
      <w:r w:rsidR="00CD2FF0" w:rsidRPr="00742A04">
        <w:t>enmiendas</w:t>
      </w:r>
      <w:r w:rsidR="00545D1B" w:rsidRPr="00742A04">
        <w:t xml:space="preserve">, </w:t>
      </w:r>
      <w:r w:rsidRPr="00742A04">
        <w:t>en los casos sobre tenencia de los hijos debe tenerse presente la necesidad de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Pr="00742A04">
        <w:t>que el niño</w:t>
      </w:r>
      <w:r w:rsidR="00545D1B" w:rsidRPr="00742A04">
        <w:t xml:space="preserve"> </w:t>
      </w:r>
      <w:r w:rsidR="00673B5D" w:rsidRPr="00742A04">
        <w:t xml:space="preserve">no </w:t>
      </w:r>
      <w:r w:rsidRPr="00742A04">
        <w:t>se vea sometido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86412" w:rsidRPr="00742A04">
        <w:t>abuso</w:t>
      </w:r>
      <w:r w:rsidRPr="00742A04">
        <w:t>s</w:t>
      </w:r>
      <w:r w:rsidR="00545D1B" w:rsidRPr="00742A04">
        <w:t>, inclu</w:t>
      </w:r>
      <w:r w:rsidRPr="00742A04">
        <w:t>so</w:t>
      </w:r>
      <w:r w:rsidR="00545D1B" w:rsidRPr="00742A04">
        <w:t xml:space="preserve"> </w:t>
      </w:r>
      <w:r w:rsidRPr="00742A04">
        <w:t>haciéndolo presenciar actos de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Pr="00742A04">
        <w:t>no se otorgan derechos de visita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Pr="00742A04">
        <w:t>su otorgamiento no contempla</w:t>
      </w:r>
      <w:r w:rsidR="00545D1B" w:rsidRPr="00742A04">
        <w:t xml:space="preserve"> </w:t>
      </w:r>
      <w:r w:rsidRPr="00742A04">
        <w:t>el interés superior del niño</w:t>
      </w:r>
      <w:r w:rsidR="00545D1B" w:rsidRPr="00742A04">
        <w:t xml:space="preserve">. </w:t>
      </w:r>
      <w:r w:rsidRPr="00742A04">
        <w:t>Otra</w:t>
      </w:r>
      <w:r w:rsidR="00545D1B" w:rsidRPr="00742A04">
        <w:t xml:space="preserve"> </w:t>
      </w:r>
      <w:r w:rsidR="00CD2FF0" w:rsidRPr="00742A04">
        <w:t>enmienda</w:t>
      </w:r>
      <w:r w:rsidR="00545D1B" w:rsidRPr="00742A04">
        <w:t xml:space="preserve"> </w:t>
      </w:r>
      <w:r w:rsidR="00B146CA" w:rsidRPr="00742A04">
        <w:t>impu</w:t>
      </w:r>
      <w:r w:rsidRPr="00742A04">
        <w:t>so a</w:t>
      </w:r>
      <w:r w:rsidR="00545D1B" w:rsidRPr="00742A04">
        <w:t xml:space="preserve"> </w:t>
      </w:r>
      <w:r w:rsidR="004F2F8A" w:rsidRPr="00742A04">
        <w:t xml:space="preserve">las </w:t>
      </w:r>
      <w:r w:rsidR="00552048" w:rsidRPr="00742A04">
        <w:t>autoridades públicas</w:t>
      </w:r>
      <w:r w:rsidR="00545D1B" w:rsidRPr="00742A04">
        <w:t xml:space="preserve"> </w:t>
      </w:r>
      <w:r w:rsidRPr="00742A04">
        <w:t xml:space="preserve">la obligación de </w:t>
      </w:r>
      <w:r w:rsidR="00EF5B12">
        <w:t>designar</w:t>
      </w:r>
      <w:r w:rsidRPr="00742A04">
        <w:t xml:space="preserve"> un</w:t>
      </w:r>
      <w:r w:rsidR="00545D1B" w:rsidRPr="00742A04">
        <w:t xml:space="preserve"> supervisor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casos </w:t>
      </w:r>
      <w:r w:rsidR="00E574AD" w:rsidRPr="00742A04">
        <w:t>especial</w:t>
      </w:r>
      <w:r w:rsidRPr="00742A04">
        <w:t>es</w:t>
      </w:r>
      <w:r w:rsidR="00545D1B" w:rsidRPr="00742A04">
        <w:t xml:space="preserve"> </w:t>
      </w:r>
      <w:r w:rsidR="00056EF1" w:rsidRPr="00742A04">
        <w:t>en que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supervis</w:t>
      </w:r>
      <w:r w:rsidR="005E6919" w:rsidRPr="00742A04">
        <w:t xml:space="preserve">ión </w:t>
      </w:r>
      <w:r w:rsidR="00BB4DB1" w:rsidRPr="00742A04">
        <w:t>es</w:t>
      </w:r>
      <w:r w:rsidR="00545D1B" w:rsidRPr="00742A04">
        <w:t xml:space="preserve"> </w:t>
      </w:r>
      <w:r w:rsidR="006E34DC">
        <w:t>un</w:t>
      </w:r>
      <w:r w:rsidR="00545D1B" w:rsidRPr="00742A04">
        <w:t>a condi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Pr="00742A04">
        <w:t>las visitas parentales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BD47D3" w:rsidRPr="00742A04">
        <w:t>en virtud de</w:t>
      </w:r>
      <w:r w:rsidR="00545D1B" w:rsidRPr="00742A04">
        <w:t xml:space="preserve"> </w:t>
      </w:r>
      <w:r w:rsidRPr="00742A04">
        <w:t>estas</w:t>
      </w:r>
      <w:r w:rsidR="00545D1B" w:rsidRPr="00742A04">
        <w:t xml:space="preserve"> </w:t>
      </w:r>
      <w:r w:rsidR="00CD2FF0" w:rsidRPr="00742A04">
        <w:t>enmiendas</w:t>
      </w:r>
      <w:r w:rsidR="00545D1B" w:rsidRPr="00742A04">
        <w:t xml:space="preserve">, </w:t>
      </w:r>
      <w:r w:rsidRPr="00742A04">
        <w:t>los programas d</w:t>
      </w:r>
      <w:r w:rsidR="00545D1B" w:rsidRPr="00742A04">
        <w:t xml:space="preserve">e </w:t>
      </w:r>
      <w:r w:rsidR="002370FA" w:rsidRPr="00742A04">
        <w:t>identidad ficticia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dirección </w:t>
      </w:r>
      <w:r w:rsidR="008F4DB2" w:rsidRPr="00742A04">
        <w:t>confidencial</w:t>
      </w:r>
      <w:r w:rsidR="00545D1B" w:rsidRPr="00742A04">
        <w:t xml:space="preserve"> </w:t>
      </w:r>
      <w:r w:rsidR="0030626A" w:rsidRPr="00742A04">
        <w:t>ta</w:t>
      </w:r>
      <w:r w:rsidR="0030626A" w:rsidRPr="00742A04">
        <w:t>m</w:t>
      </w:r>
      <w:r w:rsidR="0030626A" w:rsidRPr="00742A04">
        <w:t>bién</w:t>
      </w:r>
      <w:r w:rsidR="00545D1B" w:rsidRPr="00742A04">
        <w:t xml:space="preserve"> </w:t>
      </w:r>
      <w:r w:rsidRPr="00742A04">
        <w:t xml:space="preserve">pueden </w:t>
      </w:r>
      <w:r w:rsidR="00545D1B" w:rsidRPr="00742A04">
        <w:t>ser</w:t>
      </w:r>
      <w:r w:rsidRPr="00742A04">
        <w:t>vir</w:t>
      </w:r>
      <w:r w:rsidR="00545D1B" w:rsidRPr="00742A04">
        <w:t xml:space="preserve"> </w:t>
      </w:r>
      <w:r w:rsidR="005D2D07" w:rsidRPr="00742A04">
        <w:t>para proteger a</w:t>
      </w:r>
      <w:r w:rsidR="00545D1B" w:rsidRPr="00742A04">
        <w:t xml:space="preserve"> </w:t>
      </w:r>
      <w:r w:rsidRPr="00742A04">
        <w:t>las víctimas de amenazas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tienen hijos</w:t>
      </w:r>
      <w:r w:rsidR="00545D1B" w:rsidRPr="00742A04">
        <w:t xml:space="preserve">. </w:t>
      </w:r>
      <w:r w:rsidRPr="00742A04">
        <w:t>Ta</w:t>
      </w:r>
      <w:r w:rsidRPr="00742A04">
        <w:t>m</w:t>
      </w:r>
      <w:r w:rsidRPr="00742A04">
        <w:t>bién se ha adoptado la</w:t>
      </w:r>
      <w:r w:rsidR="00545D1B" w:rsidRPr="00742A04">
        <w:t xml:space="preserve"> resolu</w:t>
      </w:r>
      <w:r w:rsidR="00C14BFF" w:rsidRPr="00742A04">
        <w:t xml:space="preserve">ción </w:t>
      </w:r>
      <w:r w:rsidRPr="00742A04">
        <w:t>de enmendar</w:t>
      </w:r>
      <w:r w:rsidR="00545D1B" w:rsidRPr="00742A04">
        <w:t xml:space="preserve"> </w:t>
      </w:r>
      <w:r w:rsidR="00230F13" w:rsidRPr="00742A04">
        <w:t>la Ley</w:t>
      </w:r>
      <w:r w:rsidR="00545D1B" w:rsidRPr="00742A04">
        <w:t xml:space="preserve"> </w:t>
      </w:r>
      <w:r w:rsidRPr="00742A04">
        <w:t>para disponer que el padre o la madre que sea acusado, enjuiciado o condenado por haber</w:t>
      </w:r>
      <w:r w:rsidR="00545D1B" w:rsidRPr="00742A04">
        <w:t xml:space="preserve"> caus</w:t>
      </w:r>
      <w:r w:rsidRPr="00742A04">
        <w:t>ado la muerte del otro pr</w:t>
      </w:r>
      <w:r w:rsidRPr="00742A04">
        <w:t>o</w:t>
      </w:r>
      <w:r w:rsidRPr="00742A04">
        <w:t>genitor no tenga</w:t>
      </w:r>
      <w:r w:rsidR="00673B5D" w:rsidRPr="00742A04">
        <w:t xml:space="preserve"> </w:t>
      </w:r>
      <w:r w:rsidRPr="00742A04">
        <w:t>automática</w:t>
      </w:r>
      <w:r w:rsidR="005F7B32" w:rsidRPr="00742A04">
        <w:t xml:space="preserve">mente </w:t>
      </w:r>
      <w:r w:rsidRPr="00742A04">
        <w:t xml:space="preserve">la potestad </w:t>
      </w:r>
      <w:r w:rsidR="006E34DC">
        <w:t xml:space="preserve">parental respecto </w:t>
      </w:r>
      <w:r w:rsidRPr="00742A04">
        <w:t>de</w:t>
      </w:r>
      <w:r w:rsidR="00545D1B" w:rsidRPr="00742A04">
        <w:t xml:space="preserve"> </w:t>
      </w:r>
      <w:r w:rsidR="005C6D40" w:rsidRPr="00742A04">
        <w:t>sus hijos</w:t>
      </w:r>
      <w:r w:rsidR="00545D1B" w:rsidRPr="00742A04">
        <w:t>.</w:t>
      </w:r>
    </w:p>
    <w:p w:rsidR="00545D1B" w:rsidRPr="00742A04" w:rsidRDefault="004A0730" w:rsidP="00F25AE0">
      <w:pPr>
        <w:pStyle w:val="SingleTxt"/>
        <w:ind w:firstLine="475"/>
      </w:pPr>
      <w:r w:rsidRPr="00742A04">
        <w:t>En</w:t>
      </w:r>
      <w:r w:rsidR="00545D1B" w:rsidRPr="00742A04">
        <w:t xml:space="preserve"> 2005 </w:t>
      </w:r>
      <w:r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8176B2" w:rsidRPr="00742A04">
        <w:t xml:space="preserve">organizó </w:t>
      </w:r>
      <w:r w:rsidR="00C14BFF" w:rsidRPr="00742A04">
        <w:t>en</w:t>
      </w:r>
      <w:r w:rsidR="00545D1B" w:rsidRPr="00742A04">
        <w:t xml:space="preserve"> Oslo </w:t>
      </w:r>
      <w:r w:rsidR="00877AA0" w:rsidRPr="00742A04">
        <w:t>y</w:t>
      </w:r>
      <w:r w:rsidR="00545D1B" w:rsidRPr="00742A04">
        <w:t xml:space="preserve"> Bergen </w:t>
      </w:r>
      <w:r w:rsidR="008176B2" w:rsidRPr="00742A04">
        <w:t xml:space="preserve">cursos </w:t>
      </w:r>
      <w:r w:rsidR="00F43124" w:rsidRPr="00742A04">
        <w:t>para</w:t>
      </w:r>
      <w:r w:rsidR="00545D1B" w:rsidRPr="00742A04">
        <w:t xml:space="preserve"> </w:t>
      </w:r>
      <w:r w:rsidR="008176B2" w:rsidRPr="00742A04">
        <w:t>jueces</w:t>
      </w:r>
      <w:r w:rsidR="00545D1B" w:rsidRPr="00742A04">
        <w:t xml:space="preserve">, </w:t>
      </w:r>
      <w:r w:rsidR="008176B2" w:rsidRPr="00742A04">
        <w:t>expertos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176B2" w:rsidRPr="00742A04">
        <w:t>abogados</w:t>
      </w:r>
      <w:r w:rsidR="00545D1B" w:rsidRPr="00742A04">
        <w:t xml:space="preserve"> </w:t>
      </w:r>
      <w:r w:rsidR="008176B2" w:rsidRPr="00742A04">
        <w:t>sobre</w:t>
      </w:r>
      <w:r w:rsidR="00545D1B" w:rsidRPr="00742A04">
        <w:t xml:space="preserve"> </w:t>
      </w:r>
      <w:r w:rsidR="008176B2" w:rsidRPr="00742A04">
        <w:t>los efectos nocivos</w:t>
      </w:r>
      <w:r w:rsidR="00545D1B" w:rsidRPr="00742A04">
        <w:t xml:space="preserve"> </w:t>
      </w:r>
      <w:r w:rsidRPr="00742A04">
        <w:t>de</w:t>
      </w:r>
      <w:r w:rsidR="008176B2" w:rsidRPr="00742A04">
        <w:t xml:space="preserve"> la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176B2" w:rsidRPr="00742A04">
        <w:t xml:space="preserve">el </w:t>
      </w:r>
      <w:r w:rsidR="00B86412" w:rsidRPr="00742A04">
        <w:t>abuso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176B2" w:rsidRPr="00742A04">
        <w:t>sobre el tratamiento de los casos de</w:t>
      </w:r>
      <w:r w:rsidR="00545D1B" w:rsidRPr="00742A04">
        <w:t xml:space="preserve"> </w:t>
      </w:r>
      <w:r w:rsidR="008176B2" w:rsidRPr="00742A04">
        <w:t xml:space="preserve">tenencia de los hijos </w:t>
      </w:r>
      <w:r w:rsidR="00D3378F" w:rsidRPr="00742A04">
        <w:t>cuando haya</w:t>
      </w:r>
      <w:r w:rsidR="00545D1B" w:rsidRPr="00742A04">
        <w:t xml:space="preserve"> </w:t>
      </w:r>
      <w:r w:rsidR="008176B2" w:rsidRPr="00742A04">
        <w:t>sospechas</w:t>
      </w:r>
      <w:r w:rsidR="005E6919" w:rsidRPr="00742A04">
        <w:t xml:space="preserve"> </w:t>
      </w:r>
      <w:r w:rsidRPr="00742A04">
        <w:t>de</w:t>
      </w:r>
      <w:r w:rsidR="00545D1B" w:rsidRPr="00742A04">
        <w:t xml:space="preserve"> </w:t>
      </w:r>
      <w:r w:rsidR="00A05847" w:rsidRPr="00742A04">
        <w:t>vi</w:t>
      </w:r>
      <w:r w:rsidR="00A05847" w:rsidRPr="00742A04">
        <w:t>o</w:t>
      </w:r>
      <w:r w:rsidR="00A05847" w:rsidRPr="00742A04">
        <w:t>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>.</w:t>
      </w:r>
    </w:p>
    <w:p w:rsidR="00545D1B" w:rsidRPr="00742A04" w:rsidRDefault="00E372FD" w:rsidP="00F25AE0">
      <w:pPr>
        <w:pStyle w:val="SingleTxt"/>
        <w:ind w:firstLine="475"/>
      </w:pPr>
      <w:r w:rsidRPr="00742A04">
        <w:t>También se han aprobado e</w:t>
      </w:r>
      <w:r w:rsidR="008176B2" w:rsidRPr="00742A04">
        <w:t>nmiendas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D0883" w:rsidRPr="00742A04">
        <w:t xml:space="preserve">Ley sobre el Bienestar </w:t>
      </w:r>
      <w:r w:rsidR="00F43124" w:rsidRPr="00742A04">
        <w:t xml:space="preserve">de la </w:t>
      </w:r>
      <w:r w:rsidR="00AD0883" w:rsidRPr="00742A04">
        <w:t>Infancia</w:t>
      </w:r>
      <w:r w:rsidR="00545D1B" w:rsidRPr="00742A04">
        <w:t xml:space="preserve"> </w:t>
      </w:r>
      <w:r w:rsidRPr="00742A04">
        <w:t>que imponen a los</w:t>
      </w:r>
      <w:r w:rsidR="00545D1B" w:rsidRPr="00742A04">
        <w:t xml:space="preserve"> </w:t>
      </w:r>
      <w:r w:rsidRPr="00742A04">
        <w:t>centros privados</w:t>
      </w:r>
      <w:r w:rsidR="003E5775" w:rsidRPr="00742A04">
        <w:t xml:space="preserve"> de crisis</w:t>
      </w:r>
      <w:r w:rsidR="00545D1B" w:rsidRPr="00742A04">
        <w:t xml:space="preserve"> </w:t>
      </w:r>
      <w:r w:rsidR="00825B3E" w:rsidRPr="00742A04">
        <w:t>el deber legal de revelar</w:t>
      </w:r>
      <w:r w:rsidR="00545D1B" w:rsidRPr="00742A04">
        <w:t xml:space="preserve"> i</w:t>
      </w:r>
      <w:r w:rsidR="00545D1B" w:rsidRPr="00742A04">
        <w:t>n</w:t>
      </w:r>
      <w:r w:rsidR="00545D1B" w:rsidRPr="00742A04">
        <w:t>forma</w:t>
      </w:r>
      <w:r w:rsidR="00C14BFF" w:rsidRPr="00742A04">
        <w:t xml:space="preserve">ción </w:t>
      </w:r>
      <w:r w:rsidR="0030626A" w:rsidRPr="00742A04">
        <w:t>a</w:t>
      </w:r>
      <w:r w:rsidR="00825B3E" w:rsidRPr="00742A04">
        <w:t>l</w:t>
      </w:r>
      <w:r w:rsidR="00545D1B" w:rsidRPr="00742A04">
        <w:t xml:space="preserve"> </w:t>
      </w:r>
      <w:r w:rsidR="00101B8C" w:rsidRPr="00742A04">
        <w:t>servicio de bienestar infantil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25B3E" w:rsidRPr="00742A04">
        <w:t xml:space="preserve">las </w:t>
      </w:r>
      <w:r w:rsidR="00545D1B" w:rsidRPr="00742A04">
        <w:t>situa</w:t>
      </w:r>
      <w:r w:rsidR="008907B8" w:rsidRPr="00742A04">
        <w:t>ciones</w:t>
      </w:r>
      <w:r w:rsidR="00545D1B" w:rsidRPr="00742A04">
        <w:t xml:space="preserve"> </w:t>
      </w:r>
      <w:r w:rsidR="00056EF1" w:rsidRPr="00742A04">
        <w:t>en que</w:t>
      </w:r>
      <w:r w:rsidR="00545D1B" w:rsidRPr="00742A04">
        <w:t xml:space="preserve"> </w:t>
      </w:r>
      <w:r w:rsidR="00825B3E" w:rsidRPr="00742A04">
        <w:t>pueda</w:t>
      </w:r>
      <w:r w:rsidR="00834309" w:rsidRPr="00742A04">
        <w:t xml:space="preserve"> haber</w:t>
      </w:r>
      <w:r w:rsidR="00545D1B" w:rsidRPr="00742A04">
        <w:t xml:space="preserve"> </w:t>
      </w:r>
      <w:r w:rsidR="00825B3E" w:rsidRPr="00742A04">
        <w:t>riesgo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25B3E" w:rsidRPr="00742A04">
        <w:t>que el niño vuelva a vivir con un</w:t>
      </w:r>
      <w:r w:rsidR="00545D1B" w:rsidRPr="00742A04">
        <w:t xml:space="preserve"> </w:t>
      </w:r>
      <w:r w:rsidR="00D238A4" w:rsidRPr="00742A04">
        <w:t>padre</w:t>
      </w:r>
      <w:r w:rsidR="00825B3E" w:rsidRPr="00742A04">
        <w:t xml:space="preserve"> violento</w:t>
      </w:r>
      <w:r w:rsidR="00545D1B" w:rsidRPr="00742A04">
        <w:t xml:space="preserve">. </w:t>
      </w:r>
      <w:r w:rsidR="00825B3E" w:rsidRPr="00742A04">
        <w:t>Ese</w:t>
      </w:r>
      <w:r w:rsidR="00545D1B" w:rsidRPr="00742A04">
        <w:t xml:space="preserve"> </w:t>
      </w:r>
      <w:r w:rsidR="00963214" w:rsidRPr="00742A04">
        <w:t>deber</w:t>
      </w:r>
      <w:r w:rsidR="00545D1B" w:rsidRPr="00742A04">
        <w:t xml:space="preserve"> </w:t>
      </w:r>
      <w:r w:rsidR="00BB4DB1" w:rsidRPr="00742A04">
        <w:t>es</w:t>
      </w:r>
      <w:r w:rsidR="00825B3E" w:rsidRPr="00742A04">
        <w:t>tá</w:t>
      </w:r>
      <w:r w:rsidR="00545D1B" w:rsidRPr="00742A04">
        <w:t xml:space="preserve"> </w:t>
      </w:r>
      <w:r w:rsidR="00D3378F" w:rsidRPr="00742A04">
        <w:t>en consonancia con</w:t>
      </w:r>
      <w:r w:rsidR="00545D1B" w:rsidRPr="00742A04">
        <w:t xml:space="preserve"> </w:t>
      </w:r>
      <w:r w:rsidR="00825B3E" w:rsidRPr="00742A04">
        <w:t>el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ot</w:t>
      </w:r>
      <w:r w:rsidR="00825B3E" w:rsidRPr="00742A04">
        <w:t>ras</w:t>
      </w:r>
      <w:r w:rsidR="00545D1B" w:rsidRPr="00742A04">
        <w:t xml:space="preserve"> </w:t>
      </w:r>
      <w:r w:rsidR="00FB5EDF" w:rsidRPr="00742A04">
        <w:t>organizaciones</w:t>
      </w:r>
      <w:r w:rsidR="00545D1B" w:rsidRPr="00742A04">
        <w:t xml:space="preserve"> </w:t>
      </w:r>
      <w:r w:rsidR="00877AA0" w:rsidRPr="00742A04">
        <w:t>y</w:t>
      </w:r>
      <w:r w:rsidR="00825B3E" w:rsidRPr="00742A04">
        <w:t xml:space="preserve"> organismos</w:t>
      </w:r>
      <w:r w:rsidR="00545D1B" w:rsidRPr="00742A04">
        <w:t xml:space="preserve"> priva</w:t>
      </w:r>
      <w:r w:rsidR="00825B3E" w:rsidRPr="00742A04">
        <w:t>do</w:t>
      </w:r>
      <w:r w:rsidR="0081178E" w:rsidRPr="00742A04">
        <w:t>s que</w:t>
      </w:r>
      <w:r w:rsidR="00545D1B" w:rsidRPr="00742A04">
        <w:t xml:space="preserve"> </w:t>
      </w:r>
      <w:r w:rsidR="00825B3E" w:rsidRPr="00742A04">
        <w:t>efectivamente desempeñan</w:t>
      </w:r>
      <w:r w:rsidR="00545D1B" w:rsidRPr="00742A04">
        <w:t xml:space="preserve"> </w:t>
      </w:r>
      <w:r w:rsidR="00AE0831" w:rsidRPr="00742A04">
        <w:t>funci</w:t>
      </w:r>
      <w:r w:rsidR="00AE0831" w:rsidRPr="00742A04">
        <w:t>o</w:t>
      </w:r>
      <w:r w:rsidR="00AE0831" w:rsidRPr="00742A04">
        <w:t>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D574C4" w:rsidRPr="00742A04">
        <w:t>el sector públ</w:t>
      </w:r>
      <w:r w:rsidR="00D574C4" w:rsidRPr="00742A04">
        <w:t>i</w:t>
      </w:r>
      <w:r w:rsidR="00D574C4" w:rsidRPr="00742A04">
        <w:t>co</w:t>
      </w:r>
      <w:r w:rsidR="00545D1B" w:rsidRPr="00742A04">
        <w:t>.</w:t>
      </w:r>
    </w:p>
    <w:p w:rsidR="00545D1B" w:rsidRPr="00742A04" w:rsidRDefault="00032AA7" w:rsidP="00F25AE0">
      <w:pPr>
        <w:pStyle w:val="SingleTxt"/>
        <w:ind w:firstLine="475"/>
      </w:pPr>
      <w:r w:rsidRPr="00742A04">
        <w:t>Utilizando</w:t>
      </w:r>
      <w:r w:rsidR="00545D1B" w:rsidRPr="00742A04">
        <w:t xml:space="preserve"> </w:t>
      </w:r>
      <w:r w:rsidR="00F43124" w:rsidRPr="00742A04">
        <w:t>fondos</w:t>
      </w:r>
      <w:r w:rsidR="00545D1B" w:rsidRPr="00742A04">
        <w:t xml:space="preserve"> </w:t>
      </w:r>
      <w:r w:rsidRPr="00742A04">
        <w:t>recaudados mediante</w:t>
      </w:r>
      <w:r w:rsidR="00545D1B" w:rsidRPr="00742A04">
        <w:t xml:space="preserve"> </w:t>
      </w:r>
      <w:r w:rsidR="004A0730" w:rsidRPr="00742A04">
        <w:t>su</w:t>
      </w:r>
      <w:r w:rsidRPr="00742A04">
        <w:t>s</w:t>
      </w:r>
      <w:r w:rsidR="00545D1B" w:rsidRPr="00742A04">
        <w:t xml:space="preserve"> </w:t>
      </w:r>
      <w:r w:rsidR="007C65B3" w:rsidRPr="00742A04">
        <w:t>propio</w:t>
      </w:r>
      <w:r w:rsidRPr="00742A04">
        <w:t>s</w:t>
      </w:r>
      <w:r w:rsidR="00502E16" w:rsidRPr="00742A04">
        <w:t xml:space="preserve"> esfuerzos</w:t>
      </w:r>
      <w:r w:rsidR="00545D1B" w:rsidRPr="00742A04">
        <w:t xml:space="preserve">, </w:t>
      </w:r>
      <w:r w:rsidRPr="00742A04">
        <w:t>junto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6B65CD" w:rsidRPr="00742A04">
        <w:t>fina</w:t>
      </w:r>
      <w:r w:rsidR="006B65CD" w:rsidRPr="00742A04">
        <w:t>n</w:t>
      </w:r>
      <w:r w:rsidR="006B65CD" w:rsidRPr="00742A04">
        <w:t>ciación</w:t>
      </w:r>
      <w:r w:rsidR="00545D1B" w:rsidRPr="00742A04">
        <w:t xml:space="preserve"> </w:t>
      </w:r>
      <w:r w:rsidRPr="00742A04">
        <w:t>aportada por</w:t>
      </w:r>
      <w:r w:rsidR="00545D1B" w:rsidRPr="00742A04">
        <w:t xml:space="preserve"> </w:t>
      </w:r>
      <w:r w:rsidR="007D36C8" w:rsidRPr="00742A04">
        <w:t>la Dirección de la Infancia, la Juventud y los Asuntos de Fam</w:t>
      </w:r>
      <w:r w:rsidR="007D36C8" w:rsidRPr="00742A04">
        <w:t>i</w:t>
      </w:r>
      <w:r w:rsidR="007D36C8" w:rsidRPr="00742A04">
        <w:t>lia</w:t>
      </w:r>
      <w:r w:rsidR="00545D1B" w:rsidRPr="00742A04">
        <w:t xml:space="preserve"> </w:t>
      </w:r>
      <w:r w:rsidR="00BB4DB1" w:rsidRPr="00742A04">
        <w:t xml:space="preserve">y 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, </w:t>
      </w:r>
      <w:r w:rsidR="007D36C8" w:rsidRPr="00742A04">
        <w:t xml:space="preserve">la </w:t>
      </w:r>
      <w:r w:rsidR="00FB34C1" w:rsidRPr="00742A04">
        <w:t xml:space="preserve">Secretaría </w:t>
      </w:r>
      <w:r w:rsidR="00C076F2" w:rsidRPr="00742A04">
        <w:t xml:space="preserve">de los </w:t>
      </w:r>
      <w:r w:rsidRPr="00742A04">
        <w:t>C</w:t>
      </w:r>
      <w:r w:rsidR="0063400A" w:rsidRPr="00742A04">
        <w:t>entros</w:t>
      </w:r>
      <w:r w:rsidR="00FB34C1" w:rsidRPr="00742A04">
        <w:t xml:space="preserve"> de Crisis</w:t>
      </w:r>
      <w:r w:rsidR="00545D1B" w:rsidRPr="00742A04">
        <w:t xml:space="preserve"> </w:t>
      </w:r>
      <w:r w:rsidR="005D2D07" w:rsidRPr="00742A04">
        <w:t>ha elaborado</w:t>
      </w:r>
      <w:r w:rsidR="00545D1B" w:rsidRPr="00742A04">
        <w:t xml:space="preserve"> </w:t>
      </w:r>
      <w:r w:rsidRPr="00742A04">
        <w:t>u</w:t>
      </w:r>
      <w:r w:rsidR="00101B8C" w:rsidRPr="00742A04">
        <w:t>na guía</w:t>
      </w:r>
      <w:r w:rsidR="00545D1B" w:rsidRPr="00742A04">
        <w:t xml:space="preserve"> </w:t>
      </w:r>
      <w:r w:rsidRPr="00742A04">
        <w:t>destinada a</w:t>
      </w:r>
      <w:r w:rsidR="00E575DB" w:rsidRPr="00742A04">
        <w:t xml:space="preserve"> </w:t>
      </w:r>
      <w:r w:rsidR="00E542AA" w:rsidRPr="00742A04">
        <w:t>increment</w:t>
      </w:r>
      <w:r w:rsidRPr="00742A04">
        <w:t>ar</w:t>
      </w:r>
      <w:r w:rsidR="00545D1B" w:rsidRPr="00742A04">
        <w:t xml:space="preserve"> </w:t>
      </w:r>
      <w:r w:rsidR="004F2F8A" w:rsidRPr="00742A04">
        <w:t xml:space="preserve">las </w:t>
      </w:r>
      <w:r w:rsidR="00242371" w:rsidRPr="00742A04">
        <w:t>capacidades especializadas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 prestadores de asistencia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a</w:t>
      </w:r>
      <w:r w:rsidRPr="00742A04">
        <w:t>yudan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E574AD" w:rsidRPr="00742A04">
        <w:t>víctimas de la 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a </w:t>
      </w:r>
      <w:r w:rsidR="005C6D40" w:rsidRPr="00742A04">
        <w:t>sus hijos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v</w:t>
      </w:r>
      <w:r w:rsidRPr="00742A04">
        <w:t>i</w:t>
      </w:r>
      <w:r w:rsidRPr="00742A04">
        <w:t>ven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E5775" w:rsidRPr="00742A04">
        <w:t>centros de crisis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Pr="00742A04">
        <w:t xml:space="preserve"> o hacen uso de ellos</w:t>
      </w:r>
      <w:r w:rsidR="00545D1B" w:rsidRPr="00742A04">
        <w:t xml:space="preserve">. </w:t>
      </w:r>
      <w:r w:rsidR="00232DF9" w:rsidRPr="00742A04">
        <w:t>Entre otras cosas</w:t>
      </w:r>
      <w:r w:rsidR="00545D1B" w:rsidRPr="00742A04">
        <w:t xml:space="preserve">, </w:t>
      </w:r>
      <w:r w:rsidR="005E2D7A" w:rsidRPr="00742A04">
        <w:t>la guía</w:t>
      </w:r>
      <w:r w:rsidR="00545D1B" w:rsidRPr="00742A04">
        <w:t xml:space="preserve"> describe</w:t>
      </w:r>
      <w:r w:rsidRPr="00742A04">
        <w:t xml:space="preserve"> a la</w:t>
      </w:r>
      <w:r w:rsidR="00545D1B" w:rsidRPr="00742A04">
        <w:t xml:space="preserve">s </w:t>
      </w:r>
      <w:r w:rsidR="00072AD7" w:rsidRPr="00742A04">
        <w:t>mujeres</w:t>
      </w:r>
      <w:r w:rsidR="00545D1B" w:rsidRPr="00742A04">
        <w:t xml:space="preserve"> </w:t>
      </w:r>
      <w:r w:rsidR="00E574AD" w:rsidRPr="00742A04">
        <w:t>víctimas de la 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a </w:t>
      </w:r>
      <w:r w:rsidR="005C6D40" w:rsidRPr="00742A04">
        <w:t>sus hijos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un</w:t>
      </w:r>
      <w:r w:rsidR="00545D1B" w:rsidRPr="00742A04">
        <w:t>a</w:t>
      </w:r>
      <w:r w:rsidRPr="00742A04">
        <w:t xml:space="preserve"> perspectiva de crisis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502E16" w:rsidRPr="00742A04">
        <w:t>las formas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Pr="00742A04">
        <w:t>el prestador de asistencia</w:t>
      </w:r>
      <w:r w:rsidR="00545D1B" w:rsidRPr="00742A04">
        <w:t xml:space="preserve"> </w:t>
      </w:r>
      <w:r w:rsidRPr="00742A04">
        <w:t>puede</w:t>
      </w:r>
      <w:r w:rsidR="00545D1B" w:rsidRPr="00742A04">
        <w:t xml:space="preserve"> </w:t>
      </w:r>
      <w:r w:rsidR="000A5430" w:rsidRPr="00742A04">
        <w:t>contribuir</w:t>
      </w:r>
      <w:r w:rsidR="00545D1B" w:rsidRPr="00742A04">
        <w:t xml:space="preserve"> </w:t>
      </w:r>
      <w:r w:rsidRPr="00742A04">
        <w:t>a fortalecer la</w:t>
      </w:r>
      <w:r w:rsidR="00545D1B" w:rsidRPr="00742A04">
        <w:t xml:space="preserve"> </w:t>
      </w:r>
      <w:r w:rsidRPr="00742A04">
        <w:t>confianza</w:t>
      </w:r>
      <w:r w:rsidR="002E5047" w:rsidRPr="00742A04">
        <w:t xml:space="preserve"> e </w:t>
      </w:r>
      <w:r w:rsidRPr="00742A04">
        <w:t>infundir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Pr="00742A04">
        <w:t xml:space="preserve">la fuerza necesaria para ser agentes </w:t>
      </w:r>
      <w:r w:rsidR="00545D1B" w:rsidRPr="00742A04">
        <w:t>activ</w:t>
      </w:r>
      <w:r w:rsidRPr="00742A04">
        <w:t>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97F41" w:rsidRPr="00742A04">
        <w:t>su</w:t>
      </w:r>
      <w:r w:rsidRPr="00742A04">
        <w:t>s</w:t>
      </w:r>
      <w:r w:rsidR="00545D1B" w:rsidRPr="00742A04">
        <w:t xml:space="preserve"> </w:t>
      </w:r>
      <w:r w:rsidRPr="00742A04">
        <w:t>propias vidas</w:t>
      </w:r>
      <w:r w:rsidR="00545D1B" w:rsidRPr="00742A04">
        <w:t xml:space="preserve">. </w:t>
      </w:r>
      <w:r w:rsidRPr="00742A04">
        <w:t>Con la ayuda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87443" w:rsidRPr="00742A04">
        <w:t>métodos</w:t>
      </w:r>
      <w:r w:rsidRPr="00742A04">
        <w:t xml:space="preserve"> eficaces</w:t>
      </w:r>
      <w:r w:rsidR="00545D1B" w:rsidRPr="00742A04">
        <w:t xml:space="preserve">, </w:t>
      </w:r>
      <w:r w:rsidR="005E2D7A" w:rsidRPr="00742A04">
        <w:t>la guía</w:t>
      </w:r>
      <w:r w:rsidR="00545D1B" w:rsidRPr="00742A04">
        <w:t xml:space="preserve"> descri</w:t>
      </w:r>
      <w:r w:rsidRPr="00742A04">
        <w:t>be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Pr="00742A04">
        <w:t xml:space="preserve">se pueden utilizar las </w:t>
      </w:r>
      <w:r w:rsidR="00545D1B" w:rsidRPr="00742A04">
        <w:t>conversa</w:t>
      </w:r>
      <w:r w:rsidR="008907B8" w:rsidRPr="00742A04">
        <w:t>ciones</w:t>
      </w:r>
      <w:r w:rsidR="00545D1B" w:rsidRPr="00742A04">
        <w:t xml:space="preserve"> </w:t>
      </w:r>
      <w:r w:rsidR="00631355" w:rsidRPr="00742A04">
        <w:t>como instrumento</w:t>
      </w:r>
      <w:r w:rsidR="00545D1B" w:rsidRPr="00742A04">
        <w:t xml:space="preserve"> </w:t>
      </w:r>
      <w:r w:rsidR="00631355" w:rsidRPr="00742A04">
        <w:t>par</w:t>
      </w:r>
      <w:r w:rsidR="0030626A" w:rsidRPr="00742A04">
        <w:t>a</w:t>
      </w:r>
      <w:r w:rsidR="00545D1B" w:rsidRPr="00742A04">
        <w:t xml:space="preserve"> determin</w:t>
      </w:r>
      <w:r w:rsidR="00631355" w:rsidRPr="00742A04">
        <w:t>ar la</w:t>
      </w:r>
      <w:r w:rsidR="00545D1B" w:rsidRPr="00742A04">
        <w:t xml:space="preserve"> exist</w:t>
      </w:r>
      <w:r w:rsidR="00FF575F" w:rsidRPr="00742A04">
        <w:t xml:space="preserve">encia </w:t>
      </w:r>
      <w:r w:rsidR="004A0730" w:rsidRPr="00742A04">
        <w:t>de</w:t>
      </w:r>
      <w:r w:rsidR="00545D1B" w:rsidRPr="00742A04">
        <w:t xml:space="preserve"> </w:t>
      </w:r>
      <w:r w:rsidR="00311327" w:rsidRPr="00742A04">
        <w:t>am</w:t>
      </w:r>
      <w:r w:rsidR="00311327" w:rsidRPr="00742A04">
        <w:t>e</w:t>
      </w:r>
      <w:r w:rsidR="00311327" w:rsidRPr="00742A04">
        <w:t>nazas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31355" w:rsidRPr="00742A04">
        <w:t>el grado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31355" w:rsidRPr="00742A04">
        <w:t>las</w:t>
      </w:r>
      <w:r w:rsidR="00545D1B" w:rsidRPr="00742A04">
        <w:t xml:space="preserve"> </w:t>
      </w:r>
      <w:r w:rsidR="00E06311" w:rsidRPr="00742A04">
        <w:t>consecue</w:t>
      </w:r>
      <w:r w:rsidR="00FF575F" w:rsidRPr="00742A04">
        <w:t>ncia</w:t>
      </w:r>
      <w:r w:rsidR="00631355" w:rsidRPr="00742A04">
        <w:t>s</w:t>
      </w:r>
      <w:r w:rsidR="00FF575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31355" w:rsidRPr="00742A04">
        <w:t xml:space="preserve">la </w:t>
      </w:r>
      <w:r w:rsidR="00A05847" w:rsidRPr="00742A04">
        <w:t>violencia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="00631355"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631355" w:rsidRPr="00742A04">
        <w:t>pueden hacer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31355" w:rsidRPr="00742A04">
        <w:t>las</w:t>
      </w:r>
      <w:r w:rsidR="00545D1B" w:rsidRPr="00742A04">
        <w:t xml:space="preserve"> </w:t>
      </w:r>
      <w:r w:rsidR="00587443" w:rsidRPr="00742A04">
        <w:t>diver</w:t>
      </w:r>
      <w:r w:rsidR="00631355" w:rsidRPr="00742A04">
        <w:t>sa</w:t>
      </w:r>
      <w:r w:rsidR="00587443" w:rsidRPr="00742A04">
        <w:t>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. </w:t>
      </w:r>
      <w:r w:rsidR="00631355" w:rsidRPr="00742A04">
        <w:t>Vivimos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31355" w:rsidRPr="00742A04">
        <w:t>un</w:t>
      </w:r>
      <w:r w:rsidR="00545D1B" w:rsidRPr="00742A04">
        <w:t xml:space="preserve">a </w:t>
      </w:r>
      <w:r w:rsidR="00631355" w:rsidRPr="00742A04">
        <w:t xml:space="preserve">sociedad </w:t>
      </w:r>
      <w:r w:rsidR="00545D1B" w:rsidRPr="00742A04">
        <w:t xml:space="preserve">multicultural </w:t>
      </w:r>
      <w:r w:rsidR="00877AA0" w:rsidRPr="00742A04">
        <w:t>y</w:t>
      </w:r>
      <w:r w:rsidR="00545D1B" w:rsidRPr="00742A04">
        <w:t xml:space="preserve"> </w:t>
      </w:r>
      <w:r w:rsidR="005E2D7A" w:rsidRPr="00742A04">
        <w:t>la guía</w:t>
      </w:r>
      <w:r w:rsidR="00545D1B" w:rsidRPr="00742A04">
        <w:t xml:space="preserve"> </w:t>
      </w:r>
      <w:r w:rsidR="00631355" w:rsidRPr="00742A04">
        <w:t>centra la atención en</w:t>
      </w:r>
      <w:r w:rsidR="00545D1B" w:rsidRPr="00742A04">
        <w:t xml:space="preserve"> </w:t>
      </w:r>
      <w:r w:rsidR="00BB1CDE" w:rsidRPr="00742A04">
        <w:t>la importancia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42371" w:rsidRPr="00742A04">
        <w:t>l</w:t>
      </w:r>
      <w:r w:rsidR="00631355" w:rsidRPr="00742A04">
        <w:t>o</w:t>
      </w:r>
      <w:r w:rsidR="00242371" w:rsidRPr="00742A04">
        <w:t>s c</w:t>
      </w:r>
      <w:r w:rsidR="00D479CA" w:rsidRPr="00742A04">
        <w:t>onocimientos</w:t>
      </w:r>
      <w:r w:rsidR="00242371" w:rsidRPr="00742A04">
        <w:t xml:space="preserve"> especiali</w:t>
      </w:r>
      <w:r w:rsidR="00D479CA" w:rsidRPr="00742A04">
        <w:t>zado</w:t>
      </w:r>
      <w:r w:rsidR="00242371" w:rsidRPr="00742A04">
        <w:t>s</w:t>
      </w:r>
      <w:r w:rsidR="00545D1B" w:rsidRPr="00742A04">
        <w:t xml:space="preserve"> </w:t>
      </w:r>
      <w:r w:rsidR="00D479CA" w:rsidRPr="00742A04">
        <w:t>sobre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E574AD" w:rsidRPr="00742A04">
        <w:t>víctimas de la 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D479CA" w:rsidRPr="00742A04">
        <w:t>provenientes de</w:t>
      </w:r>
      <w:r w:rsidR="00545D1B" w:rsidRPr="00742A04">
        <w:t xml:space="preserve"> minor</w:t>
      </w:r>
      <w:r w:rsidR="00D479CA" w:rsidRPr="00742A04">
        <w:t>ías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479CA" w:rsidRPr="00742A04">
        <w:t>sobre la forma de prestar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D479CA" w:rsidRPr="00742A04">
        <w:t xml:space="preserve">a las </w:t>
      </w:r>
      <w:r w:rsidR="00502E16" w:rsidRPr="00742A04">
        <w:t>víctimas</w:t>
      </w:r>
      <w:r w:rsidR="00545D1B" w:rsidRPr="00742A04">
        <w:t xml:space="preserve"> </w:t>
      </w:r>
      <w:r w:rsidR="003E4840" w:rsidRPr="00742A04">
        <w:t>de</w:t>
      </w:r>
      <w:r w:rsidR="003E4840" w:rsidRPr="00742A04">
        <w:t>s</w:t>
      </w:r>
      <w:r w:rsidR="003E4840" w:rsidRPr="00742A04">
        <w:t>pués 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D479CA" w:rsidRPr="00742A04">
        <w:t>estada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7A11" w:rsidRPr="00742A04">
        <w:t>el centro de crisis</w:t>
      </w:r>
      <w:r w:rsidR="00545D1B" w:rsidRPr="00742A04">
        <w:t>.</w:t>
      </w:r>
    </w:p>
    <w:p w:rsidR="00545D1B" w:rsidRPr="00742A04" w:rsidRDefault="00631355" w:rsidP="002C4922">
      <w:pPr>
        <w:pStyle w:val="SingleTxt"/>
        <w:rPr>
          <w:i/>
        </w:rPr>
      </w:pPr>
      <w:r w:rsidRPr="00742A04">
        <w:rPr>
          <w:i/>
        </w:rPr>
        <w:t>Trabajo</w:t>
      </w:r>
      <w:r w:rsidR="00545D1B" w:rsidRPr="00742A04">
        <w:rPr>
          <w:i/>
        </w:rPr>
        <w:t xml:space="preserve"> </w:t>
      </w:r>
      <w:r w:rsidR="004A0730" w:rsidRPr="00742A04">
        <w:rPr>
          <w:i/>
        </w:rPr>
        <w:t>con</w:t>
      </w:r>
      <w:r w:rsidR="00545D1B" w:rsidRPr="00742A04">
        <w:rPr>
          <w:i/>
        </w:rPr>
        <w:t xml:space="preserve"> </w:t>
      </w:r>
      <w:r w:rsidR="00072AD7" w:rsidRPr="00742A04">
        <w:rPr>
          <w:i/>
        </w:rPr>
        <w:t>mujeres</w:t>
      </w:r>
      <w:r w:rsidRPr="00742A04">
        <w:rPr>
          <w:i/>
        </w:rPr>
        <w:t xml:space="preserve"> reclusas que han sido</w:t>
      </w:r>
      <w:r w:rsidR="00545D1B" w:rsidRPr="00742A04">
        <w:rPr>
          <w:i/>
        </w:rPr>
        <w:t xml:space="preserve"> </w:t>
      </w:r>
      <w:r w:rsidR="00E574AD" w:rsidRPr="00742A04">
        <w:rPr>
          <w:i/>
        </w:rPr>
        <w:t>víctimas de la violencia</w:t>
      </w:r>
    </w:p>
    <w:p w:rsidR="000A08D8" w:rsidRPr="00742A04" w:rsidRDefault="004F2F8A" w:rsidP="00F25AE0">
      <w:pPr>
        <w:pStyle w:val="SingleTxt"/>
        <w:ind w:firstLine="475"/>
      </w:pPr>
      <w:r w:rsidRPr="00742A04">
        <w:t>Una gran cantidad</w:t>
      </w:r>
      <w:r w:rsidR="00545D1B" w:rsidRPr="00742A04">
        <w:t xml:space="preserve"> </w:t>
      </w:r>
      <w:r w:rsidR="004D313C" w:rsidRPr="00742A04">
        <w:t xml:space="preserve">de </w:t>
      </w:r>
      <w:r w:rsidR="00D479CA" w:rsidRPr="00742A04">
        <w:t>mujeres reclusas</w:t>
      </w:r>
      <w:r w:rsidR="00545D1B" w:rsidRPr="00742A04">
        <w:t xml:space="preserve"> </w:t>
      </w:r>
      <w:r w:rsidR="00D479CA" w:rsidRPr="00742A04">
        <w:t>han estado sometidas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B82A08" w:rsidRPr="00742A04">
        <w:t>pe</w:t>
      </w:r>
      <w:r w:rsidR="00B82A08" w:rsidRPr="00742A04">
        <w:t>r</w:t>
      </w:r>
      <w:r w:rsidR="00B82A08" w:rsidRPr="00742A04">
        <w:t>sonas</w:t>
      </w:r>
      <w:r w:rsidR="00545D1B" w:rsidRPr="00742A04">
        <w:t xml:space="preserve"> </w:t>
      </w:r>
      <w:r w:rsidR="00BC2FBE" w:rsidRPr="00742A04">
        <w:t>estrechamente</w:t>
      </w:r>
      <w:r w:rsidR="00545D1B" w:rsidRPr="00742A04">
        <w:t xml:space="preserve"> </w:t>
      </w:r>
      <w:r w:rsidR="00154FBB" w:rsidRPr="00742A04">
        <w:t>relacionada con</w:t>
      </w:r>
      <w:r w:rsidR="00545D1B" w:rsidRPr="00742A04">
        <w:t xml:space="preserve"> </w:t>
      </w:r>
      <w:r w:rsidR="00D479CA" w:rsidRPr="00742A04">
        <w:t>ellas</w:t>
      </w:r>
      <w:r w:rsidR="00545D1B" w:rsidRPr="00742A04">
        <w:t xml:space="preserve">. </w:t>
      </w:r>
      <w:r w:rsidR="0030626A" w:rsidRPr="00742A04">
        <w:t xml:space="preserve">Además </w:t>
      </w:r>
      <w:r w:rsidR="00C076F2" w:rsidRPr="00742A04">
        <w:t xml:space="preserve">de los </w:t>
      </w:r>
      <w:r w:rsidR="00B31D97" w:rsidRPr="00742A04">
        <w:t>servicios</w:t>
      </w:r>
      <w:r w:rsidR="00545D1B" w:rsidRPr="00742A04">
        <w:t xml:space="preserve"> pr</w:t>
      </w:r>
      <w:r w:rsidR="00D479CA" w:rsidRPr="00742A04">
        <w:t>estados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D479CA" w:rsidRPr="00742A04">
        <w:t>los servicios ordinarios de salud</w:t>
      </w:r>
      <w:r w:rsidR="00545D1B" w:rsidRPr="00742A04">
        <w:t xml:space="preserve">, </w:t>
      </w:r>
      <w:r w:rsidR="00D479CA" w:rsidRPr="00742A04">
        <w:t xml:space="preserve">se han elaborado </w:t>
      </w:r>
      <w:r w:rsidR="005C19C7" w:rsidRPr="00742A04">
        <w:t>bajo los auspicios de los Serv</w:t>
      </w:r>
      <w:r w:rsidR="005C19C7" w:rsidRPr="00742A04">
        <w:t>i</w:t>
      </w:r>
      <w:r w:rsidR="005C19C7" w:rsidRPr="00742A04">
        <w:t xml:space="preserve">cios Correccionales </w:t>
      </w:r>
      <w:r w:rsidR="00A05847" w:rsidRPr="00742A04">
        <w:t>medidas especiales</w:t>
      </w:r>
      <w:r w:rsidR="005C19C7" w:rsidRPr="00742A04">
        <w:t>,</w:t>
      </w:r>
      <w:r w:rsidR="00545D1B" w:rsidRPr="00742A04">
        <w:t xml:space="preserve"> </w:t>
      </w:r>
      <w:r w:rsidR="00AD0883" w:rsidRPr="00742A04">
        <w:t>tales como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s </w:t>
      </w:r>
      <w:r w:rsidR="005C19C7" w:rsidRPr="00742A04">
        <w:t>cognitivos,</w:t>
      </w:r>
      <w:r w:rsidR="00545D1B" w:rsidRPr="00742A04">
        <w:t xml:space="preserve"> </w:t>
      </w:r>
      <w:r w:rsidR="005C19C7" w:rsidRPr="00742A04">
        <w:t>para ay</w:t>
      </w:r>
      <w:r w:rsidR="005C19C7" w:rsidRPr="00742A04">
        <w:t>u</w:t>
      </w:r>
      <w:r w:rsidR="005C19C7" w:rsidRPr="00742A04">
        <w:t>dar a</w:t>
      </w:r>
      <w:r w:rsidR="00545D1B" w:rsidRPr="00742A04">
        <w:t xml:space="preserve"> </w:t>
      </w:r>
      <w:r w:rsidR="005C19C7" w:rsidRPr="00742A04">
        <w:t>las reclusa</w:t>
      </w:r>
      <w:r w:rsidR="00121DBC" w:rsidRPr="00742A04">
        <w:t>s</w:t>
      </w:r>
      <w:r w:rsidR="00545D1B" w:rsidRPr="00742A04">
        <w:t xml:space="preserve"> </w:t>
      </w:r>
      <w:r w:rsidR="005C19C7" w:rsidRPr="00742A04">
        <w:t>a superar esas</w:t>
      </w:r>
      <w:r w:rsidR="00545D1B" w:rsidRPr="00742A04">
        <w:t xml:space="preserve"> </w:t>
      </w:r>
      <w:r w:rsidR="008F0C8E" w:rsidRPr="00742A04">
        <w:t>e</w:t>
      </w:r>
      <w:r w:rsidR="008F0C8E" w:rsidRPr="00742A04">
        <w:t>x</w:t>
      </w:r>
      <w:r w:rsidR="008F0C8E" w:rsidRPr="00742A04">
        <w:t>periencia</w:t>
      </w:r>
      <w:r w:rsidR="00545D1B" w:rsidRPr="00742A04">
        <w:t>s</w:t>
      </w:r>
      <w:r w:rsidR="000A08D8" w:rsidRPr="00742A04">
        <w:t>.</w:t>
      </w:r>
    </w:p>
    <w:p w:rsidR="00545D1B" w:rsidRPr="00742A04" w:rsidRDefault="004D313C" w:rsidP="00F25AE0">
      <w:pPr>
        <w:pStyle w:val="SingleTxt"/>
        <w:ind w:firstLine="475"/>
      </w:pPr>
      <w:r w:rsidRPr="00742A04">
        <w:t>En el otoño</w:t>
      </w:r>
      <w:r w:rsidR="00F43124" w:rsidRPr="00742A04">
        <w:t xml:space="preserve"> de</w:t>
      </w:r>
      <w:r w:rsidR="00545D1B" w:rsidRPr="00742A04">
        <w:t xml:space="preserve"> 2004, </w:t>
      </w:r>
      <w:r w:rsidR="005C19C7" w:rsidRPr="00742A04">
        <w:t xml:space="preserve">la Región Oriental de </w:t>
      </w:r>
      <w:r w:rsidR="001725A9" w:rsidRPr="00742A04">
        <w:t>los Servicios Correccionales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D36C8" w:rsidRPr="00742A04">
        <w:t xml:space="preserve">la </w:t>
      </w:r>
      <w:r w:rsidR="00FB34C1" w:rsidRPr="00742A04">
        <w:t xml:space="preserve">Secretaría </w:t>
      </w:r>
      <w:r w:rsidR="00C076F2" w:rsidRPr="00742A04">
        <w:t xml:space="preserve">de los </w:t>
      </w:r>
      <w:r w:rsidR="005C19C7" w:rsidRPr="00742A04">
        <w:t>Centros de Crisis</w:t>
      </w:r>
      <w:r w:rsidR="00545D1B" w:rsidRPr="00742A04">
        <w:t xml:space="preserve"> </w:t>
      </w:r>
      <w:r w:rsidR="006E34DC">
        <w:t>celebraron</w:t>
      </w:r>
      <w:r w:rsidR="005C19C7" w:rsidRPr="00742A04">
        <w:t xml:space="preserve"> un acuerdo para iniciar un programa de</w:t>
      </w:r>
      <w:r w:rsidR="00545D1B" w:rsidRPr="00742A04">
        <w:t xml:space="preserve"> conversa</w:t>
      </w:r>
      <w:r w:rsidR="00C14BFF" w:rsidRPr="00742A04">
        <w:t xml:space="preserve">ción </w:t>
      </w:r>
      <w:r w:rsidR="005C19C7" w:rsidRPr="00742A04">
        <w:t>dirigido 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5C19C7" w:rsidRPr="00742A04">
        <w:t>reclusas víctimas de la violencia</w:t>
      </w:r>
      <w:r w:rsidR="00545D1B" w:rsidRPr="00742A04">
        <w:t xml:space="preserve">. </w:t>
      </w:r>
      <w:r w:rsidR="005C19C7" w:rsidRPr="00742A04">
        <w:t>El objeto</w:t>
      </w:r>
      <w:r w:rsidR="004F2F8A" w:rsidRPr="00742A04">
        <w:t xml:space="preserve"> del </w:t>
      </w:r>
      <w:r w:rsidR="00615664" w:rsidRPr="00742A04">
        <w:t>programa</w:t>
      </w:r>
      <w:r w:rsidR="00545D1B" w:rsidRPr="00742A04">
        <w:t xml:space="preserve"> </w:t>
      </w:r>
      <w:r w:rsidR="005C19C7" w:rsidRPr="00742A04">
        <w:t>era ayudar a las</w:t>
      </w:r>
      <w:r w:rsidR="00545D1B" w:rsidRPr="00742A04">
        <w:t xml:space="preserve"> </w:t>
      </w:r>
      <w:r w:rsidR="00D479CA" w:rsidRPr="00742A04">
        <w:t>mujeres reclusas</w:t>
      </w:r>
      <w:r w:rsidR="00545D1B" w:rsidRPr="00742A04">
        <w:t xml:space="preserve"> </w:t>
      </w:r>
      <w:r w:rsidR="005C19C7" w:rsidRPr="00742A04">
        <w:t>a salir</w:t>
      </w:r>
      <w:r w:rsidR="004F2F8A" w:rsidRPr="00742A04">
        <w:t xml:space="preserve"> del </w:t>
      </w:r>
      <w:r w:rsidR="0046110E" w:rsidRPr="00742A04">
        <w:t xml:space="preserve">rol </w:t>
      </w:r>
      <w:r w:rsidR="004A0730" w:rsidRPr="00742A04">
        <w:t>de</w:t>
      </w:r>
      <w:r w:rsidR="00545D1B" w:rsidRPr="00742A04">
        <w:t xml:space="preserve"> </w:t>
      </w:r>
      <w:r w:rsidR="00502E16" w:rsidRPr="00742A04">
        <w:t>víctima</w:t>
      </w:r>
      <w:r w:rsidR="005C19C7" w:rsidRPr="00742A04">
        <w:t>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C19C7" w:rsidRPr="00742A04">
        <w:t xml:space="preserve">impedir que los </w:t>
      </w:r>
      <w:r w:rsidR="00072AD7" w:rsidRPr="00742A04">
        <w:t>hombres</w:t>
      </w:r>
      <w:r w:rsidR="00545D1B" w:rsidRPr="00742A04">
        <w:t xml:space="preserve"> </w:t>
      </w:r>
      <w:r w:rsidR="005C19C7" w:rsidRPr="00742A04">
        <w:t>usaran</w:t>
      </w:r>
      <w:r w:rsidR="00550986" w:rsidRPr="00742A04">
        <w:t xml:space="preserve"> violencia contra la</w:t>
      </w:r>
      <w:r w:rsidR="005C19C7" w:rsidRPr="00742A04">
        <w:t>s</w:t>
      </w:r>
      <w:r w:rsidR="00550986" w:rsidRPr="00742A04">
        <w:t xml:space="preserve"> mujer</w:t>
      </w:r>
      <w:r w:rsidR="005C19C7" w:rsidRPr="00742A04">
        <w:t>es</w:t>
      </w:r>
      <w:r w:rsidR="00545D1B" w:rsidRPr="00742A04">
        <w:t xml:space="preserve">. </w:t>
      </w:r>
      <w:r w:rsidR="006E34DC">
        <w:t>La mejora</w:t>
      </w:r>
      <w:r w:rsidR="00E542AA" w:rsidRPr="00742A04">
        <w:t xml:space="preserve"> de</w:t>
      </w:r>
      <w:r w:rsidR="00545D1B" w:rsidRPr="00742A04">
        <w:t xml:space="preserve"> </w:t>
      </w:r>
      <w:r w:rsidR="00EF5B12" w:rsidRPr="00742A04">
        <w:t>la capacitación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C19C7" w:rsidRPr="00742A04">
        <w:t>los funcionarios carcelarios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5C19C7" w:rsidRPr="00742A04">
        <w:t>er</w:t>
      </w:r>
      <w:r w:rsidR="00545D1B" w:rsidRPr="00742A04">
        <w:t>a</w:t>
      </w:r>
      <w:r w:rsidR="005C19C7" w:rsidRPr="00742A04">
        <w:t xml:space="preserve"> un</w:t>
      </w:r>
      <w:r w:rsidR="00545D1B" w:rsidRPr="00742A04">
        <w:t xml:space="preserve"> component</w:t>
      </w:r>
      <w:r w:rsidR="005C19C7" w:rsidRPr="00742A04">
        <w:t>e</w:t>
      </w:r>
      <w:r w:rsidR="00545D1B" w:rsidRPr="00742A04">
        <w:t xml:space="preserve"> </w:t>
      </w:r>
      <w:r w:rsidR="0077058E" w:rsidRPr="00742A04">
        <w:t>del proyecto</w:t>
      </w:r>
      <w:r w:rsidR="00545D1B" w:rsidRPr="00742A04">
        <w:t xml:space="preserve">. </w:t>
      </w:r>
      <w:r w:rsidR="005C19C7" w:rsidRPr="00742A04">
        <w:t>Se ha dado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5C6D40" w:rsidRPr="00742A04">
        <w:t xml:space="preserve">la </w:t>
      </w:r>
      <w:r w:rsidR="005C19C7" w:rsidRPr="00742A04">
        <w:t xml:space="preserve">oportunidad de </w:t>
      </w:r>
      <w:r w:rsidR="001633F4" w:rsidRPr="00742A04">
        <w:t>participar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1178E" w:rsidRPr="00742A04">
        <w:t>grupos</w:t>
      </w:r>
      <w:r w:rsidR="00545D1B" w:rsidRPr="00742A04">
        <w:t xml:space="preserve"> </w:t>
      </w:r>
      <w:r w:rsidR="005C19C7" w:rsidRPr="00742A04">
        <w:t xml:space="preserve">ordinarios </w:t>
      </w:r>
      <w:r w:rsidR="008E5EBF" w:rsidRPr="00742A04">
        <w:t>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C19C7" w:rsidRPr="00742A04">
        <w:t>mantener entr</w:t>
      </w:r>
      <w:r w:rsidR="005C19C7" w:rsidRPr="00742A04">
        <w:t>e</w:t>
      </w:r>
      <w:r w:rsidR="005C19C7" w:rsidRPr="00742A04">
        <w:t>vistas</w:t>
      </w:r>
      <w:r w:rsidR="00545D1B" w:rsidRPr="00742A04">
        <w:t xml:space="preserve"> individual</w:t>
      </w:r>
      <w:r w:rsidR="005C19C7" w:rsidRPr="00742A04">
        <w:t>es en</w:t>
      </w:r>
      <w:r w:rsidR="00545D1B" w:rsidRPr="00742A04">
        <w:t xml:space="preserve"> </w:t>
      </w:r>
      <w:r w:rsidR="00507A11" w:rsidRPr="00742A04">
        <w:t>el centro de crisis</w:t>
      </w:r>
      <w:r w:rsidR="00545D1B" w:rsidRPr="00742A04">
        <w:t xml:space="preserve">, </w:t>
      </w:r>
      <w:r w:rsidR="0030626A" w:rsidRPr="00742A04">
        <w:t>también</w:t>
      </w:r>
      <w:r w:rsidR="00545D1B" w:rsidRPr="00742A04">
        <w:t xml:space="preserve"> </w:t>
      </w:r>
      <w:r w:rsidR="005C19C7" w:rsidRPr="00742A04">
        <w:t>mientras están cumpliendo su condena</w:t>
      </w:r>
      <w:r w:rsidR="00545D1B" w:rsidRPr="00742A04">
        <w:t xml:space="preserve">. </w:t>
      </w:r>
      <w:r w:rsidR="005C19C7" w:rsidRPr="00742A04">
        <w:t>Las e</w:t>
      </w:r>
      <w:r w:rsidR="008F0C8E" w:rsidRPr="00742A04">
        <w:t>xperiencia</w:t>
      </w:r>
      <w:r w:rsidR="00545D1B" w:rsidRPr="00742A04">
        <w:t xml:space="preserve">s </w:t>
      </w:r>
      <w:r w:rsidR="005C19C7" w:rsidRPr="00742A04">
        <w:t xml:space="preserve">obtenidas con </w:t>
      </w:r>
      <w:r w:rsidR="0077058E" w:rsidRPr="00742A04">
        <w:t>el proyecto</w:t>
      </w:r>
      <w:r w:rsidR="00545D1B" w:rsidRPr="00742A04">
        <w:t xml:space="preserve"> </w:t>
      </w:r>
      <w:r w:rsidR="005C19C7" w:rsidRPr="00742A04">
        <w:t>han sido</w:t>
      </w:r>
      <w:r w:rsidR="00545D1B" w:rsidRPr="00742A04">
        <w:t xml:space="preserve"> </w:t>
      </w:r>
      <w:r w:rsidR="00BC2FBE" w:rsidRPr="00742A04">
        <w:t>sumamente</w:t>
      </w:r>
      <w:r w:rsidR="00545D1B" w:rsidRPr="00742A04">
        <w:t xml:space="preserve"> </w:t>
      </w:r>
      <w:r w:rsidR="005C19C7" w:rsidRPr="00742A04">
        <w:t>buenas</w:t>
      </w:r>
      <w:r w:rsidR="00545D1B" w:rsidRPr="00742A04">
        <w:t xml:space="preserve">. </w:t>
      </w:r>
      <w:r w:rsidR="005C19C7" w:rsidRPr="00742A04">
        <w:t>Las mujeres</w:t>
      </w:r>
      <w:r w:rsidR="00545D1B" w:rsidRPr="00742A04">
        <w:t xml:space="preserve"> relat</w:t>
      </w:r>
      <w:r w:rsidR="005C19C7" w:rsidRPr="00742A04">
        <w:t>an que les resultó doloroso hablar</w:t>
      </w:r>
      <w:r w:rsidR="00545D1B" w:rsidRPr="00742A04">
        <w:t xml:space="preserve"> </w:t>
      </w:r>
      <w:r w:rsidR="003E4840" w:rsidRPr="00742A04">
        <w:t>acerca de</w:t>
      </w:r>
      <w:r w:rsidR="00545D1B" w:rsidRPr="00742A04">
        <w:t xml:space="preserve"> </w:t>
      </w:r>
      <w:r w:rsidR="005C19C7" w:rsidRPr="00742A04">
        <w:t xml:space="preserve">la </w:t>
      </w:r>
      <w:r w:rsidR="00A05847" w:rsidRPr="00742A04">
        <w:t>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C19C7" w:rsidRPr="00742A04">
        <w:t xml:space="preserve">de </w:t>
      </w:r>
      <w:r w:rsidR="00F97F41" w:rsidRPr="00742A04">
        <w:t>su</w:t>
      </w:r>
      <w:r w:rsidR="005C19C7" w:rsidRPr="00742A04">
        <w:t>s</w:t>
      </w:r>
      <w:r w:rsidR="00545D1B" w:rsidRPr="00742A04">
        <w:t xml:space="preserve"> </w:t>
      </w:r>
      <w:r w:rsidR="008F0C8E" w:rsidRPr="00742A04">
        <w:t>experie</w:t>
      </w:r>
      <w:r w:rsidR="008F0C8E" w:rsidRPr="00742A04">
        <w:t>n</w:t>
      </w:r>
      <w:r w:rsidR="008F0C8E" w:rsidRPr="00742A04">
        <w:t>cia</w:t>
      </w:r>
      <w:r w:rsidR="00545D1B" w:rsidRPr="00742A04">
        <w:t>s</w:t>
      </w:r>
      <w:r w:rsidR="005C19C7" w:rsidRPr="00742A04">
        <w:t xml:space="preserve"> personales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5C19C7" w:rsidRPr="00742A04">
        <w:t>que su</w:t>
      </w:r>
      <w:r w:rsidR="00545D1B" w:rsidRPr="00742A04">
        <w:t xml:space="preserve"> </w:t>
      </w:r>
      <w:r w:rsidR="005C19C7" w:rsidRPr="00742A04">
        <w:t>salud mental</w:t>
      </w:r>
      <w:r w:rsidR="00545D1B" w:rsidRPr="00742A04">
        <w:t xml:space="preserve"> </w:t>
      </w:r>
      <w:r w:rsidR="005C19C7" w:rsidRPr="00742A04">
        <w:t>ha mejorado</w:t>
      </w:r>
      <w:r w:rsidR="00545D1B" w:rsidRPr="00742A04">
        <w:t xml:space="preserve"> </w:t>
      </w:r>
      <w:r w:rsidR="00024DBC" w:rsidRPr="00742A04">
        <w:t>y que</w:t>
      </w:r>
      <w:r w:rsidR="00545D1B" w:rsidRPr="00742A04">
        <w:t xml:space="preserve"> </w:t>
      </w:r>
      <w:r w:rsidR="005E2D7A" w:rsidRPr="00742A04">
        <w:t>el proceso</w:t>
      </w:r>
      <w:r w:rsidR="00545D1B" w:rsidRPr="00742A04">
        <w:t xml:space="preserve"> </w:t>
      </w:r>
      <w:r w:rsidR="005C19C7" w:rsidRPr="00742A04">
        <w:t>por el que pasaron</w:t>
      </w:r>
      <w:r w:rsidR="00545D1B" w:rsidRPr="00742A04">
        <w:t xml:space="preserve"> </w:t>
      </w:r>
      <w:r w:rsidR="003315C7" w:rsidRPr="00742A04">
        <w:t>durante</w:t>
      </w:r>
      <w:r w:rsidR="00545D1B" w:rsidRPr="00742A04">
        <w:t xml:space="preserve"> </w:t>
      </w:r>
      <w:r w:rsidR="002213CF" w:rsidRPr="00742A04">
        <w:t>el proyecto</w:t>
      </w:r>
      <w:r w:rsidR="00545D1B" w:rsidRPr="00742A04">
        <w:t xml:space="preserve"> </w:t>
      </w:r>
      <w:r w:rsidR="006D7D2F" w:rsidRPr="00742A04">
        <w:t>ha sido</w:t>
      </w:r>
      <w:r w:rsidR="005C19C7" w:rsidRPr="00742A04">
        <w:t xml:space="preserve"> un medio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5C19C7" w:rsidRPr="00742A04">
        <w:t>para prepararse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C19C7" w:rsidRPr="00742A04">
        <w:t>un</w:t>
      </w:r>
      <w:r w:rsidR="00545D1B" w:rsidRPr="00742A04">
        <w:t xml:space="preserve">a </w:t>
      </w:r>
      <w:r w:rsidR="000C68A8" w:rsidRPr="00742A04">
        <w:t>vida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A05847" w:rsidRPr="00742A04">
        <w:t>violencia</w:t>
      </w:r>
      <w:r w:rsidR="00545D1B" w:rsidRPr="00742A04">
        <w:t xml:space="preserve"> </w:t>
      </w:r>
      <w:r w:rsidR="003E4840" w:rsidRPr="00742A04">
        <w:t>después de</w:t>
      </w:r>
      <w:r w:rsidR="00545D1B" w:rsidRPr="00742A04">
        <w:t xml:space="preserve"> </w:t>
      </w:r>
      <w:r w:rsidR="005C19C7" w:rsidRPr="00742A04">
        <w:t>salir de la prisión</w:t>
      </w:r>
      <w:r w:rsidR="00545D1B" w:rsidRPr="00742A04">
        <w:t>.</w:t>
      </w:r>
    </w:p>
    <w:p w:rsidR="00545D1B" w:rsidRPr="00742A04" w:rsidRDefault="005C19C7" w:rsidP="002C4922">
      <w:pPr>
        <w:pStyle w:val="SingleTxt"/>
        <w:rPr>
          <w:b/>
        </w:rPr>
      </w:pPr>
      <w:r w:rsidRPr="00742A04">
        <w:rPr>
          <w:b/>
        </w:rPr>
        <w:t>P</w:t>
      </w:r>
      <w:r w:rsidR="00B82A08" w:rsidRPr="00742A04">
        <w:rPr>
          <w:b/>
        </w:rPr>
        <w:t>ersonas</w:t>
      </w:r>
      <w:r w:rsidR="00545D1B" w:rsidRPr="00742A04">
        <w:rPr>
          <w:b/>
        </w:rPr>
        <w:t xml:space="preserve"> </w:t>
      </w:r>
      <w:r w:rsidR="003E5775" w:rsidRPr="00742A04">
        <w:rPr>
          <w:b/>
        </w:rPr>
        <w:t>que</w:t>
      </w:r>
      <w:r w:rsidR="00545D1B" w:rsidRPr="00742A04">
        <w:rPr>
          <w:b/>
        </w:rPr>
        <w:t xml:space="preserve"> </w:t>
      </w:r>
      <w:r w:rsidRPr="00742A04">
        <w:rPr>
          <w:b/>
        </w:rPr>
        <w:t>carecen de</w:t>
      </w:r>
      <w:r w:rsidR="00545D1B" w:rsidRPr="00742A04">
        <w:rPr>
          <w:b/>
        </w:rPr>
        <w:t xml:space="preserve"> </w:t>
      </w:r>
      <w:r w:rsidRPr="00742A04">
        <w:rPr>
          <w:b/>
        </w:rPr>
        <w:t>permiso</w:t>
      </w:r>
      <w:r w:rsidR="00545D1B" w:rsidRPr="00742A04">
        <w:rPr>
          <w:b/>
        </w:rPr>
        <w:t xml:space="preserve"> </w:t>
      </w:r>
      <w:r w:rsidR="00EA1805" w:rsidRPr="00742A04">
        <w:rPr>
          <w:b/>
        </w:rPr>
        <w:t>de</w:t>
      </w:r>
      <w:r w:rsidR="00545D1B" w:rsidRPr="00742A04">
        <w:rPr>
          <w:b/>
        </w:rPr>
        <w:t xml:space="preserve"> </w:t>
      </w:r>
      <w:r w:rsidR="00EA1805" w:rsidRPr="00742A04">
        <w:rPr>
          <w:b/>
        </w:rPr>
        <w:t>residencia permanente</w:t>
      </w:r>
      <w:r w:rsidR="00FF575F" w:rsidRPr="00742A04">
        <w:rPr>
          <w:b/>
        </w:rPr>
        <w:t xml:space="preserve"> </w:t>
      </w:r>
      <w:r w:rsidR="00C14BFF" w:rsidRPr="00742A04">
        <w:rPr>
          <w:b/>
        </w:rPr>
        <w:t>en</w:t>
      </w:r>
      <w:r w:rsidR="00545D1B" w:rsidRPr="00742A04">
        <w:rPr>
          <w:b/>
        </w:rPr>
        <w:t xml:space="preserve"> </w:t>
      </w:r>
      <w:r w:rsidR="00EA26AB" w:rsidRPr="00742A04">
        <w:rPr>
          <w:b/>
        </w:rPr>
        <w:t>Noruega</w:t>
      </w:r>
    </w:p>
    <w:p w:rsidR="00545D1B" w:rsidRPr="00742A04" w:rsidRDefault="00EA1805" w:rsidP="00F25AE0">
      <w:pPr>
        <w:pStyle w:val="SingleTxt"/>
        <w:ind w:firstLine="475"/>
      </w:pPr>
      <w:r w:rsidRPr="00742A04">
        <w:t>Una enmienda legislativa adoptada el</w:t>
      </w:r>
      <w:r w:rsidR="00545D1B" w:rsidRPr="00742A04">
        <w:t xml:space="preserve"> 6 </w:t>
      </w:r>
      <w:r w:rsidR="004A0730" w:rsidRPr="00742A04">
        <w:t>enero de</w:t>
      </w:r>
      <w:r w:rsidR="00545D1B" w:rsidRPr="00742A04">
        <w:t xml:space="preserve"> 2006 in</w:t>
      </w:r>
      <w:r w:rsidRPr="00742A04">
        <w:t>corporó</w:t>
      </w:r>
      <w:r w:rsidR="00545D1B" w:rsidRPr="00742A04">
        <w:t xml:space="preserve"> </w:t>
      </w:r>
      <w:r w:rsidR="00980475" w:rsidRPr="00742A04">
        <w:t>disposiciones</w:t>
      </w:r>
      <w:r w:rsidR="00545D1B" w:rsidRPr="00742A04">
        <w:t xml:space="preserve"> </w:t>
      </w:r>
      <w:r w:rsidRPr="00742A04">
        <w:t xml:space="preserve">que </w:t>
      </w:r>
      <w:r w:rsidR="00545D1B" w:rsidRPr="00742A04">
        <w:t>prescrib</w:t>
      </w:r>
      <w:r w:rsidR="00952329" w:rsidRPr="00742A04">
        <w:t>en</w:t>
      </w:r>
      <w:r w:rsidRPr="00742A04">
        <w:t xml:space="preserve"> que se podrá </w:t>
      </w:r>
      <w:r w:rsidR="00952329" w:rsidRPr="00742A04">
        <w:t>deneg</w:t>
      </w:r>
      <w:r w:rsidRPr="00742A04">
        <w:t>ar</w:t>
      </w:r>
      <w:r w:rsidR="00545D1B" w:rsidRPr="00742A04">
        <w:t xml:space="preserve"> </w:t>
      </w:r>
      <w:r w:rsidRPr="00742A04">
        <w:t>una solicitud</w:t>
      </w:r>
      <w:r w:rsidR="00C14BFF" w:rsidRPr="00742A04">
        <w:t xml:space="preserve"> </w:t>
      </w:r>
      <w:r w:rsidRPr="00742A04">
        <w:t>de</w:t>
      </w:r>
      <w:r w:rsidR="00545D1B" w:rsidRPr="00742A04">
        <w:t xml:space="preserve"> establ</w:t>
      </w:r>
      <w:r w:rsidRPr="00742A04">
        <w:t>ecimiento de una</w:t>
      </w:r>
      <w:r w:rsidR="00545D1B" w:rsidRPr="00742A04">
        <w:t xml:space="preserve"> </w:t>
      </w:r>
      <w:r w:rsidR="005C6D40" w:rsidRPr="00742A04">
        <w:t>fam</w:t>
      </w:r>
      <w:r w:rsidR="005C6D40" w:rsidRPr="00742A04">
        <w:t>i</w:t>
      </w:r>
      <w:r w:rsidR="005C6D40" w:rsidRPr="00742A04">
        <w:t>lia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de otorgamiento de un</w:t>
      </w:r>
      <w:r w:rsidR="00545D1B" w:rsidRPr="00742A04">
        <w:t xml:space="preserve">a visa </w:t>
      </w:r>
      <w:r w:rsidR="00232DF9" w:rsidRPr="00742A04">
        <w:t>si</w:t>
      </w:r>
      <w:r w:rsidR="00545D1B" w:rsidRPr="00742A04">
        <w:t xml:space="preserve"> </w:t>
      </w:r>
      <w:r w:rsidRPr="00742A04">
        <w:t>es previsible que el o la solicitante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>sus hijos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BC2FBE" w:rsidRPr="00742A04">
        <w:t>otro</w:t>
      </w:r>
      <w:r w:rsidR="00545D1B" w:rsidRPr="00742A04">
        <w:t xml:space="preserve"> </w:t>
      </w:r>
      <w:r w:rsidRPr="00742A04">
        <w:t>matrimonio</w:t>
      </w:r>
      <w:r w:rsidR="00545D1B" w:rsidRPr="00742A04">
        <w:t xml:space="preserve"> </w:t>
      </w:r>
      <w:r w:rsidRPr="00742A04">
        <w:t>sean sometidos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>grave</w:t>
      </w:r>
      <w:r w:rsidR="00545D1B" w:rsidRPr="00742A04">
        <w:t xml:space="preserve"> </w:t>
      </w:r>
      <w:r w:rsidR="00834309" w:rsidRPr="00742A04">
        <w:t>explot</w:t>
      </w:r>
      <w:r w:rsidR="00545D1B" w:rsidRPr="00742A04">
        <w:t>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EF5B12" w:rsidRPr="00742A04">
        <w:t>A este respecto, ta</w:t>
      </w:r>
      <w:r w:rsidR="00EF5B12" w:rsidRPr="00742A04">
        <w:t>m</w:t>
      </w:r>
      <w:r w:rsidR="00EF5B12" w:rsidRPr="00742A04">
        <w:t>bién se promulgaron disposiciones relativas al derecho a verificar la conducta y el carácter de la persona de referencia en casos relativo</w:t>
      </w:r>
      <w:r w:rsidR="00514C3D">
        <w:t>s</w:t>
      </w:r>
      <w:r w:rsidR="00EF5B12" w:rsidRPr="00742A04">
        <w:t xml:space="preserve"> a</w:t>
      </w:r>
      <w:r w:rsidR="00EF5B12">
        <w:t>l asentamiento de la</w:t>
      </w:r>
      <w:r w:rsidR="00EF5B12" w:rsidRPr="00742A04">
        <w:t xml:space="preserve"> familia y </w:t>
      </w:r>
      <w:r w:rsidR="00EF5B12">
        <w:t xml:space="preserve">a las </w:t>
      </w:r>
      <w:r w:rsidR="00EF5B12" w:rsidRPr="00742A04">
        <w:t xml:space="preserve">visas. </w:t>
      </w:r>
      <w:r w:rsidR="006B65CD" w:rsidRPr="00742A04">
        <w:t>La finalidad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evitar el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 xml:space="preserve">la </w:t>
      </w:r>
      <w:r w:rsidR="00834309" w:rsidRPr="00742A04">
        <w:t>cínica</w:t>
      </w:r>
      <w:r w:rsidR="00545D1B" w:rsidRPr="00742A04">
        <w:t xml:space="preserve"> </w:t>
      </w:r>
      <w:r w:rsidR="00834309" w:rsidRPr="00742A04">
        <w:t>explot</w:t>
      </w:r>
      <w:r w:rsidR="00545D1B" w:rsidRPr="00742A04">
        <w:t>a</w:t>
      </w:r>
      <w:r w:rsidR="00C14BFF" w:rsidRPr="00742A04">
        <w:t xml:space="preserve">ción </w:t>
      </w:r>
      <w:r w:rsidR="004D313C" w:rsidRPr="00742A04">
        <w:t>de mujeres</w:t>
      </w:r>
      <w:r w:rsidR="00545D1B" w:rsidRPr="00742A04">
        <w:t xml:space="preserve"> </w:t>
      </w:r>
      <w:r w:rsidRPr="00742A04">
        <w:t>pr</w:t>
      </w:r>
      <w:r w:rsidRPr="00742A04">
        <w:t>o</w:t>
      </w:r>
      <w:r w:rsidRPr="00742A04">
        <w:t xml:space="preserve">venientes </w:t>
      </w:r>
      <w:r w:rsidR="008F0C8E" w:rsidRPr="00742A04">
        <w:t>de</w:t>
      </w:r>
      <w:r w:rsidR="00545D1B" w:rsidRPr="00742A04">
        <w:t xml:space="preserve"> </w:t>
      </w:r>
      <w:r w:rsidR="00834309" w:rsidRPr="00742A04">
        <w:t>países más pobres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834309" w:rsidRPr="00742A04">
        <w:t>se casan con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4D313C" w:rsidRPr="00742A04">
        <w:t>que viven 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Pr="00742A04">
        <w:t>Las disposiciones</w:t>
      </w:r>
      <w:r w:rsidR="008E5EBF" w:rsidRPr="00742A04">
        <w:t xml:space="preserve"> relativas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5D1B" w:rsidRPr="00742A04">
        <w:t>verifica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3E5438" w:rsidRPr="00742A04">
        <w:t xml:space="preserve">la </w:t>
      </w:r>
      <w:r w:rsidR="00072AD7" w:rsidRPr="00742A04">
        <w:t>conducta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 carácter</w:t>
      </w:r>
      <w:r w:rsidR="00545D1B" w:rsidRPr="00742A04">
        <w:t xml:space="preserve"> </w:t>
      </w:r>
      <w:r w:rsidR="003E5438" w:rsidRPr="00742A04">
        <w:t>de la pers</w:t>
      </w:r>
      <w:r w:rsidR="003E5438" w:rsidRPr="00742A04">
        <w:t>o</w:t>
      </w:r>
      <w:r w:rsidR="003E5438" w:rsidRPr="00742A04">
        <w:t>na de ref</w:t>
      </w:r>
      <w:r w:rsidR="003E5438" w:rsidRPr="00742A04">
        <w:t>e</w:t>
      </w:r>
      <w:r w:rsidR="003E5438" w:rsidRPr="00742A04">
        <w:t>rencia aún no han entrado en vigor</w:t>
      </w:r>
      <w:r w:rsidR="00545D1B" w:rsidRPr="00742A04">
        <w:t>.</w:t>
      </w:r>
    </w:p>
    <w:p w:rsidR="00545D1B" w:rsidRPr="00742A04" w:rsidRDefault="001725A9" w:rsidP="00F25AE0">
      <w:pPr>
        <w:pStyle w:val="SingleTxt"/>
        <w:ind w:firstLine="475"/>
      </w:pPr>
      <w:r w:rsidRPr="00742A04">
        <w:t>El Reglamento de Inmigración</w:t>
      </w:r>
      <w:r w:rsidR="00545D1B" w:rsidRPr="00742A04">
        <w:t xml:space="preserve"> </w:t>
      </w:r>
      <w:r w:rsidR="00FF575F" w:rsidRPr="00742A04">
        <w:t xml:space="preserve">contiene </w:t>
      </w:r>
      <w:r w:rsidR="007A778F" w:rsidRPr="00742A04">
        <w:t>una disposición especial</w:t>
      </w:r>
      <w:r w:rsidR="005E6919" w:rsidRPr="00742A04">
        <w:t xml:space="preserve"> </w:t>
      </w:r>
      <w:r w:rsidR="007A778F" w:rsidRPr="00742A04">
        <w:t xml:space="preserve">dirigida </w:t>
      </w:r>
      <w:r w:rsidR="00514C3D">
        <w:t xml:space="preserve">a </w:t>
      </w:r>
      <w:r w:rsidR="007A778F" w:rsidRPr="00742A04">
        <w:t>las mujeres y los niños víctimas de abuso</w:t>
      </w:r>
      <w:r w:rsidR="00545D1B" w:rsidRPr="00742A04">
        <w:t xml:space="preserve">. </w:t>
      </w:r>
      <w:r w:rsidR="007A778F" w:rsidRPr="00742A04">
        <w:t>Con arreglo a dicha</w:t>
      </w:r>
      <w:r w:rsidR="00545D1B" w:rsidRPr="00742A04">
        <w:t xml:space="preserve"> </w:t>
      </w:r>
      <w:r w:rsidR="00C923A8" w:rsidRPr="00742A04">
        <w:t>disposición</w:t>
      </w:r>
      <w:r w:rsidR="00545D1B" w:rsidRPr="00742A04">
        <w:t xml:space="preserve">, </w:t>
      </w:r>
      <w:r w:rsidR="007B3E5A" w:rsidRPr="00742A04">
        <w:t xml:space="preserve">a </w:t>
      </w:r>
      <w:r w:rsidR="007A778F" w:rsidRPr="00742A04">
        <w:t>las muj</w:t>
      </w:r>
      <w:r w:rsidR="007A778F" w:rsidRPr="00742A04">
        <w:t>e</w:t>
      </w:r>
      <w:r w:rsidR="007A778F" w:rsidRPr="00742A04">
        <w:t>res y los niños víctimas de abuso</w:t>
      </w:r>
      <w:r w:rsidR="00545D1B" w:rsidRPr="00742A04">
        <w:t xml:space="preserve"> </w:t>
      </w:r>
      <w:r w:rsidR="007A778F" w:rsidRPr="00742A04">
        <w:t xml:space="preserve">a </w:t>
      </w:r>
      <w:r w:rsidR="00514C3D">
        <w:t>quienes</w:t>
      </w:r>
      <w:r w:rsidR="007A778F" w:rsidRPr="00742A04">
        <w:t xml:space="preserve"> se ha</w:t>
      </w:r>
      <w:r w:rsidR="00514C3D">
        <w:t>ya</w:t>
      </w:r>
      <w:r w:rsidR="007A778F" w:rsidRPr="00742A04">
        <w:t xml:space="preserve"> </w:t>
      </w:r>
      <w:r w:rsidR="007B3E5A" w:rsidRPr="00742A04">
        <w:t>otorga</w:t>
      </w:r>
      <w:r w:rsidR="007A778F" w:rsidRPr="00742A04">
        <w:t xml:space="preserve">do </w:t>
      </w:r>
      <w:r w:rsidR="007B3E5A" w:rsidRPr="00742A04">
        <w:t>un</w:t>
      </w:r>
      <w:r w:rsidR="007A778F" w:rsidRPr="00742A04">
        <w:t xml:space="preserve"> </w:t>
      </w:r>
      <w:r w:rsidR="007B3E5A" w:rsidRPr="00742A04">
        <w:t>permiso de reside</w:t>
      </w:r>
      <w:r w:rsidR="007B3E5A" w:rsidRPr="00742A04">
        <w:t>n</w:t>
      </w:r>
      <w:r w:rsidR="007B3E5A" w:rsidRPr="00742A04">
        <w:t>cia con el fin de lograr la</w:t>
      </w:r>
      <w:r w:rsidR="00545D1B" w:rsidRPr="00742A04">
        <w:t xml:space="preserve"> </w:t>
      </w:r>
      <w:r w:rsidR="007B3E5A" w:rsidRPr="00742A04">
        <w:t>reunificación de la familia</w:t>
      </w:r>
      <w:r w:rsidR="00C14BFF" w:rsidRPr="00742A04">
        <w:t xml:space="preserve"> </w:t>
      </w:r>
      <w:r w:rsidR="007B3E5A" w:rsidRPr="00742A04">
        <w:t xml:space="preserve">se les </w:t>
      </w:r>
      <w:r w:rsidR="00545D1B" w:rsidRPr="00742A04">
        <w:t>re</w:t>
      </w:r>
      <w:r w:rsidR="007B3E5A" w:rsidRPr="00742A04">
        <w:t>no</w:t>
      </w:r>
      <w:r w:rsidR="007C65B3" w:rsidRPr="00742A04">
        <w:t>va</w:t>
      </w:r>
      <w:r w:rsidR="007B3E5A" w:rsidRPr="00742A04">
        <w:t>r</w:t>
      </w:r>
      <w:r w:rsidR="00514C3D">
        <w:t>á</w:t>
      </w:r>
      <w:r w:rsidR="007B3E5A" w:rsidRPr="00742A04">
        <w:t xml:space="preserve"> el</w:t>
      </w:r>
      <w:r w:rsidR="00545D1B" w:rsidRPr="00742A04">
        <w:t xml:space="preserve"> </w:t>
      </w:r>
      <w:r w:rsidR="007A778F" w:rsidRPr="00742A04">
        <w:t>permiso de residencia</w:t>
      </w:r>
      <w:r w:rsidR="00545D1B" w:rsidRPr="00742A04">
        <w:t xml:space="preserve"> </w:t>
      </w:r>
      <w:r w:rsidR="007B3E5A" w:rsidRPr="00742A04">
        <w:t>por otros motivos</w:t>
      </w:r>
      <w:r w:rsidR="00545D1B" w:rsidRPr="00742A04">
        <w:t xml:space="preserve"> </w:t>
      </w:r>
      <w:r w:rsidR="00232DF9" w:rsidRPr="00742A04">
        <w:t>si</w:t>
      </w:r>
      <w:r w:rsidR="007B3E5A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. </w:t>
      </w:r>
      <w:r w:rsidR="006B65CD"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46C41" w:rsidRPr="00742A04">
        <w:t>la disposición</w:t>
      </w:r>
      <w:r w:rsidR="005E6919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="007B3E5A" w:rsidRPr="00742A04">
        <w:t>que</w:t>
      </w:r>
      <w:r w:rsidR="00545D1B" w:rsidRPr="00742A04">
        <w:t xml:space="preserve"> </w:t>
      </w:r>
      <w:r w:rsidR="0038081E" w:rsidRPr="00742A04">
        <w:t xml:space="preserve">la víctima </w:t>
      </w:r>
      <w:r w:rsidR="004A0730" w:rsidRPr="00742A04">
        <w:t>de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 </w:t>
      </w:r>
      <w:r w:rsidR="00673B5D" w:rsidRPr="00742A04">
        <w:t xml:space="preserve">no </w:t>
      </w:r>
      <w:r w:rsidR="007B3E5A" w:rsidRPr="00742A04">
        <w:t>se vea</w:t>
      </w:r>
      <w:r w:rsidR="00673B5D" w:rsidRPr="00742A04">
        <w:t xml:space="preserve"> </w:t>
      </w:r>
      <w:r w:rsidR="00545D1B" w:rsidRPr="00742A04">
        <w:t>for</w:t>
      </w:r>
      <w:r w:rsidR="007B3E5A" w:rsidRPr="00742A04">
        <w:t>zada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7B3E5A" w:rsidRPr="00742A04">
        <w:t>permanecer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B3E5A" w:rsidRPr="00742A04">
        <w:t>esa</w:t>
      </w:r>
      <w:r w:rsidR="00545D1B" w:rsidRPr="00742A04">
        <w:t xml:space="preserve"> situa</w:t>
      </w:r>
      <w:r w:rsidR="00C14BFF" w:rsidRPr="00742A04">
        <w:t xml:space="preserve">ción </w:t>
      </w:r>
      <w:r w:rsidR="000F0ACC" w:rsidRPr="00742A04">
        <w:t>a fin de</w:t>
      </w:r>
      <w:r w:rsidR="00545D1B" w:rsidRPr="00742A04">
        <w:t xml:space="preserve"> </w:t>
      </w:r>
      <w:r w:rsidR="007B3E5A" w:rsidRPr="00742A04">
        <w:t>mantener el</w:t>
      </w:r>
      <w:r w:rsidR="00545D1B" w:rsidRPr="00742A04">
        <w:t xml:space="preserve"> </w:t>
      </w:r>
      <w:r w:rsidR="005C19C7" w:rsidRPr="00742A04">
        <w:t>permiso</w:t>
      </w:r>
      <w:r w:rsidR="00545D1B" w:rsidRPr="00742A04">
        <w:t xml:space="preserve"> </w:t>
      </w:r>
      <w:r w:rsidR="007B3E5A" w:rsidRPr="00742A04">
        <w:t>par</w:t>
      </w:r>
      <w:r w:rsidR="0030626A" w:rsidRPr="00742A04">
        <w:t>a</w:t>
      </w:r>
      <w:r w:rsidR="007B3E5A" w:rsidRPr="00742A04">
        <w:t xml:space="preserve"> residir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="007B3E5A" w:rsidRPr="00742A04">
        <w:t>Según surge de las e</w:t>
      </w:r>
      <w:r w:rsidR="0067405D" w:rsidRPr="00742A04">
        <w:t>stadísticas</w:t>
      </w:r>
      <w:r w:rsidR="00545D1B" w:rsidRPr="00742A04">
        <w:t xml:space="preserve"> </w:t>
      </w:r>
      <w:r w:rsidR="00F43124" w:rsidRPr="00742A04">
        <w:t xml:space="preserve">de la </w:t>
      </w:r>
      <w:r w:rsidR="008A38B9" w:rsidRPr="00742A04">
        <w:t>Dirección de Inm</w:t>
      </w:r>
      <w:r w:rsidR="00545D1B" w:rsidRPr="00742A04">
        <w:t>igra</w:t>
      </w:r>
      <w:r w:rsidR="00C14BFF" w:rsidRPr="00742A04">
        <w:t xml:space="preserve">ción </w:t>
      </w:r>
      <w:r w:rsidR="007B3E5A" w:rsidRPr="00742A04">
        <w:t xml:space="preserve">correspondientes a </w:t>
      </w:r>
      <w:r w:rsidR="00545D1B" w:rsidRPr="00742A04">
        <w:t>2004</w:t>
      </w:r>
      <w:r w:rsidR="007B3E5A" w:rsidRPr="00742A04">
        <w:t>,</w:t>
      </w:r>
      <w:r w:rsidR="00545D1B" w:rsidRPr="00742A04">
        <w:t xml:space="preserve"> </w:t>
      </w:r>
      <w:r w:rsidR="007B3E5A" w:rsidRPr="00742A04">
        <w:t>de un total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89 </w:t>
      </w:r>
      <w:r w:rsidR="00CE1CFC" w:rsidRPr="00742A04">
        <w:t>solicit</w:t>
      </w:r>
      <w:r w:rsidR="00CE1CFC" w:rsidRPr="00742A04">
        <w:t>u</w:t>
      </w:r>
      <w:r w:rsidR="00CE1CFC" w:rsidRPr="00742A04">
        <w:t>des de</w:t>
      </w:r>
      <w:r w:rsidR="00545D1B" w:rsidRPr="00742A04">
        <w:t xml:space="preserve"> </w:t>
      </w:r>
      <w:r w:rsidR="007A778F" w:rsidRPr="00742A04">
        <w:t>permiso de residencia</w:t>
      </w:r>
      <w:r w:rsidR="00545D1B" w:rsidRPr="00742A04">
        <w:t xml:space="preserve"> </w:t>
      </w:r>
      <w:r w:rsidR="007B3E5A" w:rsidRPr="00742A04">
        <w:t>por esos motivos</w:t>
      </w:r>
      <w:r w:rsidR="00545D1B" w:rsidRPr="00742A04">
        <w:t xml:space="preserve">, 58 </w:t>
      </w:r>
      <w:r w:rsidR="007B3E5A" w:rsidRPr="00742A04">
        <w:t>fueron otorgadas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31 </w:t>
      </w:r>
      <w:r w:rsidR="007B3E5A" w:rsidRPr="00742A04">
        <w:t>fueron d</w:t>
      </w:r>
      <w:r w:rsidR="007B3E5A" w:rsidRPr="00742A04">
        <w:t>e</w:t>
      </w:r>
      <w:r w:rsidR="007B3E5A" w:rsidRPr="00742A04">
        <w:t>negadas</w:t>
      </w:r>
      <w:r w:rsidR="00545D1B" w:rsidRPr="00742A04">
        <w:t xml:space="preserve">. </w:t>
      </w:r>
      <w:r w:rsidR="0051344E" w:rsidRPr="00742A04">
        <w:t xml:space="preserve">En el informe </w:t>
      </w:r>
      <w:r w:rsidR="00545D1B" w:rsidRPr="00742A04">
        <w:t xml:space="preserve">NOU 2004: 20 </w:t>
      </w:r>
      <w:r w:rsidR="00545D1B" w:rsidRPr="00742A04">
        <w:rPr>
          <w:i/>
        </w:rPr>
        <w:t xml:space="preserve">Ny utlendingslov </w:t>
      </w:r>
      <w:r w:rsidR="00545D1B" w:rsidRPr="00742A04">
        <w:t>(</w:t>
      </w:r>
      <w:r w:rsidR="0046110E" w:rsidRPr="00742A04">
        <w:t>Informe Oficial de Noru</w:t>
      </w:r>
      <w:r w:rsidR="0046110E" w:rsidRPr="00742A04">
        <w:t>e</w:t>
      </w:r>
      <w:r w:rsidR="0046110E" w:rsidRPr="00742A04">
        <w:t>ga</w:t>
      </w:r>
      <w:r w:rsidR="00545D1B" w:rsidRPr="00742A04">
        <w:t xml:space="preserve"> 2004: 20</w:t>
      </w:r>
      <w:r w:rsidR="007B3E5A" w:rsidRPr="00742A04">
        <w:t>,</w:t>
      </w:r>
      <w:r w:rsidR="00B05988" w:rsidRPr="00742A04">
        <w:t xml:space="preserve"> </w:t>
      </w:r>
      <w:r w:rsidR="007B3E5A" w:rsidRPr="00742A04">
        <w:t>“U</w:t>
      </w:r>
      <w:r w:rsidR="00B05988" w:rsidRPr="00742A04">
        <w:t>n</w:t>
      </w:r>
      <w:r w:rsidR="007B3E5A" w:rsidRPr="00742A04">
        <w:t>a</w:t>
      </w:r>
      <w:r w:rsidR="00B05988" w:rsidRPr="00742A04">
        <w:t xml:space="preserve"> nue</w:t>
      </w:r>
      <w:r w:rsidR="007B3E5A" w:rsidRPr="00742A04">
        <w:t>va</w:t>
      </w:r>
      <w:r w:rsidR="00545D1B" w:rsidRPr="00742A04">
        <w:t xml:space="preserve"> </w:t>
      </w:r>
      <w:r w:rsidR="00CE1CFC" w:rsidRPr="00742A04">
        <w:t>Ley de Inmigración</w:t>
      </w:r>
      <w:r w:rsidR="007B3E5A" w:rsidRPr="00742A04">
        <w:t>”</w:t>
      </w:r>
      <w:r w:rsidR="00545D1B" w:rsidRPr="00742A04">
        <w:t xml:space="preserve">) </w:t>
      </w:r>
      <w:r w:rsidR="001904D3">
        <w:t>se</w:t>
      </w:r>
      <w:r w:rsidR="00545D1B" w:rsidRPr="00742A04">
        <w:t xml:space="preserve"> </w:t>
      </w:r>
      <w:r w:rsidR="003C25BF" w:rsidRPr="00742A04">
        <w:t>prop</w:t>
      </w:r>
      <w:r w:rsidR="001904D3">
        <w:t>one</w:t>
      </w:r>
      <w:r w:rsidR="00545D1B" w:rsidRPr="00742A04">
        <w:t xml:space="preserve"> </w:t>
      </w:r>
      <w:r w:rsidR="000C68A8" w:rsidRPr="00742A04">
        <w:t xml:space="preserve">que la </w:t>
      </w:r>
      <w:r w:rsidR="00146C41" w:rsidRPr="00742A04">
        <w:t>disposición</w:t>
      </w:r>
      <w:r w:rsidR="005E6919" w:rsidRPr="00742A04">
        <w:t xml:space="preserve"> </w:t>
      </w:r>
      <w:r w:rsidR="001904D3">
        <w:t>pase a ser</w:t>
      </w:r>
      <w:r w:rsidR="00545D1B" w:rsidRPr="00742A04">
        <w:t xml:space="preserve"> </w:t>
      </w:r>
      <w:r w:rsidR="001904D3" w:rsidRPr="00742A04">
        <w:t xml:space="preserve">neutral </w:t>
      </w:r>
      <w:r w:rsidR="001904D3">
        <w:t xml:space="preserve">desde el punto de vista del </w:t>
      </w:r>
      <w:r w:rsidR="00A836A1" w:rsidRPr="00742A04">
        <w:t>género</w:t>
      </w:r>
      <w:r w:rsidR="00545D1B" w:rsidRPr="00742A04">
        <w:t>.</w:t>
      </w:r>
    </w:p>
    <w:p w:rsidR="00545D1B" w:rsidRPr="00742A04" w:rsidRDefault="00982243" w:rsidP="001904D3">
      <w:pPr>
        <w:pStyle w:val="SingleTxt"/>
        <w:keepNext/>
        <w:rPr>
          <w:b/>
        </w:rPr>
      </w:pPr>
      <w:r w:rsidRPr="00742A04">
        <w:rPr>
          <w:b/>
        </w:rPr>
        <w:t>Violación</w:t>
      </w:r>
    </w:p>
    <w:p w:rsidR="00545D1B" w:rsidRPr="00742A04" w:rsidRDefault="00982243" w:rsidP="00F25AE0">
      <w:pPr>
        <w:pStyle w:val="SingleTxt"/>
        <w:ind w:firstLine="475"/>
      </w:pPr>
      <w:r w:rsidRPr="00742A04">
        <w:t>La violación</w:t>
      </w:r>
      <w:r w:rsidR="00545D1B" w:rsidRPr="00742A04">
        <w:t xml:space="preserve"> </w:t>
      </w:r>
      <w:r w:rsidR="0051344E" w:rsidRPr="00742A04">
        <w:t>plantea un desafío especial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1344E" w:rsidRPr="00742A04">
        <w:t>el sistema jurídico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1344E" w:rsidRPr="00742A04">
        <w:t>los servicios de salud</w:t>
      </w:r>
      <w:r w:rsidR="00545D1B" w:rsidRPr="00742A04">
        <w:t xml:space="preserve">. </w:t>
      </w:r>
      <w:r w:rsidR="0051344E" w:rsidRPr="00742A04">
        <w:t>Tanto la frecuencia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1344E" w:rsidRPr="00742A04">
        <w:t>las denuncias de violación como</w:t>
      </w:r>
      <w:r w:rsidR="00545D1B" w:rsidRPr="00742A04">
        <w:t xml:space="preserve"> </w:t>
      </w:r>
      <w:r w:rsidRPr="00742A04">
        <w:t>la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1344E" w:rsidRPr="00742A04">
        <w:t>c</w:t>
      </w:r>
      <w:r w:rsidR="0051344E" w:rsidRPr="00742A04">
        <w:t>a</w:t>
      </w:r>
      <w:r w:rsidR="0051344E" w:rsidRPr="00742A04">
        <w:t>sos de violación denunciados que culminan con una condena</w:t>
      </w:r>
      <w:r w:rsidR="00C14BFF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51344E" w:rsidRPr="00742A04">
        <w:t>bajas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311327" w:rsidRPr="00742A04">
        <w:t>la</w:t>
      </w:r>
      <w:r w:rsidR="0051344E" w:rsidRPr="00742A04">
        <w:t>s</w:t>
      </w:r>
      <w:r w:rsidR="00311327" w:rsidRPr="00742A04">
        <w:t xml:space="preserve"> encuesta</w:t>
      </w:r>
      <w:r w:rsidR="00545D1B" w:rsidRPr="00742A04">
        <w:t xml:space="preserve">s </w:t>
      </w:r>
      <w:r w:rsidR="0051344E" w:rsidRPr="00742A04">
        <w:t>han demostrado que</w:t>
      </w:r>
      <w:r w:rsidR="00545D1B" w:rsidRPr="00742A04">
        <w:t xml:space="preserve"> </w:t>
      </w:r>
      <w:r w:rsidR="0051344E" w:rsidRPr="00742A04">
        <w:t>hay importantes diferencias de calidad, contenido y organización entre los distintos servicios de salud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las víctimas de violación</w:t>
      </w:r>
      <w:r w:rsidR="00C27C42" w:rsidRPr="00742A04">
        <w:t>.</w:t>
      </w:r>
      <w:r w:rsidR="00545D1B" w:rsidRPr="00742A04">
        <w:t xml:space="preserve"> </w:t>
      </w:r>
      <w:r w:rsidR="0051344E" w:rsidRPr="00742A04">
        <w:t>Con arreglo a las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51344E" w:rsidRPr="00742A04">
        <w:t xml:space="preserve">previstas </w:t>
      </w:r>
      <w:r w:rsidR="00C14BFF" w:rsidRPr="00742A04">
        <w:t>en</w:t>
      </w:r>
      <w:r w:rsidR="00C05B34" w:rsidRPr="00742A04">
        <w:t xml:space="preserve"> el Plan</w:t>
      </w:r>
      <w:r w:rsidR="00F650FB" w:rsidRPr="00742A04">
        <w:t xml:space="preserve"> de Acción</w:t>
      </w:r>
      <w:r w:rsidR="00545D1B" w:rsidRPr="00742A04">
        <w:t xml:space="preserve">, </w:t>
      </w:r>
      <w:r w:rsidR="00B31D97" w:rsidRPr="00742A04">
        <w:t>los servicios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las ví</w:t>
      </w:r>
      <w:r w:rsidRPr="00742A04">
        <w:t>c</w:t>
      </w:r>
      <w:r w:rsidRPr="00742A04">
        <w:t>timas de violación</w:t>
      </w:r>
      <w:r w:rsidR="00545D1B" w:rsidRPr="00742A04">
        <w:t xml:space="preserve"> </w:t>
      </w:r>
      <w:r w:rsidR="00657260" w:rsidRPr="00742A04">
        <w:t>serán</w:t>
      </w:r>
      <w:r w:rsidR="00545D1B" w:rsidRPr="00742A04">
        <w:t xml:space="preserve"> </w:t>
      </w:r>
      <w:r w:rsidR="00B31D97" w:rsidRPr="00742A04">
        <w:t>mejora</w:t>
      </w:r>
      <w:r w:rsidR="00657260" w:rsidRPr="00742A04">
        <w:t>dos</w:t>
      </w:r>
      <w:r w:rsidR="00545D1B" w:rsidRPr="00742A04">
        <w:t xml:space="preserve"> </w:t>
      </w:r>
      <w:r w:rsidR="00B31D97" w:rsidRPr="00742A04">
        <w:t>fortaleciendo</w:t>
      </w:r>
      <w:r w:rsidR="00545D1B" w:rsidRPr="00742A04">
        <w:t xml:space="preserve"> </w:t>
      </w:r>
      <w:r w:rsidR="0051344E" w:rsidRPr="00742A04">
        <w:t>los servicios de salud</w:t>
      </w:r>
      <w:r w:rsidR="00545D1B" w:rsidRPr="00742A04">
        <w:t xml:space="preserve"> </w:t>
      </w:r>
      <w:r w:rsidR="00657260" w:rsidRPr="00742A04">
        <w:t>en los niv</w:t>
      </w:r>
      <w:r w:rsidR="00657260" w:rsidRPr="00742A04">
        <w:t>e</w:t>
      </w:r>
      <w:r w:rsidR="00657260" w:rsidRPr="00742A04">
        <w:t>les local y regional</w:t>
      </w:r>
      <w:r w:rsidR="00545D1B" w:rsidRPr="00742A04">
        <w:t xml:space="preserve">. </w:t>
      </w:r>
      <w:r w:rsidR="00657260" w:rsidRPr="00742A04">
        <w:t>En todos los condados se establecerá por lo menos</w:t>
      </w:r>
      <w:r w:rsidR="00545D1B" w:rsidRPr="00742A04">
        <w:t xml:space="preserve"> </w:t>
      </w:r>
      <w:r w:rsidR="00657260" w:rsidRPr="00742A04">
        <w:t>un</w:t>
      </w:r>
      <w:r w:rsidR="00545D1B" w:rsidRPr="00742A04">
        <w:t xml:space="preserve"> </w:t>
      </w:r>
      <w:r w:rsidR="00657260" w:rsidRPr="00742A04">
        <w:t xml:space="preserve">centro </w:t>
      </w:r>
      <w:r w:rsidR="00545D1B" w:rsidRPr="00742A04">
        <w:t>i</w:t>
      </w:r>
      <w:r w:rsidR="00545D1B" w:rsidRPr="00742A04">
        <w:t>n</w:t>
      </w:r>
      <w:r w:rsidR="00657260" w:rsidRPr="00742A04">
        <w:t>ter</w:t>
      </w:r>
      <w:r w:rsidR="00545D1B" w:rsidRPr="00742A04">
        <w:t>municipal</w:t>
      </w:r>
      <w:r w:rsidR="00657260" w:rsidRPr="00742A04">
        <w:t xml:space="preserve"> de</w:t>
      </w:r>
      <w:r w:rsidR="00545D1B" w:rsidRPr="00742A04">
        <w:t xml:space="preserve"> recep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E574AD" w:rsidRPr="00742A04">
        <w:t>las víctimas de la 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las víctimas de viol</w:t>
      </w:r>
      <w:r w:rsidRPr="00742A04">
        <w:t>a</w:t>
      </w:r>
      <w:r w:rsidRPr="00742A04">
        <w:t>ción</w:t>
      </w:r>
      <w:r w:rsidR="00545D1B" w:rsidRPr="00742A04">
        <w:t>.</w:t>
      </w:r>
    </w:p>
    <w:p w:rsidR="00545D1B" w:rsidRPr="00742A04" w:rsidRDefault="00EF5B12" w:rsidP="00F25AE0">
      <w:pPr>
        <w:pStyle w:val="SingleTxt"/>
        <w:ind w:firstLine="475"/>
      </w:pPr>
      <w:r w:rsidRPr="00742A04">
        <w:t>El Gobierno actual dijo en la página 70 de su plataforma política (la Declar</w:t>
      </w:r>
      <w:r w:rsidRPr="00742A04">
        <w:t>a</w:t>
      </w:r>
      <w:r w:rsidRPr="00742A04">
        <w:t xml:space="preserve">ción de Soria Moria) que se propone </w:t>
      </w:r>
      <w:r>
        <w:t>designar</w:t>
      </w:r>
      <w:r w:rsidRPr="00742A04">
        <w:t xml:space="preserve"> un comité público de amplia base p</w:t>
      </w:r>
      <w:r w:rsidRPr="00742A04">
        <w:t>a</w:t>
      </w:r>
      <w:r w:rsidRPr="00742A04">
        <w:t>ra que informe sobre la situación de las mujeres que han sufrido violación u otros t</w:t>
      </w:r>
      <w:r w:rsidRPr="00742A04">
        <w:t>i</w:t>
      </w:r>
      <w:r w:rsidRPr="00742A04">
        <w:t xml:space="preserve">pos de violencia sexual. </w:t>
      </w:r>
      <w:r w:rsidR="00657260" w:rsidRPr="00742A04">
        <w:t>E</w:t>
      </w:r>
      <w:r w:rsidR="00CE1CFC" w:rsidRPr="00742A04">
        <w:t>l comité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657260" w:rsidRPr="00742A04">
        <w:t xml:space="preserve">será </w:t>
      </w:r>
      <w:r>
        <w:t>design</w:t>
      </w:r>
      <w:r w:rsidR="00657260" w:rsidRPr="00742A04">
        <w:t>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86412" w:rsidRPr="00742A04">
        <w:t>agosto de</w:t>
      </w:r>
      <w:r w:rsidR="00545D1B" w:rsidRPr="00742A04">
        <w:t xml:space="preserve"> 2006, </w:t>
      </w:r>
      <w:r w:rsidR="00657260" w:rsidRPr="00742A04">
        <w:t>determinará</w:t>
      </w:r>
      <w:r w:rsidR="00545D1B" w:rsidRPr="00742A04">
        <w:t xml:space="preserve"> </w:t>
      </w:r>
      <w:r w:rsidR="00657260" w:rsidRPr="00742A04">
        <w:t>los factores</w:t>
      </w:r>
      <w:r w:rsidR="00545D1B" w:rsidRPr="00742A04">
        <w:t xml:space="preserve"> </w:t>
      </w:r>
      <w:r w:rsidR="00657260" w:rsidRPr="00742A04">
        <w:t>que contribuyen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657260" w:rsidRPr="00742A04">
        <w:t>que no se denuncie la violación</w:t>
      </w:r>
      <w:r w:rsidR="00545D1B" w:rsidRPr="00742A04">
        <w:t>, propo</w:t>
      </w:r>
      <w:r w:rsidR="00657260" w:rsidRPr="00742A04">
        <w:t>ndrá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57260" w:rsidRPr="00742A04">
        <w:t>e</w:t>
      </w:r>
      <w:r w:rsidR="00604B3A" w:rsidRPr="00742A04">
        <w:t>strategias</w:t>
      </w:r>
      <w:r w:rsidR="00545D1B" w:rsidRPr="00742A04">
        <w:t xml:space="preserve"> </w:t>
      </w:r>
      <w:r w:rsidR="00657260" w:rsidRPr="00742A04">
        <w:t>par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657260" w:rsidRPr="00742A04">
        <w:t>la tasa de denuncia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1344E" w:rsidRPr="00742A04">
        <w:t>los casos de violación</w:t>
      </w:r>
      <w:r w:rsidR="00545D1B" w:rsidRPr="00742A04">
        <w:t xml:space="preserve">, </w:t>
      </w:r>
      <w:r w:rsidR="00657260" w:rsidRPr="00742A04">
        <w:t>evaluará la forma en que puedan aplicarse</w:t>
      </w:r>
      <w:r w:rsidR="00545D1B" w:rsidRPr="00742A04">
        <w:t xml:space="preserve"> </w:t>
      </w:r>
      <w:r w:rsidR="00657260" w:rsidRPr="00742A04">
        <w:t>estrategias de resolución alternativa de conflictos</w:t>
      </w:r>
      <w:r w:rsidR="00C14BFF" w:rsidRPr="00742A04">
        <w:t xml:space="preserve"> en</w:t>
      </w:r>
      <w:r w:rsidR="00545D1B" w:rsidRPr="00742A04">
        <w:t xml:space="preserve"> </w:t>
      </w:r>
      <w:r w:rsidR="00544B38" w:rsidRPr="00742A04">
        <w:t>l</w:t>
      </w:r>
      <w:r w:rsidR="00657260" w:rsidRPr="00742A04">
        <w:t xml:space="preserve">os casos de violación </w:t>
      </w:r>
      <w:r w:rsidR="00877AA0" w:rsidRPr="00742A04">
        <w:t>y</w:t>
      </w:r>
      <w:r w:rsidR="00545D1B" w:rsidRPr="00742A04">
        <w:t xml:space="preserve"> </w:t>
      </w:r>
      <w:r w:rsidR="00657260" w:rsidRPr="00742A04">
        <w:t>evaluará</w:t>
      </w:r>
      <w:r w:rsidR="00545D1B" w:rsidRPr="00742A04">
        <w:t xml:space="preserve"> </w:t>
      </w:r>
      <w:r w:rsidR="000472FC" w:rsidRPr="00742A04">
        <w:t>la situación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82243" w:rsidRPr="00742A04">
        <w:t>las víctimas de violación</w:t>
      </w:r>
      <w:r w:rsidR="00545D1B" w:rsidRPr="00742A04">
        <w:t xml:space="preserve">, </w:t>
      </w:r>
      <w:r w:rsidR="00657260" w:rsidRPr="00742A04">
        <w:t>de sexo</w:t>
      </w:r>
      <w:r w:rsidR="00545D1B" w:rsidRPr="00742A04">
        <w:t xml:space="preserve"> </w:t>
      </w:r>
      <w:r w:rsidR="000220D6" w:rsidRPr="00742A04">
        <w:t>femeni</w:t>
      </w:r>
      <w:r w:rsidR="00657260" w:rsidRPr="00742A04">
        <w:t>no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57260" w:rsidRPr="00742A04">
        <w:t>masculino</w:t>
      </w:r>
      <w:r w:rsidR="00545D1B" w:rsidRPr="00742A04">
        <w:t xml:space="preserve">, </w:t>
      </w:r>
      <w:r w:rsidR="001904D3">
        <w:t>que tengan</w:t>
      </w:r>
      <w:r w:rsidR="00545D1B" w:rsidRPr="00742A04">
        <w:t xml:space="preserve"> </w:t>
      </w:r>
      <w:r w:rsidR="00CC072B" w:rsidRPr="00742A04">
        <w:t>diversa</w:t>
      </w:r>
      <w:r w:rsidR="00587443" w:rsidRPr="00742A04">
        <w:t>s</w:t>
      </w:r>
      <w:r w:rsidR="00545D1B" w:rsidRPr="00742A04">
        <w:t xml:space="preserve"> </w:t>
      </w:r>
      <w:r w:rsidR="00E542AA" w:rsidRPr="00742A04">
        <w:t>discapacidades</w:t>
      </w:r>
      <w:r w:rsidR="00545D1B" w:rsidRPr="00742A04">
        <w:t xml:space="preserve">, </w:t>
      </w:r>
      <w:r w:rsidR="00CC072B" w:rsidRPr="00742A04">
        <w:t>pertene</w:t>
      </w:r>
      <w:r w:rsidR="001904D3">
        <w:t>z</w:t>
      </w:r>
      <w:r w:rsidR="00CC072B" w:rsidRPr="00742A04">
        <w:t>c</w:t>
      </w:r>
      <w:r w:rsidR="001904D3">
        <w:t>an</w:t>
      </w:r>
      <w:r w:rsidR="00CC072B" w:rsidRPr="00742A04">
        <w:t xml:space="preserve"> a m</w:t>
      </w:r>
      <w:r w:rsidR="00CC072B" w:rsidRPr="00742A04">
        <w:t>i</w:t>
      </w:r>
      <w:r w:rsidR="00CC072B" w:rsidRPr="00742A04">
        <w:t>norías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particular, </w:t>
      </w:r>
      <w:r w:rsidR="001904D3">
        <w:t xml:space="preserve">tengan </w:t>
      </w:r>
      <w:r w:rsidR="008F0C8E" w:rsidRPr="00742A04">
        <w:t>experiencia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pro</w:t>
      </w:r>
      <w:r w:rsidR="00A05847" w:rsidRPr="00742A04">
        <w:t>s</w:t>
      </w:r>
      <w:r w:rsidR="00A05847" w:rsidRPr="00742A04">
        <w:t>titución</w:t>
      </w:r>
      <w:r w:rsidR="00545D1B" w:rsidRPr="00742A04">
        <w:t>.</w:t>
      </w:r>
    </w:p>
    <w:p w:rsidR="00545D1B" w:rsidRPr="00742A04" w:rsidRDefault="008F0C8E" w:rsidP="00F25AE0">
      <w:pPr>
        <w:pStyle w:val="SingleTxt"/>
        <w:ind w:firstLine="475"/>
      </w:pPr>
      <w:r w:rsidRPr="00742A04">
        <w:t>El Gobierno</w:t>
      </w:r>
      <w:r w:rsidR="00545D1B" w:rsidRPr="00742A04">
        <w:t xml:space="preserve"> </w:t>
      </w:r>
      <w:r w:rsidR="00CC072B" w:rsidRPr="00742A04">
        <w:t>dijo que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CC072B" w:rsidRPr="00742A04">
        <w:t>procurará elevar</w:t>
      </w:r>
      <w:r w:rsidR="00545D1B" w:rsidRPr="00742A04">
        <w:t xml:space="preserve"> </w:t>
      </w:r>
      <w:r w:rsidR="00B31D97" w:rsidRPr="00742A04">
        <w:t>el nivel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C072B" w:rsidRPr="00742A04">
        <w:t xml:space="preserve">las </w:t>
      </w:r>
      <w:r w:rsidR="00D3378F" w:rsidRPr="00742A04">
        <w:t>sanci</w:t>
      </w:r>
      <w:r w:rsidR="008907B8" w:rsidRPr="00742A04">
        <w:t>ones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44B38" w:rsidRPr="00742A04">
        <w:t>l</w:t>
      </w:r>
      <w:r w:rsidR="00CC072B" w:rsidRPr="00742A04">
        <w:t>os casos de</w:t>
      </w:r>
      <w:r w:rsidR="00544B38" w:rsidRPr="00742A04">
        <w:t xml:space="preserve"> violación</w:t>
      </w:r>
      <w:r w:rsidR="00545D1B" w:rsidRPr="00742A04">
        <w:t xml:space="preserve">, </w:t>
      </w:r>
      <w:r w:rsidR="00CC072B" w:rsidRPr="00742A04">
        <w:t>homicidio</w:t>
      </w:r>
      <w:r w:rsidR="00545D1B" w:rsidRPr="00742A04">
        <w:t xml:space="preserve">, </w:t>
      </w:r>
      <w:r w:rsidR="00CC072B" w:rsidRPr="00742A04">
        <w:t>violencia grave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C072B" w:rsidRPr="00742A04">
        <w:t>delitos sexuales</w:t>
      </w:r>
      <w:r w:rsidR="00545D1B" w:rsidRPr="00742A04">
        <w:t>.</w:t>
      </w:r>
    </w:p>
    <w:p w:rsidR="00545D1B" w:rsidRPr="00742A04" w:rsidRDefault="008015F1" w:rsidP="00F25AE0">
      <w:pPr>
        <w:pStyle w:val="SingleTxt"/>
        <w:ind w:firstLine="475"/>
      </w:pPr>
      <w:r w:rsidRPr="00742A04">
        <w:t>El Director General del Ministerio Público</w:t>
      </w:r>
      <w:r w:rsidR="00545D1B" w:rsidRPr="00742A04">
        <w:t xml:space="preserve"> </w:t>
      </w:r>
      <w:r w:rsidR="00BB4DB1" w:rsidRPr="00742A04">
        <w:t>es</w:t>
      </w:r>
      <w:r w:rsidR="00CC072B" w:rsidRPr="00742A04">
        <w:t>tá llevando a cabo</w:t>
      </w:r>
      <w:r w:rsidR="00545D1B" w:rsidRPr="00742A04">
        <w:t xml:space="preserve"> </w:t>
      </w:r>
      <w:r w:rsidR="005F7B32" w:rsidRPr="00742A04">
        <w:t>actual</w:t>
      </w:r>
      <w:r w:rsidR="00CC072B" w:rsidRPr="00742A04">
        <w:t>mente</w:t>
      </w:r>
      <w:r w:rsidR="00545D1B" w:rsidRPr="00742A04">
        <w:t xml:space="preserve"> </w:t>
      </w:r>
      <w:r w:rsidR="000E16DE" w:rsidRPr="00742A04">
        <w:t>un estudio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C072B" w:rsidRPr="00742A04">
        <w:t xml:space="preserve">las sentencias </w:t>
      </w:r>
      <w:r w:rsidR="00545D1B" w:rsidRPr="00742A04">
        <w:t>lega</w:t>
      </w:r>
      <w:r w:rsidR="005F7B32" w:rsidRPr="00742A04">
        <w:t xml:space="preserve">lmente </w:t>
      </w:r>
      <w:r w:rsidR="00CC072B" w:rsidRPr="00742A04">
        <w:t>ejecutable</w:t>
      </w:r>
      <w:r w:rsidR="00545D1B" w:rsidRPr="00742A04">
        <w:t xml:space="preserve">s </w:t>
      </w:r>
      <w:r w:rsidR="00C14BFF" w:rsidRPr="00742A04">
        <w:t>en</w:t>
      </w:r>
      <w:r w:rsidR="00545D1B" w:rsidRPr="00742A04">
        <w:t xml:space="preserve"> </w:t>
      </w:r>
      <w:r w:rsidR="00CC072B" w:rsidRPr="00742A04">
        <w:t>casos de violación</w:t>
      </w:r>
      <w:r w:rsidR="00545D1B" w:rsidRPr="00742A04">
        <w:t xml:space="preserve"> </w:t>
      </w:r>
      <w:r w:rsidR="00CC072B" w:rsidRPr="00742A04">
        <w:t>que</w:t>
      </w:r>
      <w:r w:rsidR="00545D1B" w:rsidRPr="00742A04">
        <w:t xml:space="preserve"> culm</w:t>
      </w:r>
      <w:r w:rsidR="00545D1B" w:rsidRPr="00742A04">
        <w:t>i</w:t>
      </w:r>
      <w:r w:rsidR="00545D1B" w:rsidRPr="00742A04">
        <w:t>na</w:t>
      </w:r>
      <w:r w:rsidR="00CC072B" w:rsidRPr="00742A04">
        <w:t>ron con absoluciones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</w:t>
      </w:r>
      <w:r w:rsidR="00CC072B" w:rsidRPr="00742A04">
        <w:t xml:space="preserve">comprendido </w:t>
      </w:r>
      <w:r w:rsidR="00EF5B12" w:rsidRPr="00742A04">
        <w:t>entre</w:t>
      </w:r>
      <w:r w:rsidR="00545D1B" w:rsidRPr="00742A04">
        <w:t xml:space="preserve"> 2003 </w:t>
      </w:r>
      <w:r w:rsidR="00CC072B" w:rsidRPr="00742A04">
        <w:t>y el final del primer semestre</w:t>
      </w:r>
      <w:r w:rsidR="00545D1B" w:rsidRPr="00742A04">
        <w:t xml:space="preserve"> </w:t>
      </w:r>
      <w:r w:rsidR="004A0730" w:rsidRPr="00742A04">
        <w:t>de</w:t>
      </w:r>
      <w:r w:rsidR="00CC072B" w:rsidRPr="00742A04">
        <w:t xml:space="preserve"> 2005. Se ha </w:t>
      </w:r>
      <w:r w:rsidR="00EF5B12">
        <w:t>design</w:t>
      </w:r>
      <w:r w:rsidR="00CC072B" w:rsidRPr="00742A04">
        <w:t>ado u</w:t>
      </w:r>
      <w:r w:rsidR="009B122F" w:rsidRPr="00742A04">
        <w:t>n grupo</w:t>
      </w:r>
      <w:r w:rsidR="005E2D7A" w:rsidRPr="00742A04">
        <w:t xml:space="preserve"> de trabajo</w:t>
      </w:r>
      <w:r w:rsidR="00545D1B" w:rsidRPr="00742A04">
        <w:t xml:space="preserve"> </w:t>
      </w:r>
      <w:r w:rsidR="00CC072B" w:rsidRPr="00742A04">
        <w:t xml:space="preserve">para </w:t>
      </w:r>
      <w:r w:rsidR="004D313C" w:rsidRPr="00742A04">
        <w:t>examinar</w:t>
      </w:r>
      <w:r w:rsidR="00545D1B" w:rsidRPr="00742A04">
        <w:t xml:space="preserve"> </w:t>
      </w:r>
      <w:r w:rsidR="00CC072B" w:rsidRPr="00742A04">
        <w:t>la calidad</w:t>
      </w:r>
      <w:r w:rsidR="00545D1B" w:rsidRPr="00742A04">
        <w:t xml:space="preserve"> </w:t>
      </w:r>
      <w:r w:rsidR="004A0730" w:rsidRPr="00742A04">
        <w:t>de</w:t>
      </w:r>
      <w:r w:rsidR="00CC072B" w:rsidRPr="00742A04">
        <w:t xml:space="preserve">l trabajo de </w:t>
      </w:r>
      <w:r w:rsidR="00545D1B" w:rsidRPr="00742A04">
        <w:t>investiga</w:t>
      </w:r>
      <w:r w:rsidR="00CC072B" w:rsidRPr="00742A04">
        <w:t>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C072B" w:rsidRPr="00742A04">
        <w:t>enjuiciamiento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8085E" w:rsidRPr="00742A04">
        <w:t>evaluar</w:t>
      </w:r>
      <w:r w:rsidR="00545D1B" w:rsidRPr="00742A04">
        <w:t xml:space="preserve"> </w:t>
      </w:r>
      <w:r w:rsidR="00E8085E" w:rsidRPr="00742A04">
        <w:t>los datos estadí</w:t>
      </w:r>
      <w:r w:rsidR="00545D1B" w:rsidRPr="00742A04">
        <w:t>stic</w:t>
      </w:r>
      <w:r w:rsidR="00E8085E" w:rsidRPr="00742A04">
        <w:t>os existentes; el comité</w:t>
      </w:r>
      <w:r w:rsidR="00545D1B" w:rsidRPr="00742A04">
        <w:t xml:space="preserve"> </w:t>
      </w:r>
      <w:r w:rsidR="000472FC" w:rsidRPr="00742A04">
        <w:t>presentará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B31D97" w:rsidRPr="00742A04">
        <w:t>informe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C39D4" w:rsidRPr="00742A04">
        <w:t>se</w:t>
      </w:r>
      <w:r w:rsidR="005C39D4" w:rsidRPr="00742A04">
        <w:t>p</w:t>
      </w:r>
      <w:r w:rsidR="005C39D4" w:rsidRPr="00742A04">
        <w:t>tiembre</w:t>
      </w:r>
      <w:r w:rsidR="003E5775" w:rsidRPr="00742A04">
        <w:t xml:space="preserve"> de</w:t>
      </w:r>
      <w:r w:rsidR="00545D1B" w:rsidRPr="00742A04">
        <w:t xml:space="preserve"> 2006.</w:t>
      </w:r>
    </w:p>
    <w:p w:rsidR="00545D1B" w:rsidRPr="00742A04" w:rsidRDefault="00E8085E" w:rsidP="001904D3">
      <w:pPr>
        <w:pStyle w:val="SingleTxt"/>
        <w:keepNext/>
        <w:rPr>
          <w:b/>
        </w:rPr>
      </w:pPr>
      <w:r w:rsidRPr="00742A04">
        <w:rPr>
          <w:b/>
        </w:rPr>
        <w:t>Abuso sexual y físico</w:t>
      </w:r>
      <w:r w:rsidR="00545D1B" w:rsidRPr="00742A04">
        <w:rPr>
          <w:b/>
        </w:rPr>
        <w:t xml:space="preserve"> </w:t>
      </w:r>
      <w:r w:rsidR="00C076F2" w:rsidRPr="00742A04">
        <w:rPr>
          <w:b/>
        </w:rPr>
        <w:t xml:space="preserve">de los </w:t>
      </w:r>
      <w:r w:rsidR="002F3238" w:rsidRPr="00742A04">
        <w:rPr>
          <w:b/>
        </w:rPr>
        <w:t>niños</w:t>
      </w:r>
    </w:p>
    <w:p w:rsidR="00545D1B" w:rsidRPr="00742A04" w:rsidRDefault="004F2F8A" w:rsidP="00F25AE0">
      <w:pPr>
        <w:pStyle w:val="SingleTxt"/>
        <w:ind w:firstLine="475"/>
      </w:pPr>
      <w:r w:rsidRPr="00742A04">
        <w:t xml:space="preserve">Las </w:t>
      </w:r>
      <w:r w:rsidR="00552048" w:rsidRPr="00742A04">
        <w:t>autoridades públicas</w:t>
      </w:r>
      <w:r w:rsidR="00545D1B" w:rsidRPr="00742A04">
        <w:t xml:space="preserve">, </w:t>
      </w:r>
      <w:r w:rsidR="00232DF9" w:rsidRPr="00742A04">
        <w:t xml:space="preserve">las </w:t>
      </w:r>
      <w:r w:rsidR="00B73629" w:rsidRPr="00742A04">
        <w:t>organizaciones</w:t>
      </w:r>
      <w:r w:rsidR="00232DF9" w:rsidRPr="00742A04">
        <w:t xml:space="preserve"> voluntarias</w:t>
      </w:r>
      <w:r w:rsidR="00545D1B" w:rsidRPr="00742A04">
        <w:t xml:space="preserve">, </w:t>
      </w:r>
      <w:r w:rsidR="00E8085E" w:rsidRPr="00742A04">
        <w:t>los investigadores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8085E" w:rsidRPr="00742A04">
        <w:t xml:space="preserve">los </w:t>
      </w:r>
      <w:r w:rsidR="008176B2" w:rsidRPr="00742A04">
        <w:t>expertos</w:t>
      </w:r>
      <w:r w:rsidR="00545D1B" w:rsidRPr="00742A04">
        <w:t xml:space="preserve"> </w:t>
      </w:r>
      <w:r w:rsidR="00E8085E" w:rsidRPr="00742A04">
        <w:t>han puesto de relieve</w:t>
      </w:r>
      <w:r w:rsidR="00545D1B" w:rsidRPr="00742A04">
        <w:t xml:space="preserve"> </w:t>
      </w:r>
      <w:r w:rsidR="00B31D97" w:rsidRPr="00742A04">
        <w:t>la necesidad de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B31D97" w:rsidRPr="00742A04">
        <w:t>los servicios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 </w:t>
      </w:r>
      <w:r w:rsidR="00E8085E" w:rsidRPr="00742A04">
        <w:t>sometidos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E8085E" w:rsidRPr="00742A04">
        <w:t>abuso sexual o físico</w:t>
      </w:r>
      <w:r w:rsidR="00545D1B" w:rsidRPr="00742A04">
        <w:t xml:space="preserve">. </w:t>
      </w:r>
      <w:r w:rsidR="00E8085E" w:rsidRPr="00742A04">
        <w:t>Por ello, en</w:t>
      </w:r>
      <w:r w:rsidR="00CD2FF0" w:rsidRPr="00742A04">
        <w:t xml:space="preserve"> mayo de</w:t>
      </w:r>
      <w:r w:rsidR="00E8085E" w:rsidRPr="00742A04">
        <w:t xml:space="preserve"> 2005</w:t>
      </w:r>
      <w:r w:rsidR="00545D1B" w:rsidRPr="00742A04">
        <w:t xml:space="preserve"> </w:t>
      </w:r>
      <w:r w:rsidR="004A0730" w:rsidRPr="00742A04">
        <w:t xml:space="preserve">el </w:t>
      </w:r>
      <w:r w:rsidR="008A38B9" w:rsidRPr="00742A04">
        <w:t xml:space="preserve">Ministerio </w:t>
      </w:r>
      <w:r w:rsidR="00F43124" w:rsidRPr="00742A04">
        <w:t xml:space="preserve">de la </w:t>
      </w:r>
      <w:r w:rsidR="008A38B9" w:rsidRPr="00742A04">
        <w:t>Infancia y Asuntos de Familia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8085E" w:rsidRPr="00742A04">
        <w:t>otros ministerios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8085E" w:rsidRPr="00742A04">
        <w:t>direcciones</w:t>
      </w:r>
      <w:r w:rsidR="00545D1B" w:rsidRPr="00742A04">
        <w:t xml:space="preserve"> </w:t>
      </w:r>
      <w:r w:rsidR="00B31D97" w:rsidRPr="00742A04">
        <w:t>pr</w:t>
      </w:r>
      <w:r w:rsidR="00B31D97" w:rsidRPr="00742A04">
        <w:t>e</w:t>
      </w:r>
      <w:r w:rsidR="00B31D97" w:rsidRPr="00742A04">
        <w:t>sent</w:t>
      </w:r>
      <w:r w:rsidR="001904D3">
        <w:t>aron</w:t>
      </w:r>
      <w:r w:rsidR="00545D1B" w:rsidRPr="00742A04">
        <w:t xml:space="preserve"> </w:t>
      </w:r>
      <w:r w:rsidR="007E43BF" w:rsidRPr="00742A04">
        <w:t>el plan denominado</w:t>
      </w:r>
      <w:r w:rsidR="00545D1B" w:rsidRPr="00742A04">
        <w:t xml:space="preserve"> </w:t>
      </w:r>
      <w:r w:rsidR="00545D1B" w:rsidRPr="00742A04">
        <w:rPr>
          <w:i/>
        </w:rPr>
        <w:t>Strategi mot seksuelle og fysiske overgrep mot barn (2005-2009)</w:t>
      </w:r>
      <w:r w:rsidR="00545D1B" w:rsidRPr="00742A04">
        <w:t xml:space="preserve"> (</w:t>
      </w:r>
      <w:r w:rsidR="007E43BF" w:rsidRPr="00742A04">
        <w:t>“</w:t>
      </w:r>
      <w:r w:rsidR="008015F1" w:rsidRPr="00742A04">
        <w:t>Plan Estratégico</w:t>
      </w:r>
      <w:r w:rsidR="00545D1B" w:rsidRPr="00742A04">
        <w:t xml:space="preserve"> </w:t>
      </w:r>
      <w:r w:rsidR="007C341F" w:rsidRPr="00742A04">
        <w:t xml:space="preserve">de Lucha contra </w:t>
      </w:r>
      <w:r w:rsidR="008015F1" w:rsidRPr="00742A04">
        <w:t>el Abuso Sexual y Físico de los N</w:t>
      </w:r>
      <w:r w:rsidR="008015F1" w:rsidRPr="00742A04">
        <w:t>i</w:t>
      </w:r>
      <w:r w:rsidR="008015F1" w:rsidRPr="00742A04">
        <w:t>ños</w:t>
      </w:r>
      <w:r w:rsidR="007E43BF" w:rsidRPr="00742A04">
        <w:t>”</w:t>
      </w:r>
      <w:r w:rsidR="00545D1B" w:rsidRPr="00742A04">
        <w:t xml:space="preserve"> (2005-2009)). </w:t>
      </w:r>
      <w:r w:rsidR="003E5775" w:rsidRPr="00742A04">
        <w:t>Las medidas previstas en</w:t>
      </w:r>
      <w:r w:rsidR="00545D1B" w:rsidRPr="00742A04">
        <w:t xml:space="preserve"> </w:t>
      </w:r>
      <w:r w:rsidR="008A0C75" w:rsidRPr="00742A04">
        <w:t xml:space="preserve">el Plan </w:t>
      </w:r>
      <w:r w:rsidR="007E43BF" w:rsidRPr="00742A04">
        <w:t>están dirigidas 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24287" w:rsidRPr="00742A04">
        <w:t>j</w:t>
      </w:r>
      <w:r w:rsidR="00A24287" w:rsidRPr="00742A04">
        <w:t>ó</w:t>
      </w:r>
      <w:r w:rsidR="00A24287" w:rsidRPr="00742A04">
        <w:t>venes</w:t>
      </w:r>
      <w:r w:rsidR="00545D1B" w:rsidRPr="00742A04">
        <w:t xml:space="preserve"> </w:t>
      </w:r>
      <w:r w:rsidR="008015F1" w:rsidRPr="00742A04">
        <w:t>de 0 a 18 años de edad</w:t>
      </w:r>
      <w:r w:rsidR="00545D1B" w:rsidRPr="00742A04">
        <w:t xml:space="preserve">. </w:t>
      </w:r>
      <w:r w:rsidR="008A0C75" w:rsidRPr="00742A04">
        <w:t xml:space="preserve">El Plan </w:t>
      </w:r>
      <w:r w:rsidR="005E2D7A" w:rsidRPr="00742A04">
        <w:t>contiene</w:t>
      </w:r>
      <w:r w:rsidR="00545D1B" w:rsidRPr="00742A04">
        <w:t xml:space="preserve"> 22 </w:t>
      </w:r>
      <w:r w:rsidR="00DC0DB8" w:rsidRPr="00742A04">
        <w:t>medidas</w:t>
      </w:r>
      <w:r w:rsidR="00545D1B" w:rsidRPr="00742A04">
        <w:t xml:space="preserve"> </w:t>
      </w:r>
      <w:r w:rsidR="00242371" w:rsidRPr="00742A04">
        <w:t>encaminadas a</w:t>
      </w:r>
      <w:r w:rsidR="00545D1B" w:rsidRPr="00742A04">
        <w:t xml:space="preserve"> </w:t>
      </w:r>
      <w:r w:rsidR="007E43BF" w:rsidRPr="00742A04">
        <w:t>prevenir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E43BF" w:rsidRPr="00742A04">
        <w:t>denunciar públicamente</w:t>
      </w:r>
      <w:r w:rsidR="00545D1B" w:rsidRPr="00742A04">
        <w:t xml:space="preserve"> </w:t>
      </w:r>
      <w:r w:rsidR="007E43BF" w:rsidRPr="00742A04">
        <w:t xml:space="preserve">el </w:t>
      </w:r>
      <w:r w:rsidR="00B86412" w:rsidRPr="00742A04">
        <w:t>abuso</w:t>
      </w:r>
      <w:r w:rsidR="00545D1B" w:rsidRPr="00742A04">
        <w:t xml:space="preserve">, </w:t>
      </w:r>
      <w:r w:rsidR="007E43BF" w:rsidRPr="00742A04">
        <w:t>brindar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31D97" w:rsidRPr="00742A04">
        <w:t>tratamiento</w:t>
      </w:r>
      <w:r w:rsidR="00545D1B" w:rsidRPr="00742A04">
        <w:t xml:space="preserve">, </w:t>
      </w:r>
      <w:r w:rsidR="007E43BF" w:rsidRPr="00742A04">
        <w:t>llevar a cabo</w:t>
      </w:r>
      <w:r w:rsidR="00844FDB" w:rsidRPr="00742A04">
        <w:t xml:space="preserve"> i</w:t>
      </w:r>
      <w:r w:rsidR="00844FDB" w:rsidRPr="00742A04">
        <w:t>n</w:t>
      </w:r>
      <w:r w:rsidR="00844FDB" w:rsidRPr="00742A04">
        <w:t>vestiga</w:t>
      </w:r>
      <w:r w:rsidR="007E43BF" w:rsidRPr="00742A04">
        <w:t>cio</w:t>
      </w:r>
      <w:r w:rsidR="00844FDB" w:rsidRPr="00742A04">
        <w:t>n</w:t>
      </w:r>
      <w:r w:rsidR="007E43BF" w:rsidRPr="00742A04">
        <w:t>es</w:t>
      </w:r>
      <w:r w:rsidR="002E5047" w:rsidRPr="00742A04">
        <w:t xml:space="preserve"> </w:t>
      </w:r>
      <w:r w:rsidR="007E43BF" w:rsidRPr="00742A04">
        <w:t>y mejorar</w:t>
      </w:r>
      <w:r w:rsidR="00545D1B" w:rsidRPr="00742A04">
        <w:t xml:space="preserve"> </w:t>
      </w:r>
      <w:r w:rsidR="007E43BF" w:rsidRPr="00742A04">
        <w:t>la</w:t>
      </w:r>
      <w:r w:rsidR="00242371" w:rsidRPr="00742A04">
        <w:t xml:space="preserve"> capaci</w:t>
      </w:r>
      <w:r w:rsidR="007E43BF" w:rsidRPr="00742A04">
        <w:t>tación</w:t>
      </w:r>
      <w:r w:rsidR="00545D1B" w:rsidRPr="00742A04">
        <w:t xml:space="preserve">. </w:t>
      </w:r>
      <w:r w:rsidR="008F0C8E" w:rsidRPr="00742A04">
        <w:t>Los ministerios</w:t>
      </w:r>
      <w:r w:rsidR="00545D1B" w:rsidRPr="00742A04">
        <w:t xml:space="preserve"> </w:t>
      </w:r>
      <w:r w:rsidR="007E43BF" w:rsidRPr="00742A04">
        <w:t>hacen hincapié en que las</w:t>
      </w:r>
      <w:r w:rsidR="00545D1B" w:rsidRPr="00742A04">
        <w:t xml:space="preserve"> </w:t>
      </w:r>
      <w:r w:rsidR="00614C7D" w:rsidRPr="00742A04">
        <w:t>actividades</w:t>
      </w:r>
      <w:r w:rsidR="00545D1B" w:rsidRPr="00742A04">
        <w:t xml:space="preserve"> </w:t>
      </w:r>
      <w:r w:rsidR="007C341F" w:rsidRPr="00742A04">
        <w:t>de lucha contra</w:t>
      </w:r>
      <w:r w:rsidR="00E8085E" w:rsidRPr="00742A04">
        <w:t xml:space="preserve"> el abuso sexual y físico</w:t>
      </w:r>
      <w:r w:rsidR="00545D1B" w:rsidRPr="00742A04">
        <w:t xml:space="preserve"> </w:t>
      </w:r>
      <w:r w:rsidR="007D4688" w:rsidRPr="00742A04">
        <w:t>debe</w:t>
      </w:r>
      <w:r w:rsidR="001904D3">
        <w:t>n</w:t>
      </w:r>
      <w:r w:rsidR="00545D1B" w:rsidRPr="00742A04">
        <w:t xml:space="preserve"> coordina</w:t>
      </w:r>
      <w:r w:rsidR="007E43BF" w:rsidRPr="00742A04">
        <w:t>rse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7E43BF" w:rsidRPr="00742A04">
        <w:t>dirigidas 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E603B" w:rsidRPr="00742A04">
        <w:t>presencian actos de violencia</w:t>
      </w:r>
      <w:r w:rsidR="00CB2022" w:rsidRPr="00742A04">
        <w:t xml:space="preserve"> doméstica</w:t>
      </w:r>
      <w:r w:rsidR="006137EC" w:rsidRPr="00742A04">
        <w:t>; véase</w:t>
      </w:r>
      <w:r w:rsidR="00C05B34" w:rsidRPr="00742A04">
        <w:t xml:space="preserve"> el Plan</w:t>
      </w:r>
      <w:r w:rsidR="00F650FB" w:rsidRPr="00742A04">
        <w:t xml:space="preserve"> de Acción</w:t>
      </w:r>
      <w:r w:rsidR="00545D1B" w:rsidRPr="00742A04">
        <w:t xml:space="preserve"> </w:t>
      </w:r>
      <w:r w:rsidR="007C341F" w:rsidRPr="00742A04">
        <w:t>de Lucha contra</w:t>
      </w:r>
      <w:r w:rsidR="00A30B35" w:rsidRPr="00742A04">
        <w:t xml:space="preserve"> la </w:t>
      </w:r>
      <w:r w:rsidR="005E603B" w:rsidRPr="00742A04">
        <w:t>Violencia Doméstica</w:t>
      </w:r>
      <w:r w:rsidR="00545D1B" w:rsidRPr="00742A04">
        <w:t xml:space="preserve">. </w:t>
      </w:r>
      <w:r w:rsidR="007E43BF" w:rsidRPr="00742A04">
        <w:t>Con arreglo al</w:t>
      </w:r>
      <w:r w:rsidR="00545D1B" w:rsidRPr="00742A04">
        <w:t xml:space="preserve"> plan, </w:t>
      </w:r>
      <w:r w:rsidR="007E43BF" w:rsidRPr="00742A04">
        <w:t>deberá inicia</w:t>
      </w:r>
      <w:r w:rsidR="007E43BF" w:rsidRPr="00742A04">
        <w:t>r</w:t>
      </w:r>
      <w:r w:rsidR="007E43BF" w:rsidRPr="00742A04">
        <w:t>se un</w:t>
      </w:r>
      <w:r w:rsidR="00545D1B" w:rsidRPr="00742A04">
        <w:t xml:space="preserve">a </w:t>
      </w:r>
      <w:r w:rsidR="007E43BF" w:rsidRPr="00742A04">
        <w:t>importante</w:t>
      </w:r>
      <w:r w:rsidR="00545D1B" w:rsidRPr="00742A04">
        <w:t xml:space="preserve"> </w:t>
      </w:r>
      <w:r w:rsidR="007E43BF" w:rsidRPr="00742A04">
        <w:t xml:space="preserve">encuesta </w:t>
      </w:r>
      <w:r w:rsidR="00F13355" w:rsidRPr="00742A04">
        <w:t>nacional</w:t>
      </w:r>
      <w:r w:rsidR="00545D1B" w:rsidRPr="00742A04">
        <w:t xml:space="preserve"> </w:t>
      </w:r>
      <w:r w:rsidR="007E43BF" w:rsidRPr="00742A04">
        <w:t>sobre la difusión</w:t>
      </w:r>
      <w:r w:rsidR="00545D1B" w:rsidRPr="00742A04">
        <w:t xml:space="preserve"> </w:t>
      </w:r>
      <w:r w:rsidR="007E43BF" w:rsidRPr="00742A04">
        <w:t>del abuso</w:t>
      </w:r>
      <w:r w:rsidR="00E8085E" w:rsidRPr="00742A04">
        <w:t xml:space="preserve"> sexual y físico</w:t>
      </w:r>
      <w:r w:rsidR="00545D1B" w:rsidRPr="00742A04">
        <w:t xml:space="preserve"> </w:t>
      </w:r>
      <w:r w:rsidR="00F650FB" w:rsidRPr="00742A04">
        <w:t>con</w:t>
      </w:r>
      <w:r w:rsidR="007E43BF" w:rsidRPr="00742A04">
        <w:softHyphen/>
      </w:r>
      <w:r w:rsidR="00F650FB" w:rsidRPr="00742A04">
        <w:t>tra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. </w:t>
      </w:r>
      <w:r w:rsidR="00EF5B12" w:rsidRPr="00742A04">
        <w:t>La encuesta también centrará la atención en las causas y las cons</w:t>
      </w:r>
      <w:r w:rsidR="00EF5B12" w:rsidRPr="00742A04">
        <w:t>e</w:t>
      </w:r>
      <w:r w:rsidR="00EF5B12" w:rsidRPr="00742A04">
        <w:t xml:space="preserve">cuencias del abuso. </w:t>
      </w:r>
      <w:r w:rsidR="00545D1B" w:rsidRPr="00742A04">
        <w:t>(</w:t>
      </w:r>
      <w:r w:rsidR="002A7CCF" w:rsidRPr="00742A04">
        <w:t>Asimismo cabe remitirse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CD2FF0" w:rsidRPr="00742A04">
        <w:t>sección</w:t>
      </w:r>
      <w:r w:rsidR="00C14BFF" w:rsidRPr="00742A04">
        <w:t xml:space="preserve"> </w:t>
      </w:r>
      <w:r w:rsidR="008015F1" w:rsidRPr="00742A04">
        <w:t>titulada</w:t>
      </w:r>
      <w:r w:rsidR="00545D1B" w:rsidRPr="00742A04">
        <w:t xml:space="preserve"> “</w:t>
      </w:r>
      <w:r w:rsidR="00D238A4" w:rsidRPr="00742A04">
        <w:t>Violencia d</w:t>
      </w:r>
      <w:r w:rsidR="00D238A4" w:rsidRPr="00742A04">
        <w:t>o</w:t>
      </w:r>
      <w:r w:rsidR="00D238A4" w:rsidRPr="00742A04">
        <w:t>méstica</w:t>
      </w:r>
      <w:r w:rsidR="00545D1B" w:rsidRPr="00742A04">
        <w:t>”.)</w:t>
      </w:r>
    </w:p>
    <w:p w:rsidR="00545D1B" w:rsidRPr="00742A04" w:rsidRDefault="007E43BF" w:rsidP="00F25AE0">
      <w:pPr>
        <w:pStyle w:val="SingleTxt"/>
        <w:ind w:firstLine="475"/>
      </w:pPr>
      <w:r w:rsidRPr="00742A04">
        <w:t>Los centros para casos de incesto</w:t>
      </w:r>
      <w:r w:rsidR="00545D1B" w:rsidRPr="00742A04">
        <w:t xml:space="preserve"> </w:t>
      </w:r>
      <w:r w:rsidRPr="00742A04">
        <w:t xml:space="preserve">brindan </w:t>
      </w:r>
      <w:r w:rsidR="000A5430" w:rsidRPr="00742A04">
        <w:t>principalmente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Pr="00742A04">
        <w:t>en horario diurno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personas adultas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hayan sufrido</w:t>
      </w:r>
      <w:r w:rsidR="00545D1B" w:rsidRPr="00742A04">
        <w:t xml:space="preserve"> </w:t>
      </w:r>
      <w:r w:rsidR="001904D3" w:rsidRPr="00742A04">
        <w:t xml:space="preserve">abuso </w:t>
      </w:r>
      <w:r w:rsidR="00545D1B" w:rsidRPr="00742A04">
        <w:t xml:space="preserve">sexual, </w:t>
      </w:r>
      <w:r w:rsidR="00877AA0" w:rsidRPr="00742A04">
        <w:t>y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CE7870" w:rsidRPr="00742A04">
        <w:t>los familiares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E7870" w:rsidRPr="00742A04">
        <w:t>los niños y jóvenes víctimas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4D313C" w:rsidRPr="00742A04">
        <w:t>varios</w:t>
      </w:r>
      <w:r w:rsidR="00545D1B" w:rsidRPr="00742A04">
        <w:t xml:space="preserve"> </w:t>
      </w:r>
      <w:r w:rsidRPr="00742A04">
        <w:t>centros para casos de incesto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CE7870" w:rsidRPr="00742A04">
        <w:t>tienen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s </w:t>
      </w:r>
      <w:r w:rsidR="00F43124" w:rsidRPr="00742A04">
        <w:t>para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. </w:t>
      </w:r>
      <w:r w:rsidR="00CE7870" w:rsidRPr="00742A04">
        <w:t>El objetivo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E7870" w:rsidRPr="00742A04">
        <w:t>estos</w:t>
      </w:r>
      <w:r w:rsidR="00545D1B" w:rsidRPr="00742A04">
        <w:t xml:space="preserve"> </w:t>
      </w:r>
      <w:r w:rsidR="00BC2FBE" w:rsidRPr="00742A04">
        <w:t>centros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E7870" w:rsidRPr="00742A04">
        <w:t>brindar asesoramiento</w:t>
      </w:r>
      <w:r w:rsidR="00545D1B" w:rsidRPr="00742A04">
        <w:t xml:space="preserve">, </w:t>
      </w:r>
      <w:r w:rsidR="00935A90" w:rsidRPr="00742A04">
        <w:t>apoyo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CE7870" w:rsidRPr="00742A04">
        <w:t>sus usuarios</w:t>
      </w:r>
      <w:r w:rsidR="00545D1B" w:rsidRPr="00742A04">
        <w:t xml:space="preserve">, </w:t>
      </w:r>
      <w:r w:rsidR="00D52339" w:rsidRPr="00742A04">
        <w:t>sobre la base</w:t>
      </w:r>
      <w:r w:rsidR="004F2F8A" w:rsidRPr="00742A04">
        <w:t xml:space="preserve"> del </w:t>
      </w:r>
      <w:r w:rsidR="00B82A08" w:rsidRPr="00742A04">
        <w:t>princ</w:t>
      </w:r>
      <w:r w:rsidR="00B82A08" w:rsidRPr="00742A04">
        <w:t>i</w:t>
      </w:r>
      <w:r w:rsidR="00B82A08" w:rsidRPr="00742A04">
        <w:t>pio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E7870" w:rsidRPr="00742A04">
        <w:t>ayuda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CE7870" w:rsidRPr="00742A04">
        <w:t>la autoayuda</w:t>
      </w:r>
      <w:r w:rsidR="00545D1B" w:rsidRPr="00742A04">
        <w:t xml:space="preserve">. </w:t>
      </w:r>
      <w:r w:rsidR="00CE7870" w:rsidRPr="00742A04">
        <w:t>Muchos</w:t>
      </w:r>
      <w:r w:rsidR="00545D1B" w:rsidRPr="00742A04">
        <w:t xml:space="preserve"> </w:t>
      </w:r>
      <w:r w:rsidR="00BC2FBE" w:rsidRPr="00742A04">
        <w:t>centros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642E17" w:rsidRPr="00742A04">
        <w:t>realizan</w:t>
      </w:r>
      <w:r w:rsidR="00545D1B" w:rsidRPr="00742A04">
        <w:t xml:space="preserve"> </w:t>
      </w:r>
      <w:r w:rsidR="00642E17" w:rsidRPr="00742A04">
        <w:t>una labor preve</w:t>
      </w:r>
      <w:r w:rsidR="00642E17" w:rsidRPr="00742A04">
        <w:t>n</w:t>
      </w:r>
      <w:r w:rsidR="00642E17" w:rsidRPr="00742A04">
        <w:t>tiva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532F5" w:rsidRPr="00742A04">
        <w:t>brindan información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1775" w:rsidRPr="00742A04">
        <w:t>orientación</w:t>
      </w:r>
      <w:r w:rsidR="00545D1B" w:rsidRPr="00742A04">
        <w:t xml:space="preserve"> </w:t>
      </w:r>
      <w:r w:rsidR="005532F5" w:rsidRPr="00742A04">
        <w:t>a otros organismos</w:t>
      </w:r>
      <w:r w:rsidR="00545D1B" w:rsidRPr="00742A04">
        <w:t xml:space="preserve"> </w:t>
      </w:r>
      <w:r w:rsidR="005532F5" w:rsidRPr="00742A04">
        <w:t xml:space="preserve">que trabajan en </w:t>
      </w:r>
      <w:r w:rsidR="008F0C8E" w:rsidRPr="00742A04">
        <w:t>esta e</w:t>
      </w:r>
      <w:r w:rsidR="008F0C8E" w:rsidRPr="00742A04">
        <w:t>s</w:t>
      </w:r>
      <w:r w:rsidR="008F0C8E" w:rsidRPr="00742A04">
        <w:t>fera</w:t>
      </w:r>
      <w:r w:rsidR="00545D1B" w:rsidRPr="00742A04">
        <w:t>.</w:t>
      </w:r>
      <w:r w:rsidR="003E5775" w:rsidRPr="00742A04">
        <w:t xml:space="preserve"> </w:t>
      </w:r>
      <w:r w:rsidR="005532F5" w:rsidRPr="00742A04">
        <w:t>En</w:t>
      </w:r>
      <w:r w:rsidR="003E5775" w:rsidRPr="00742A04">
        <w:t xml:space="preserve"> </w:t>
      </w:r>
      <w:r w:rsidR="00545D1B" w:rsidRPr="00742A04">
        <w:t xml:space="preserve">2006, </w:t>
      </w:r>
      <w:r w:rsidR="005532F5" w:rsidRPr="00742A04">
        <w:t xml:space="preserve">los </w:t>
      </w:r>
      <w:r w:rsidRPr="00742A04">
        <w:t>centros para casos de incesto</w:t>
      </w:r>
      <w:r w:rsidR="00545D1B" w:rsidRPr="00742A04">
        <w:t xml:space="preserve">, </w:t>
      </w:r>
      <w:r w:rsidR="005532F5" w:rsidRPr="00742A04">
        <w:t>como los</w:t>
      </w:r>
      <w:r w:rsidR="00545D1B" w:rsidRPr="00742A04">
        <w:t xml:space="preserve"> </w:t>
      </w:r>
      <w:r w:rsidR="003E5775" w:rsidRPr="00742A04">
        <w:t>centros de crisis</w:t>
      </w:r>
      <w:r w:rsidR="00545D1B" w:rsidRPr="00742A04">
        <w:t xml:space="preserve">, </w:t>
      </w:r>
      <w:r w:rsidR="005532F5" w:rsidRPr="00742A04">
        <w:t>están f</w:t>
      </w:r>
      <w:r w:rsidR="005532F5" w:rsidRPr="00742A04">
        <w:t>i</w:t>
      </w:r>
      <w:r w:rsidR="005532F5" w:rsidRPr="00742A04">
        <w:t>nanciados</w:t>
      </w:r>
      <w:r w:rsidR="00545D1B" w:rsidRPr="00742A04">
        <w:t xml:space="preserve"> </w:t>
      </w:r>
      <w:r w:rsidR="005F7B32" w:rsidRPr="00742A04">
        <w:t xml:space="preserve">completamente </w:t>
      </w:r>
      <w:r w:rsidR="001167D2" w:rsidRPr="00742A04">
        <w:t>por</w:t>
      </w:r>
      <w:r w:rsidR="00545D1B" w:rsidRPr="00742A04">
        <w:t xml:space="preserve"> </w:t>
      </w:r>
      <w:r w:rsidR="004F2F8A" w:rsidRPr="00742A04">
        <w:t xml:space="preserve">las </w:t>
      </w:r>
      <w:r w:rsidR="00552048" w:rsidRPr="00742A04">
        <w:t>autoridades públicas</w:t>
      </w:r>
      <w:r w:rsidR="005532F5" w:rsidRPr="00742A04">
        <w:t>; el</w:t>
      </w:r>
      <w:r w:rsidR="00545D1B" w:rsidRPr="00742A04">
        <w:t xml:space="preserve"> 20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6B65CD" w:rsidRPr="00742A04">
        <w:t>financiación</w:t>
      </w:r>
      <w:r w:rsidR="00545D1B" w:rsidRPr="00742A04">
        <w:t xml:space="preserve"> </w:t>
      </w:r>
      <w:r w:rsidR="005532F5" w:rsidRPr="00742A04">
        <w:t>proviene de</w:t>
      </w:r>
      <w:r w:rsidR="00545D1B" w:rsidRPr="00742A04">
        <w:t xml:space="preserve"> </w:t>
      </w:r>
      <w:r w:rsidR="00F43124" w:rsidRPr="00742A04">
        <w:t>las municipalidades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5532F5" w:rsidRPr="00742A04">
        <w:t>de hospitales administrados por el Gobierno,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532F5" w:rsidRPr="00742A04">
        <w:t>el</w:t>
      </w:r>
      <w:r w:rsidR="00545D1B" w:rsidRPr="00742A04">
        <w:t xml:space="preserve"> 80</w:t>
      </w:r>
      <w:r w:rsidR="001167D2" w:rsidRPr="00742A04">
        <w:t>%</w:t>
      </w:r>
      <w:r w:rsidR="00545D1B" w:rsidRPr="00742A04">
        <w:t xml:space="preserve"> </w:t>
      </w:r>
      <w:r w:rsidR="005532F5" w:rsidRPr="00742A04">
        <w:t xml:space="preserve">restante </w:t>
      </w:r>
      <w:r w:rsidR="004B58E9" w:rsidRPr="00742A04">
        <w:t>directamente</w:t>
      </w:r>
      <w:r w:rsidR="00545D1B" w:rsidRPr="00742A04">
        <w:t xml:space="preserve"> </w:t>
      </w:r>
      <w:r w:rsidR="005532F5" w:rsidRPr="00742A04">
        <w:t>del Estado</w:t>
      </w:r>
      <w:r w:rsidR="00545D1B" w:rsidRPr="00742A04">
        <w:t>.</w:t>
      </w:r>
    </w:p>
    <w:p w:rsidR="00545D1B" w:rsidRPr="00742A04" w:rsidRDefault="005532F5" w:rsidP="00F25AE0">
      <w:pPr>
        <w:pStyle w:val="SingleTxt"/>
        <w:ind w:firstLine="475"/>
      </w:pPr>
      <w:r w:rsidRPr="00742A04">
        <w:t>E</w:t>
      </w:r>
      <w:r w:rsidR="00C14BFF" w:rsidRPr="00742A04">
        <w:t>n</w:t>
      </w:r>
      <w:r w:rsidR="00545D1B" w:rsidRPr="00742A04">
        <w:t xml:space="preserve"> </w:t>
      </w:r>
      <w:r w:rsidRPr="00742A04">
        <w:t>los esfuerzos del Ministerio</w:t>
      </w:r>
      <w:r w:rsidR="00935A90" w:rsidRPr="00742A04">
        <w:t xml:space="preserve"> por </w:t>
      </w:r>
      <w:r w:rsidRPr="00742A04">
        <w:t>lograr que el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E5775" w:rsidRPr="00742A04">
        <w:t>la Internet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2F3238" w:rsidRPr="00742A04">
        <w:t>los n</w:t>
      </w:r>
      <w:r w:rsidR="002F3238" w:rsidRPr="00742A04">
        <w:t>i</w:t>
      </w:r>
      <w:r w:rsidR="002F3238" w:rsidRPr="00742A04">
        <w:t>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24287" w:rsidRPr="00742A04">
        <w:t>los jóvenes</w:t>
      </w:r>
      <w:r w:rsidRPr="00742A04">
        <w:t xml:space="preserve"> sea más seguro se asigna una elevada prioridad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protección de los niños contra el abuso sexual</w:t>
      </w:r>
      <w:r w:rsidR="00545D1B" w:rsidRPr="00742A04">
        <w:t xml:space="preserve">. </w:t>
      </w:r>
      <w:r w:rsidRPr="00742A04">
        <w:t>Se difunde i</w:t>
      </w:r>
      <w:r w:rsidR="00545D1B" w:rsidRPr="00742A04">
        <w:t>nforma</w:t>
      </w:r>
      <w:r w:rsidR="00C14BFF" w:rsidRPr="00742A04">
        <w:t xml:space="preserve">ción </w:t>
      </w:r>
      <w:r w:rsidRPr="00742A04">
        <w:t>sobre</w:t>
      </w:r>
      <w:r w:rsidR="00545D1B" w:rsidRPr="00742A04">
        <w:t xml:space="preserve"> </w:t>
      </w:r>
      <w:r w:rsidRPr="00742A04">
        <w:t>el comportamiento de riesgo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 uso seguro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E5775" w:rsidRPr="00742A04">
        <w:t>la Internet</w:t>
      </w:r>
      <w:r w:rsidR="00545D1B" w:rsidRPr="00742A04">
        <w:t xml:space="preserve"> </w:t>
      </w:r>
      <w:r w:rsidRPr="00742A04">
        <w:t>entre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, </w:t>
      </w:r>
      <w:r w:rsidR="008B0108" w:rsidRPr="00742A04">
        <w:t>los mae</w:t>
      </w:r>
      <w:r w:rsidR="008B0108" w:rsidRPr="00742A04">
        <w:t>s</w:t>
      </w:r>
      <w:r w:rsidR="008B0108" w:rsidRPr="00742A04">
        <w:t>tros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otras personas en aplicación de un p</w:t>
      </w:r>
      <w:r w:rsidR="00B05988" w:rsidRPr="00742A04">
        <w:t xml:space="preserve">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072AD7" w:rsidRPr="00742A04">
        <w:t>relati</w:t>
      </w:r>
      <w:r w:rsidRPr="00742A04">
        <w:t>vo</w:t>
      </w:r>
      <w:r w:rsidR="00072AD7" w:rsidRPr="00742A04">
        <w:t xml:space="preserve"> 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, </w:t>
      </w:r>
      <w:r w:rsidR="00A24287" w:rsidRPr="00742A04">
        <w:t>los jóvenes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5775" w:rsidRPr="00742A04">
        <w:t>la Internet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los Hechos e Instrumentos para la Concienciación sobre la Seguridad</w:t>
      </w:r>
      <w:r w:rsidR="00545D1B" w:rsidRPr="00742A04">
        <w:t xml:space="preserve">. </w:t>
      </w:r>
      <w:r w:rsidRPr="00742A04">
        <w:t>Se enseña a l</w:t>
      </w:r>
      <w:r w:rsidR="002F3238" w:rsidRPr="00742A04">
        <w:t>os niños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Pr="00742A04">
        <w:t>evitar dar a conocer</w:t>
      </w:r>
      <w:r w:rsidR="00545D1B" w:rsidRPr="00742A04">
        <w:t xml:space="preserve"> </w:t>
      </w:r>
      <w:r w:rsidR="00F97F41" w:rsidRPr="00742A04">
        <w:t>su</w:t>
      </w:r>
      <w:r w:rsidRPr="00742A04">
        <w:t>s datos</w:t>
      </w:r>
      <w:r w:rsidR="00545D1B" w:rsidRPr="00742A04">
        <w:t xml:space="preserve"> personal</w:t>
      </w:r>
      <w:r w:rsidRPr="00742A04">
        <w:t>es</w:t>
      </w:r>
      <w:r w:rsidR="00545D1B" w:rsidRPr="00742A04">
        <w:t xml:space="preserve"> </w:t>
      </w:r>
      <w:r w:rsidRPr="00742A04">
        <w:t>e</w:t>
      </w:r>
      <w:r w:rsidR="00545D1B" w:rsidRPr="00742A04">
        <w:t xml:space="preserve">n </w:t>
      </w:r>
      <w:r w:rsidR="003E5775" w:rsidRPr="00742A04">
        <w:t>la Internet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Pr="00742A04">
        <w:t>tratar a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Pr="00742A04">
        <w:t xml:space="preserve">a quienes conocen en </w:t>
      </w:r>
      <w:r w:rsidR="005C05F7" w:rsidRPr="00742A04">
        <w:t>las salas de charla</w:t>
      </w:r>
      <w:r w:rsidR="00545D1B" w:rsidRPr="00742A04">
        <w:t xml:space="preserve">. </w:t>
      </w:r>
      <w:r w:rsidR="005C05F7" w:rsidRPr="00742A04">
        <w:t>Esto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E7B93" w:rsidRPr="00742A04">
        <w:t>impo</w:t>
      </w:r>
      <w:r w:rsidR="00AE7B93" w:rsidRPr="00742A04">
        <w:t>r</w:t>
      </w:r>
      <w:r w:rsidR="00AE7B93" w:rsidRPr="00742A04">
        <w:t>tante</w:t>
      </w:r>
      <w:r w:rsidR="00545D1B" w:rsidRPr="00742A04">
        <w:t xml:space="preserve"> </w:t>
      </w:r>
      <w:r w:rsidR="000F0ACC" w:rsidRPr="00742A04">
        <w:t>a fin de</w:t>
      </w:r>
      <w:r w:rsidR="00545D1B" w:rsidRPr="00742A04">
        <w:t xml:space="preserve"> </w:t>
      </w:r>
      <w:r w:rsidR="00A5364F" w:rsidRPr="00742A04">
        <w:t>impedir que los pedófilos puedan seguir la pista de</w:t>
      </w:r>
      <w:r w:rsidR="00545D1B" w:rsidRPr="00742A04">
        <w:t xml:space="preserve"> </w:t>
      </w:r>
      <w:r w:rsidR="00311327" w:rsidRPr="00742A04">
        <w:t>los</w:t>
      </w:r>
      <w:r w:rsidR="002F3238" w:rsidRPr="00742A04">
        <w:t xml:space="preserve"> 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F2F77" w:rsidRPr="00742A04">
        <w:t>aseg</w:t>
      </w:r>
      <w:r w:rsidR="00CF2F77" w:rsidRPr="00742A04">
        <w:t>u</w:t>
      </w:r>
      <w:r w:rsidR="00CF2F77" w:rsidRPr="00742A04">
        <w:t>rar</w:t>
      </w:r>
      <w:r w:rsidR="00545D1B" w:rsidRPr="00742A04">
        <w:t xml:space="preserve"> </w:t>
      </w:r>
      <w:r w:rsidR="00A5364F" w:rsidRPr="00742A04">
        <w:t>que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A5364F" w:rsidRPr="00742A04">
        <w:t>no</w:t>
      </w:r>
      <w:r w:rsidR="00545D1B" w:rsidRPr="00742A04">
        <w:t xml:space="preserve"> </w:t>
      </w:r>
      <w:r w:rsidR="00A5364F" w:rsidRPr="00742A04">
        <w:t>se enfrenten a posibles pedófilos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5364F" w:rsidRPr="00742A04">
        <w:t xml:space="preserve">la </w:t>
      </w:r>
      <w:r w:rsidR="000C68A8" w:rsidRPr="00742A04">
        <w:t>vida</w:t>
      </w:r>
      <w:r w:rsidR="00A5364F" w:rsidRPr="00742A04">
        <w:t xml:space="preserve"> real</w:t>
      </w:r>
      <w:r w:rsidR="00545D1B" w:rsidRPr="00742A04">
        <w:t xml:space="preserve">. </w:t>
      </w:r>
      <w:r w:rsidR="002213CF" w:rsidRPr="00742A04">
        <w:t>El proyecto</w:t>
      </w:r>
      <w:r w:rsidR="00545D1B" w:rsidRPr="00742A04">
        <w:t xml:space="preserve"> </w:t>
      </w:r>
      <w:r w:rsidR="00BB4DB1" w:rsidRPr="00742A04">
        <w:t>e</w:t>
      </w:r>
      <w:r w:rsidR="00BB4DB1" w:rsidRPr="00742A04">
        <w:t>s</w:t>
      </w:r>
      <w:r w:rsidR="00A5364F" w:rsidRPr="00742A04">
        <w:t>tá</w:t>
      </w:r>
      <w:r w:rsidR="00545D1B" w:rsidRPr="00742A04">
        <w:t xml:space="preserve"> </w:t>
      </w:r>
      <w:r w:rsidR="00A5364F" w:rsidRPr="00742A04">
        <w:t>financiado en parte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A5364F" w:rsidRPr="00742A04">
        <w:t>la Unión Europea</w:t>
      </w:r>
      <w:r w:rsidR="002E5047" w:rsidRPr="00742A04">
        <w:t xml:space="preserve"> </w:t>
      </w:r>
      <w:r w:rsidR="00A5364F" w:rsidRPr="00742A04">
        <w:t>y se</w:t>
      </w:r>
      <w:r w:rsidR="00D52339" w:rsidRPr="00742A04">
        <w:t xml:space="preserve"> bas</w:t>
      </w:r>
      <w:r w:rsidR="00A5364F" w:rsidRPr="00742A04">
        <w:t>a en</w:t>
      </w:r>
      <w:r w:rsidR="00C07ED9" w:rsidRPr="00742A04">
        <w:t xml:space="preserve"> la cooperación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C65B3" w:rsidRPr="00742A04">
        <w:t>Suecia</w:t>
      </w:r>
      <w:r w:rsidR="00545D1B" w:rsidRPr="00742A04">
        <w:t xml:space="preserve">, </w:t>
      </w:r>
      <w:r w:rsidR="00EA26AB" w:rsidRPr="00742A04">
        <w:t>Din</w:t>
      </w:r>
      <w:r w:rsidR="00EA26AB" w:rsidRPr="00742A04">
        <w:t>a</w:t>
      </w:r>
      <w:r w:rsidR="00EA26AB" w:rsidRPr="00742A04">
        <w:t>marca</w:t>
      </w:r>
      <w:r w:rsidR="00545D1B" w:rsidRPr="00742A04">
        <w:t>, I</w:t>
      </w:r>
      <w:r w:rsidR="00A5364F" w:rsidRPr="00742A04">
        <w:t>s</w:t>
      </w:r>
      <w:r w:rsidR="00545D1B" w:rsidRPr="00742A04">
        <w:t>land</w:t>
      </w:r>
      <w:r w:rsidR="00A5364F" w:rsidRPr="00742A04">
        <w:t>ia e I</w:t>
      </w:r>
      <w:r w:rsidR="00545D1B" w:rsidRPr="00742A04">
        <w:t>rland</w:t>
      </w:r>
      <w:r w:rsidR="00A5364F" w:rsidRPr="00742A04">
        <w:t>a</w:t>
      </w:r>
      <w:r w:rsidR="00545D1B" w:rsidRPr="00742A04">
        <w:t>.</w:t>
      </w:r>
    </w:p>
    <w:p w:rsidR="00545D1B" w:rsidRPr="00742A04" w:rsidRDefault="00B31D97" w:rsidP="002C4922">
      <w:pPr>
        <w:pStyle w:val="SingleTxt"/>
        <w:rPr>
          <w:b/>
        </w:rPr>
      </w:pPr>
      <w:r w:rsidRPr="00742A04">
        <w:rPr>
          <w:b/>
        </w:rPr>
        <w:t>Esfuerzos</w:t>
      </w:r>
      <w:r w:rsidR="00545D1B" w:rsidRPr="00742A04">
        <w:rPr>
          <w:b/>
        </w:rPr>
        <w:t xml:space="preserve"> </w:t>
      </w:r>
      <w:r w:rsidR="007C341F" w:rsidRPr="00742A04">
        <w:rPr>
          <w:b/>
        </w:rPr>
        <w:t>de lucha contra</w:t>
      </w:r>
      <w:r w:rsidR="00ED4DF1" w:rsidRPr="00742A04">
        <w:rPr>
          <w:b/>
        </w:rPr>
        <w:t xml:space="preserve"> la </w:t>
      </w:r>
      <w:r w:rsidR="00D515FC" w:rsidRPr="00742A04">
        <w:rPr>
          <w:b/>
        </w:rPr>
        <w:t>trata de seres humanos</w:t>
      </w:r>
    </w:p>
    <w:p w:rsidR="00545D1B" w:rsidRPr="00742A04" w:rsidRDefault="00D165B5" w:rsidP="002C4922">
      <w:pPr>
        <w:pStyle w:val="SingleTxt"/>
        <w:rPr>
          <w:i/>
        </w:rPr>
      </w:pPr>
      <w:r w:rsidRPr="00742A04">
        <w:rPr>
          <w:i/>
        </w:rPr>
        <w:t>Introducción</w:t>
      </w:r>
    </w:p>
    <w:p w:rsidR="00545D1B" w:rsidRPr="00742A04" w:rsidRDefault="004A0730" w:rsidP="00F25AE0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5364F" w:rsidRPr="00742A04">
        <w:t>responsable de coordinar</w:t>
      </w:r>
      <w:r w:rsidR="00545D1B" w:rsidRPr="00742A04">
        <w:t xml:space="preserve"> </w:t>
      </w:r>
      <w:r w:rsidR="00A30B35" w:rsidRPr="00742A04">
        <w:t>los esfuerzos gubern</w:t>
      </w:r>
      <w:r w:rsidR="00A30B35" w:rsidRPr="00742A04">
        <w:t>a</w:t>
      </w:r>
      <w:r w:rsidR="00A30B35" w:rsidRPr="00742A04">
        <w:t>mentales</w:t>
      </w:r>
      <w:r w:rsidR="00545D1B" w:rsidRPr="00742A04">
        <w:t xml:space="preserve"> </w:t>
      </w:r>
      <w:r w:rsidR="007C341F" w:rsidRPr="00742A04">
        <w:t>de lucha contra</w:t>
      </w:r>
      <w:r w:rsidR="00ED4DF1" w:rsidRPr="00742A04">
        <w:t xml:space="preserve"> la </w:t>
      </w:r>
      <w:r w:rsidR="00D515FC" w:rsidRPr="00742A04">
        <w:t>trata de seres humanos</w:t>
      </w:r>
      <w:r w:rsidR="00545D1B" w:rsidRPr="00742A04">
        <w:t xml:space="preserve">. </w:t>
      </w:r>
      <w:r w:rsidR="00A5364F" w:rsidRPr="00742A04">
        <w:t>Este</w:t>
      </w:r>
      <w:r w:rsidR="00116976" w:rsidRPr="00742A04">
        <w:t xml:space="preserve"> trabajo</w:t>
      </w:r>
      <w:r w:rsidR="00545D1B" w:rsidRPr="00742A04">
        <w:t xml:space="preserve"> </w:t>
      </w:r>
      <w:r w:rsidR="006D7D2F" w:rsidRPr="00742A04">
        <w:t>ha sido</w:t>
      </w:r>
      <w:r w:rsidR="00545D1B" w:rsidRPr="00742A04">
        <w:t xml:space="preserve"> organi</w:t>
      </w:r>
      <w:r w:rsidR="00A5364F" w:rsidRPr="00742A04">
        <w:t>zado</w:t>
      </w:r>
      <w:r w:rsidR="00545D1B" w:rsidRPr="00742A04">
        <w:t xml:space="preserve"> </w:t>
      </w:r>
      <w:r w:rsidR="00ED4DF1" w:rsidRPr="00742A04">
        <w:t>en torno a dos planes de acción del Gobierno: el</w:t>
      </w:r>
      <w:r w:rsidR="00545D1B" w:rsidRPr="00742A04">
        <w:t xml:space="preserve"> Plan </w:t>
      </w:r>
      <w:r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650FB" w:rsidRPr="00742A04">
        <w:t xml:space="preserve">de Lucha contra la </w:t>
      </w:r>
      <w:r w:rsidR="005E6919" w:rsidRPr="00742A04">
        <w:t>Trata de Mujeres y Niños</w:t>
      </w:r>
      <w:r w:rsidR="00545D1B" w:rsidRPr="00742A04">
        <w:t xml:space="preserve"> (2003-2005), </w:t>
      </w:r>
      <w:r w:rsidR="0079108A" w:rsidRPr="00742A04">
        <w:t>lanzado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5364F" w:rsidRPr="00742A04">
        <w:t>febrero de</w:t>
      </w:r>
      <w:r w:rsidR="00545D1B" w:rsidRPr="00742A04">
        <w:t xml:space="preserve"> 2003, </w:t>
      </w:r>
      <w:r w:rsidR="00BB4DB1" w:rsidRPr="00742A04">
        <w:t xml:space="preserve">y el </w:t>
      </w:r>
      <w:r w:rsidR="00545D1B" w:rsidRPr="00742A04">
        <w:t xml:space="preserve">Plan </w:t>
      </w:r>
      <w:r w:rsidRPr="00742A04">
        <w:t>de</w:t>
      </w:r>
      <w:r w:rsidR="00545D1B" w:rsidRPr="00742A04">
        <w:t xml:space="preserve"> A</w:t>
      </w:r>
      <w:r w:rsidR="00545D1B" w:rsidRPr="00742A04">
        <w:t>c</w:t>
      </w:r>
      <w:r w:rsidR="00C14BFF" w:rsidRPr="00742A04">
        <w:t xml:space="preserve">ción </w:t>
      </w:r>
      <w:r w:rsidR="007C341F" w:rsidRPr="00742A04">
        <w:t xml:space="preserve">de Lucha contra </w:t>
      </w:r>
      <w:r w:rsidR="00ED4DF1" w:rsidRPr="00742A04">
        <w:t>la Trata de Seres Humanos</w:t>
      </w:r>
      <w:r w:rsidR="00545D1B" w:rsidRPr="00742A04">
        <w:t xml:space="preserve"> (2005-2008), </w:t>
      </w:r>
      <w:r w:rsidR="0079108A" w:rsidRPr="00742A04">
        <w:t>lanzado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776F" w:rsidRPr="00742A04">
        <w:t>junio de</w:t>
      </w:r>
      <w:r w:rsidR="00545D1B" w:rsidRPr="00742A04">
        <w:t xml:space="preserve"> 2005. </w:t>
      </w:r>
      <w:r w:rsidR="004D313C" w:rsidRPr="00742A04">
        <w:t>En el otoño</w:t>
      </w:r>
      <w:r w:rsidR="00F43124" w:rsidRPr="00742A04">
        <w:t xml:space="preserve"> de</w:t>
      </w:r>
      <w:r w:rsidR="00545D1B" w:rsidRPr="00742A04">
        <w:t xml:space="preserve"> 2006</w:t>
      </w:r>
      <w:r w:rsidR="00A5364F" w:rsidRPr="00742A04">
        <w:t>,</w:t>
      </w:r>
      <w:r w:rsidR="00545D1B" w:rsidRPr="00742A04">
        <w:t xml:space="preserve"> </w:t>
      </w:r>
      <w:r w:rsidR="003C0D26" w:rsidRPr="00742A04">
        <w:t>el Gobierno Stoltenberg II</w:t>
      </w:r>
      <w:r w:rsidR="00545D1B" w:rsidRPr="00742A04">
        <w:t xml:space="preserve"> </w:t>
      </w:r>
      <w:r w:rsidR="000472FC" w:rsidRPr="00742A04">
        <w:t>presentará</w:t>
      </w:r>
      <w:r w:rsidR="00545D1B" w:rsidRPr="00742A04">
        <w:t xml:space="preserve"> </w:t>
      </w:r>
      <w:r w:rsidR="00A5364F" w:rsidRPr="00742A04">
        <w:t>varias medidas</w:t>
      </w:r>
      <w:r w:rsidR="00545D1B" w:rsidRPr="00742A04">
        <w:t xml:space="preserve"> </w:t>
      </w:r>
      <w:r w:rsidR="007C341F" w:rsidRPr="00742A04">
        <w:t>de lucha contra</w:t>
      </w:r>
      <w:r w:rsidR="00ED4DF1" w:rsidRPr="00742A04">
        <w:t xml:space="preserve"> la </w:t>
      </w:r>
      <w:r w:rsidR="00D515FC" w:rsidRPr="00742A04">
        <w:t>trata de seres humanos</w:t>
      </w:r>
      <w:r w:rsidR="00545D1B" w:rsidRPr="00742A04">
        <w:t xml:space="preserve">. </w:t>
      </w:r>
      <w:r w:rsidR="00A5364F" w:rsidRPr="00742A04">
        <w:t>Para satisfacer</w:t>
      </w:r>
      <w:r w:rsidR="00545D1B" w:rsidRPr="00742A04">
        <w:t xml:space="preserve"> </w:t>
      </w:r>
      <w:r w:rsidR="00DD5E1A" w:rsidRPr="00742A04">
        <w:t>la necesidad de</w:t>
      </w:r>
      <w:r w:rsidR="00545D1B" w:rsidRPr="00742A04">
        <w:t xml:space="preserve"> </w:t>
      </w:r>
      <w:r w:rsidR="00A5364F" w:rsidRPr="00742A04">
        <w:t>coordinación centralizada,</w:t>
      </w:r>
      <w:r w:rsidR="00545D1B" w:rsidRPr="00742A04">
        <w:t xml:space="preserve"> </w:t>
      </w:r>
      <w:r w:rsidR="00A5364F" w:rsidRPr="00742A04">
        <w:t>se ha establecido un grupo</w:t>
      </w:r>
      <w:r w:rsidR="00495D7B" w:rsidRPr="00742A04">
        <w:t xml:space="preserve"> de trabajo interministerial</w:t>
      </w:r>
      <w:r w:rsidR="00545D1B" w:rsidRPr="00742A04">
        <w:t xml:space="preserve"> </w:t>
      </w:r>
      <w:r w:rsidR="006B65CD" w:rsidRPr="00742A04">
        <w:t>integrado por r</w:t>
      </w:r>
      <w:r w:rsidR="006B65CD" w:rsidRPr="00742A04">
        <w:t>e</w:t>
      </w:r>
      <w:r w:rsidR="006B65CD" w:rsidRPr="00742A04">
        <w:t>presentantes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A5364F" w:rsidRPr="00742A04">
        <w:t>cinco</w:t>
      </w:r>
      <w:r w:rsidR="00545D1B" w:rsidRPr="00742A04">
        <w:t xml:space="preserve"> </w:t>
      </w:r>
      <w:r w:rsidR="00603216" w:rsidRPr="00742A04">
        <w:t>ministerios</w:t>
      </w:r>
      <w:r w:rsidR="00545D1B" w:rsidRPr="00742A04">
        <w:t xml:space="preserve">. </w:t>
      </w:r>
      <w:r w:rsidR="00DD5E1A" w:rsidRPr="00742A04">
        <w:t>El grupo</w:t>
      </w:r>
      <w:r w:rsidR="005E2D7A" w:rsidRPr="00742A04">
        <w:t xml:space="preserve"> de trabajo</w:t>
      </w:r>
      <w:r w:rsidR="00545D1B" w:rsidRPr="00742A04">
        <w:t xml:space="preserve"> </w:t>
      </w:r>
      <w:r w:rsidR="00A5364F" w:rsidRPr="00742A04">
        <w:t>tiene el cometido de</w:t>
      </w:r>
      <w:r w:rsidR="00545D1B" w:rsidRPr="00742A04">
        <w:t xml:space="preserve"> </w:t>
      </w:r>
      <w:r w:rsidR="00A5364F" w:rsidRPr="00742A04">
        <w:t>asegurar</w:t>
      </w:r>
      <w:r w:rsidR="00545D1B" w:rsidRPr="00742A04">
        <w:t xml:space="preserve"> </w:t>
      </w:r>
      <w:r w:rsidR="007D36C8" w:rsidRPr="00742A04">
        <w:t xml:space="preserve">la </w:t>
      </w:r>
      <w:r w:rsidR="004F2F8A" w:rsidRPr="00742A04">
        <w:t>implementación</w:t>
      </w:r>
      <w:r w:rsidR="00C14BFF" w:rsidRPr="00742A04">
        <w:t xml:space="preserve"> </w:t>
      </w:r>
      <w:r w:rsidRPr="00742A04">
        <w:t>de</w:t>
      </w:r>
      <w:r w:rsidR="00545D1B" w:rsidRPr="00742A04">
        <w:t xml:space="preserve"> </w:t>
      </w:r>
      <w:r w:rsidR="005C39D4" w:rsidRPr="00742A04">
        <w:t>las medidas</w:t>
      </w:r>
      <w:r w:rsidR="00545D1B" w:rsidRPr="00742A04">
        <w:t xml:space="preserve"> </w:t>
      </w:r>
      <w:r w:rsidR="007C341F" w:rsidRPr="00742A04">
        <w:t>de lucha contra</w:t>
      </w:r>
      <w:r w:rsidR="00ED4DF1" w:rsidRPr="00742A04">
        <w:t xml:space="preserve"> la </w:t>
      </w:r>
      <w:r w:rsidR="00D515FC" w:rsidRPr="00742A04">
        <w:t>trata de seres humanos</w:t>
      </w:r>
      <w:r w:rsidR="00545D1B" w:rsidRPr="00742A04">
        <w:t xml:space="preserve"> </w:t>
      </w:r>
      <w:r w:rsidR="00A5364F" w:rsidRPr="00742A04">
        <w:t>e</w:t>
      </w:r>
      <w:r w:rsidR="00545D1B" w:rsidRPr="00742A04">
        <w:t xml:space="preserve"> </w:t>
      </w:r>
      <w:r w:rsidR="00B31D97" w:rsidRPr="00742A04">
        <w:t>info</w:t>
      </w:r>
      <w:r w:rsidR="00B31D97" w:rsidRPr="00742A04">
        <w:t>r</w:t>
      </w:r>
      <w:r w:rsidR="00B31D97" w:rsidRPr="00742A04">
        <w:t>m</w:t>
      </w:r>
      <w:r w:rsidR="00A5364F" w:rsidRPr="00742A04">
        <w:t>ará</w:t>
      </w:r>
      <w:r w:rsidR="00545D1B" w:rsidRPr="00742A04">
        <w:t xml:space="preserve"> </w:t>
      </w:r>
      <w:r w:rsidR="00A5364F" w:rsidRPr="00742A04">
        <w:t>dos veces por año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5364F" w:rsidRPr="00742A04">
        <w:t>un comité estatal a nivel de</w:t>
      </w:r>
      <w:r w:rsidR="00545D1B" w:rsidRPr="00742A04">
        <w:t xml:space="preserve"> se</w:t>
      </w:r>
      <w:r w:rsidR="00545D1B" w:rsidRPr="00742A04">
        <w:t>c</w:t>
      </w:r>
      <w:r w:rsidR="00A5364F" w:rsidRPr="00742A04">
        <w:t>retaría</w:t>
      </w:r>
      <w:r w:rsidR="00545D1B" w:rsidRPr="00742A04">
        <w:t>.</w:t>
      </w:r>
    </w:p>
    <w:p w:rsidR="00545D1B" w:rsidRPr="00742A04" w:rsidRDefault="00502E16" w:rsidP="00F25AE0">
      <w:pPr>
        <w:pStyle w:val="SingleTxt"/>
        <w:ind w:firstLine="475"/>
      </w:pPr>
      <w:r w:rsidRPr="00742A04">
        <w:t>Los esfuerzos</w:t>
      </w:r>
      <w:r w:rsidR="00545D1B" w:rsidRPr="00742A04">
        <w:t xml:space="preserve"> </w:t>
      </w:r>
      <w:r w:rsidR="007C341F" w:rsidRPr="00742A04">
        <w:t>de lucha contra</w:t>
      </w:r>
      <w:r w:rsidR="00ED4DF1" w:rsidRPr="00742A04">
        <w:t xml:space="preserve"> la </w:t>
      </w:r>
      <w:r w:rsidR="00D515FC" w:rsidRPr="00742A04">
        <w:t>trata de seres humanos</w:t>
      </w:r>
      <w:r w:rsidR="00545D1B" w:rsidRPr="00742A04">
        <w:t xml:space="preserve"> </w:t>
      </w:r>
      <w:r w:rsidR="00A5364F" w:rsidRPr="00742A04">
        <w:t xml:space="preserve">están </w:t>
      </w:r>
      <w:r w:rsidR="005E6919" w:rsidRPr="00742A04">
        <w:t>centra</w:t>
      </w:r>
      <w:r w:rsidR="00A5364F" w:rsidRPr="00742A04">
        <w:t>dos</w:t>
      </w:r>
      <w:r w:rsidR="005E6919" w:rsidRPr="00742A04">
        <w:t xml:space="preserve"> en</w:t>
      </w:r>
      <w:r w:rsidR="00545D1B" w:rsidRPr="00742A04">
        <w:t xml:space="preserve"> </w:t>
      </w:r>
      <w:r w:rsidR="00A5364F" w:rsidRPr="00742A04">
        <w:t>ci</w:t>
      </w:r>
      <w:r w:rsidR="00A5364F" w:rsidRPr="00742A04">
        <w:t>n</w:t>
      </w:r>
      <w:r w:rsidR="00A5364F" w:rsidRPr="00742A04">
        <w:t>co</w:t>
      </w:r>
      <w:r w:rsidR="00545D1B" w:rsidRPr="00742A04">
        <w:t xml:space="preserve"> </w:t>
      </w:r>
      <w:r w:rsidR="00A5364F" w:rsidRPr="00742A04">
        <w:t>objetivos principales</w:t>
      </w:r>
      <w:r w:rsidR="00545D1B" w:rsidRPr="00742A04">
        <w:t>:</w:t>
      </w:r>
    </w:p>
    <w:p w:rsidR="00545D1B" w:rsidRPr="00742A04" w:rsidRDefault="007E43BF" w:rsidP="00064906">
      <w:pPr>
        <w:pStyle w:val="SingleTxt"/>
        <w:numPr>
          <w:ilvl w:val="0"/>
          <w:numId w:val="46"/>
        </w:numPr>
        <w:tabs>
          <w:tab w:val="clear" w:pos="1742"/>
        </w:tabs>
      </w:pPr>
      <w:r w:rsidRPr="00742A04">
        <w:t>Prevenir</w:t>
      </w:r>
      <w:r w:rsidR="00545D1B" w:rsidRPr="00742A04">
        <w:t xml:space="preserve"> </w:t>
      </w:r>
      <w:r w:rsidR="00D515FC" w:rsidRPr="00742A04">
        <w:t>la trata de seres humanos</w:t>
      </w:r>
      <w:r w:rsidR="00545D1B" w:rsidRPr="00742A04">
        <w:t xml:space="preserve"> limit</w:t>
      </w:r>
      <w:r w:rsidR="00064906" w:rsidRPr="00742A04">
        <w:t xml:space="preserve">ando </w:t>
      </w:r>
      <w:r w:rsidR="008F7F9D" w:rsidRPr="00742A04">
        <w:t>la captación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64906" w:rsidRPr="00742A04">
        <w:t>la dema</w:t>
      </w:r>
      <w:r w:rsidR="00064906" w:rsidRPr="00742A04">
        <w:t>n</w:t>
      </w:r>
      <w:r w:rsidR="00064906" w:rsidRPr="00742A04">
        <w:t>da</w:t>
      </w:r>
    </w:p>
    <w:p w:rsidR="00545D1B" w:rsidRPr="00742A04" w:rsidRDefault="00064906" w:rsidP="00064906">
      <w:pPr>
        <w:pStyle w:val="SingleTxt"/>
        <w:numPr>
          <w:ilvl w:val="0"/>
          <w:numId w:val="46"/>
        </w:numPr>
        <w:tabs>
          <w:tab w:val="clear" w:pos="1742"/>
        </w:tabs>
      </w:pPr>
      <w:r w:rsidRPr="00742A04">
        <w:t>Mejorar los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s </w:t>
      </w:r>
      <w:r w:rsidRPr="00742A04">
        <w:t>que brindan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protec</w:t>
      </w:r>
      <w:r w:rsidR="00C14BFF" w:rsidRPr="00742A04">
        <w:t xml:space="preserve">ción </w:t>
      </w:r>
      <w:r w:rsidRPr="00742A04">
        <w:t>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</w:p>
    <w:p w:rsidR="00545D1B" w:rsidRPr="00742A04" w:rsidRDefault="00B31D97" w:rsidP="00064906">
      <w:pPr>
        <w:pStyle w:val="SingleTxt"/>
        <w:numPr>
          <w:ilvl w:val="0"/>
          <w:numId w:val="46"/>
        </w:numPr>
        <w:tabs>
          <w:tab w:val="clear" w:pos="1742"/>
        </w:tabs>
      </w:pPr>
      <w:r w:rsidRPr="00742A04">
        <w:t>Intensificar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064906" w:rsidRPr="00742A04">
        <w:t>denunciar públicamente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64906" w:rsidRPr="00742A04">
        <w:t>enjuiciar a</w:t>
      </w:r>
      <w:r w:rsidR="00545D1B" w:rsidRPr="00742A04">
        <w:t xml:space="preserve"> </w:t>
      </w:r>
      <w:r w:rsidR="00064906" w:rsidRPr="00742A04">
        <w:t>los tr</w:t>
      </w:r>
      <w:r w:rsidR="00064906" w:rsidRPr="00742A04">
        <w:t>a</w:t>
      </w:r>
      <w:r w:rsidR="00064906" w:rsidRPr="00742A04">
        <w:t>tantes de seres humanos</w:t>
      </w:r>
    </w:p>
    <w:p w:rsidR="00545D1B" w:rsidRPr="00742A04" w:rsidRDefault="00064906" w:rsidP="00064906">
      <w:pPr>
        <w:pStyle w:val="SingleTxt"/>
        <w:numPr>
          <w:ilvl w:val="0"/>
          <w:numId w:val="46"/>
        </w:numPr>
        <w:tabs>
          <w:tab w:val="clear" w:pos="1742"/>
        </w:tabs>
      </w:pPr>
      <w:r w:rsidRPr="00742A04">
        <w:t>Incrementar los</w:t>
      </w:r>
      <w:r w:rsidR="00545D1B" w:rsidRPr="00742A04">
        <w:t xml:space="preserve"> </w:t>
      </w:r>
      <w:r w:rsidR="003E5775" w:rsidRPr="00742A04">
        <w:t>conocimiento</w:t>
      </w:r>
      <w:r w:rsidRPr="00742A04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Pr="00742A04">
        <w:t>intersectorial a nivel n</w:t>
      </w:r>
      <w:r w:rsidRPr="00742A04">
        <w:t>a</w:t>
      </w:r>
      <w:r w:rsidRPr="00742A04">
        <w:t>cional</w:t>
      </w:r>
    </w:p>
    <w:p w:rsidR="00545D1B" w:rsidRPr="00742A04" w:rsidRDefault="00F43124" w:rsidP="00064906">
      <w:pPr>
        <w:pStyle w:val="SingleTxt"/>
        <w:numPr>
          <w:ilvl w:val="0"/>
          <w:numId w:val="46"/>
        </w:numPr>
        <w:tabs>
          <w:tab w:val="clear" w:pos="1742"/>
        </w:tabs>
      </w:pPr>
      <w:r w:rsidRPr="00742A04">
        <w:t>Fortalecer</w:t>
      </w:r>
      <w:r w:rsidR="00545D1B" w:rsidRPr="00742A04">
        <w:t xml:space="preserve"> </w:t>
      </w:r>
      <w:r w:rsidR="00064906" w:rsidRPr="00742A04">
        <w:t xml:space="preserve">la colaboración y los marcos </w:t>
      </w:r>
      <w:r w:rsidR="001167D2" w:rsidRPr="00742A04">
        <w:t>internacional</w:t>
      </w:r>
      <w:r w:rsidR="00064906" w:rsidRPr="00742A04">
        <w:t>es</w:t>
      </w:r>
      <w:r w:rsidR="00545D1B" w:rsidRPr="00742A04">
        <w:t xml:space="preserve"> </w:t>
      </w:r>
    </w:p>
    <w:p w:rsidR="00545D1B" w:rsidRPr="00742A04" w:rsidRDefault="008B63DF" w:rsidP="002C4922">
      <w:pPr>
        <w:pStyle w:val="SingleTxt"/>
        <w:rPr>
          <w:i/>
        </w:rPr>
      </w:pPr>
      <w:r w:rsidRPr="00742A04">
        <w:rPr>
          <w:i/>
        </w:rPr>
        <w:t>Enmiendas legislativas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3C0D26" w:rsidRPr="00742A04">
        <w:rPr>
          <w:i/>
        </w:rPr>
        <w:t xml:space="preserve"> jurisprudencia</w:t>
      </w:r>
    </w:p>
    <w:p w:rsidR="00545D1B" w:rsidRPr="00742A04" w:rsidRDefault="004A0730" w:rsidP="00D42876">
      <w:pPr>
        <w:pStyle w:val="SingleTxt"/>
        <w:ind w:firstLine="475"/>
      </w:pPr>
      <w:r w:rsidRPr="00742A04">
        <w:t>En</w:t>
      </w:r>
      <w:r w:rsidR="00545D1B" w:rsidRPr="00742A04">
        <w:t xml:space="preserve"> 2003,</w:t>
      </w:r>
      <w:r w:rsidR="00064906" w:rsidRPr="00742A04">
        <w:t xml:space="preserve"> se incluyó en el</w:t>
      </w:r>
      <w:r w:rsidR="00545D1B" w:rsidRPr="00742A04">
        <w:t xml:space="preserve"> </w:t>
      </w:r>
      <w:r w:rsidR="00064906" w:rsidRPr="00742A04">
        <w:t xml:space="preserve">artículo 224 del Código Penal </w:t>
      </w:r>
      <w:r w:rsidR="007A778F" w:rsidRPr="00742A04">
        <w:t xml:space="preserve">una disposición </w:t>
      </w:r>
      <w:r w:rsidR="00064906" w:rsidRPr="00742A04">
        <w:t xml:space="preserve">penal </w:t>
      </w:r>
      <w:r w:rsidR="007A778F" w:rsidRPr="00742A04">
        <w:t>especial</w:t>
      </w:r>
      <w:r w:rsidR="00B31D97" w:rsidRPr="00742A04">
        <w:t xml:space="preserve"> </w:t>
      </w:r>
      <w:r w:rsidR="00064906" w:rsidRPr="00742A04">
        <w:t xml:space="preserve">que </w:t>
      </w:r>
      <w:r w:rsidR="00545D1B" w:rsidRPr="00742A04">
        <w:t>proh</w:t>
      </w:r>
      <w:r w:rsidR="00064906" w:rsidRPr="00742A04">
        <w:t>í</w:t>
      </w:r>
      <w:r w:rsidR="00545D1B" w:rsidRPr="00742A04">
        <w:t>b</w:t>
      </w:r>
      <w:r w:rsidR="00064906" w:rsidRPr="00742A04">
        <w:t>e</w:t>
      </w:r>
      <w:r w:rsidR="00545D1B" w:rsidRPr="00742A04">
        <w:t xml:space="preserve"> </w:t>
      </w:r>
      <w:r w:rsidR="00D515FC" w:rsidRPr="00742A04">
        <w:t>la trata de seres humanos</w:t>
      </w:r>
      <w:r w:rsidR="00545D1B" w:rsidRPr="00742A04">
        <w:t xml:space="preserve">, </w:t>
      </w:r>
      <w:r w:rsidR="00064906" w:rsidRPr="00742A04">
        <w:t>concordante</w:t>
      </w:r>
      <w:r w:rsidR="00C14BFF" w:rsidRPr="00742A04">
        <w:t xml:space="preserve"> </w:t>
      </w:r>
      <w:r w:rsidR="00064906" w:rsidRPr="00742A04">
        <w:t>con la</w:t>
      </w:r>
      <w:r w:rsidR="00545D1B" w:rsidRPr="00742A04">
        <w:t xml:space="preserve"> defini</w:t>
      </w:r>
      <w:r w:rsidR="00C14BFF" w:rsidRPr="00742A04">
        <w:t xml:space="preserve">ción </w:t>
      </w:r>
      <w:r w:rsidR="00064906" w:rsidRPr="00742A04">
        <w:t>est</w:t>
      </w:r>
      <w:r w:rsidR="00064906" w:rsidRPr="00742A04">
        <w:t>a</w:t>
      </w:r>
      <w:r w:rsidR="00064906" w:rsidRPr="00742A04">
        <w:t xml:space="preserve">blecida en el artículo </w:t>
      </w:r>
      <w:r w:rsidR="00545D1B" w:rsidRPr="00742A04">
        <w:t>3</w:t>
      </w:r>
      <w:r w:rsidR="00C07ED9" w:rsidRPr="00742A04">
        <w:t xml:space="preserve"> del </w:t>
      </w:r>
      <w:r w:rsidR="008A38B9" w:rsidRPr="00742A04">
        <w:t>Protocolo de Palermo</w:t>
      </w:r>
      <w:r w:rsidR="00545D1B" w:rsidRPr="00742A04">
        <w:t xml:space="preserve">. </w:t>
      </w:r>
      <w:r w:rsidR="00064906" w:rsidRPr="00742A04">
        <w:t>Mientras que</w:t>
      </w:r>
      <w:r w:rsidR="00545D1B" w:rsidRPr="00742A04">
        <w:t xml:space="preserve"> </w:t>
      </w:r>
      <w:r w:rsidR="008A38B9" w:rsidRPr="00742A04">
        <w:t>el Protocolo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064906" w:rsidRPr="00742A04">
        <w:t>comprende a los</w:t>
      </w:r>
      <w:r w:rsidR="00545D1B" w:rsidRPr="00742A04">
        <w:t xml:space="preserve"> </w:t>
      </w:r>
      <w:r w:rsidR="008F7F9D" w:rsidRPr="00742A04">
        <w:t>grupos delictivos</w:t>
      </w:r>
      <w:r w:rsidR="00545D1B" w:rsidRPr="00742A04">
        <w:t xml:space="preserve"> </w:t>
      </w:r>
      <w:r w:rsidR="008F7F9D" w:rsidRPr="00742A04">
        <w:t>que participan en</w:t>
      </w:r>
      <w:r w:rsidR="00545D1B" w:rsidRPr="00742A04">
        <w:t xml:space="preserve"> </w:t>
      </w:r>
      <w:r w:rsidR="00D515FC" w:rsidRPr="00742A04">
        <w:t>la trata de seres humanos</w:t>
      </w:r>
      <w:r w:rsidR="00545D1B" w:rsidRPr="00742A04">
        <w:t xml:space="preserve">, </w:t>
      </w:r>
      <w:r w:rsidR="00831F07" w:rsidRPr="00742A04">
        <w:t>el a</w:t>
      </w:r>
      <w:r w:rsidR="00831F07" w:rsidRPr="00742A04">
        <w:t>r</w:t>
      </w:r>
      <w:r w:rsidR="00831F07" w:rsidRPr="00742A04">
        <w:t xml:space="preserve">tículo </w:t>
      </w:r>
      <w:r w:rsidR="00545D1B" w:rsidRPr="00742A04">
        <w:t xml:space="preserve">224, </w:t>
      </w:r>
      <w:r w:rsidR="008F7F9D" w:rsidRPr="00742A04">
        <w:t>en su</w:t>
      </w:r>
      <w:r w:rsidR="00545D1B" w:rsidRPr="00742A04">
        <w:t xml:space="preserve"> </w:t>
      </w:r>
      <w:r w:rsidR="000B1D12" w:rsidRPr="00742A04">
        <w:t>párrafo</w:t>
      </w:r>
      <w:r w:rsidR="008F7F9D" w:rsidRPr="00742A04">
        <w:t xml:space="preserve"> primero</w:t>
      </w:r>
      <w:r w:rsidR="00545D1B" w:rsidRPr="00742A04">
        <w:t xml:space="preserve">, </w:t>
      </w:r>
      <w:r w:rsidR="0030626A" w:rsidRPr="00742A04">
        <w:t>también</w:t>
      </w:r>
      <w:r w:rsidR="00545D1B" w:rsidRPr="00742A04">
        <w:t xml:space="preserve"> </w:t>
      </w:r>
      <w:r w:rsidR="008F7F9D" w:rsidRPr="00742A04">
        <w:t>comprende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D3378F" w:rsidRPr="00742A04">
        <w:t xml:space="preserve">persona </w:t>
      </w:r>
      <w:r w:rsidR="003E5775" w:rsidRPr="00742A04">
        <w:t>que</w:t>
      </w:r>
      <w:r w:rsidR="00545D1B" w:rsidRPr="00742A04">
        <w:t xml:space="preserve"> </w:t>
      </w:r>
      <w:r w:rsidR="008F7F9D" w:rsidRPr="00742A04">
        <w:t>realiza efe</w:t>
      </w:r>
      <w:r w:rsidR="008F7F9D" w:rsidRPr="00742A04">
        <w:t>c</w:t>
      </w:r>
      <w:r w:rsidR="008F7F9D" w:rsidRPr="00742A04">
        <w:t>tivamente la</w:t>
      </w:r>
      <w:r w:rsidR="00545D1B" w:rsidRPr="00742A04">
        <w:t xml:space="preserve"> </w:t>
      </w:r>
      <w:r w:rsidR="00834309" w:rsidRPr="00742A04">
        <w:t>explot</w:t>
      </w:r>
      <w:r w:rsidR="008F7F9D" w:rsidRPr="00742A04">
        <w:t>ación</w:t>
      </w:r>
      <w:r w:rsidR="00545D1B" w:rsidRPr="00742A04">
        <w:t xml:space="preserve">. </w:t>
      </w:r>
      <w:r w:rsidR="008F7F9D" w:rsidRPr="00742A04">
        <w:t>La pena máxima</w:t>
      </w:r>
      <w:r w:rsidR="00545D1B" w:rsidRPr="00742A04">
        <w:t xml:space="preserve"> </w:t>
      </w:r>
      <w:r w:rsidR="00BB4DB1" w:rsidRPr="00742A04">
        <w:t>es</w:t>
      </w:r>
      <w:r w:rsidR="008F7F9D" w:rsidRPr="00742A04">
        <w:t xml:space="preserve"> de</w:t>
      </w:r>
      <w:r w:rsidR="00545D1B" w:rsidRPr="00742A04">
        <w:t xml:space="preserve"> 10 </w:t>
      </w:r>
      <w:r w:rsidR="004D313C" w:rsidRPr="00742A04">
        <w:t>años</w:t>
      </w:r>
      <w:r w:rsidR="00545D1B" w:rsidRPr="00742A04">
        <w:t xml:space="preserve">. </w:t>
      </w:r>
      <w:r w:rsidR="00EF5B12" w:rsidRPr="00742A04">
        <w:t>También se adoptaron di</w:t>
      </w:r>
      <w:r w:rsidR="00EF5B12" w:rsidRPr="00742A04">
        <w:t>s</w:t>
      </w:r>
      <w:r w:rsidR="00EF5B12" w:rsidRPr="00742A04">
        <w:t>posiciones que prescriben penas más severas para los casos de participación en act</w:t>
      </w:r>
      <w:r w:rsidR="00EF5B12" w:rsidRPr="00742A04">
        <w:t>i</w:t>
      </w:r>
      <w:r w:rsidR="00EF5B12" w:rsidRPr="00742A04">
        <w:t>vidades</w:t>
      </w:r>
      <w:r w:rsidR="00EF5B12">
        <w:t xml:space="preserve"> criminales organizadas</w:t>
      </w:r>
      <w:r w:rsidR="00EF5B12" w:rsidRPr="00742A04">
        <w:t xml:space="preserve"> (artículo 60 </w:t>
      </w:r>
      <w:r w:rsidR="00EF5B12" w:rsidRPr="00742A04">
        <w:rPr>
          <w:i/>
        </w:rPr>
        <w:t>a</w:t>
      </w:r>
      <w:r w:rsidR="00EF5B12" w:rsidRPr="00742A04">
        <w:t xml:space="preserve"> del Código Penal) y de reincidencia (artículo 61 del Código Penal), que también serán aplicable</w:t>
      </w:r>
      <w:r w:rsidR="00D64A40">
        <w:t>s</w:t>
      </w:r>
      <w:r w:rsidR="00EF5B12" w:rsidRPr="00742A04">
        <w:t xml:space="preserve"> a los casos de trata de seres humanos. </w:t>
      </w:r>
      <w:r w:rsidR="008F7F9D" w:rsidRPr="00742A04">
        <w:t>Ambas</w:t>
      </w:r>
      <w:r w:rsidR="00545D1B" w:rsidRPr="00742A04">
        <w:t xml:space="preserve"> </w:t>
      </w:r>
      <w:r w:rsidR="00980475" w:rsidRPr="00742A04">
        <w:t>disposiciones</w:t>
      </w:r>
      <w:r w:rsidR="00545D1B" w:rsidRPr="00742A04">
        <w:t xml:space="preserve"> </w:t>
      </w:r>
      <w:r w:rsidR="008F7F9D" w:rsidRPr="00742A04">
        <w:t>fueron adoptadas</w:t>
      </w:r>
      <w:r w:rsidR="00545D1B" w:rsidRPr="00742A04">
        <w:t xml:space="preserve"> </w:t>
      </w:r>
      <w:r w:rsidR="00614C7D" w:rsidRPr="00742A04">
        <w:t xml:space="preserve">por la </w:t>
      </w:r>
      <w:r w:rsidR="00230F13" w:rsidRPr="00742A04">
        <w:t>Ley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4 </w:t>
      </w:r>
      <w:r w:rsidR="00834309" w:rsidRPr="00742A04">
        <w:t>Julio de 2</w:t>
      </w:r>
      <w:r w:rsidR="00545D1B" w:rsidRPr="00742A04">
        <w:t xml:space="preserve">003 </w:t>
      </w:r>
      <w:r w:rsidR="00F97F41" w:rsidRPr="00742A04">
        <w:t>N°</w:t>
      </w:r>
      <w:r w:rsidR="00545D1B" w:rsidRPr="00742A04">
        <w:t xml:space="preserve"> 78.</w:t>
      </w:r>
    </w:p>
    <w:p w:rsidR="00545D1B" w:rsidRPr="00742A04" w:rsidRDefault="008F7F9D" w:rsidP="00D42876">
      <w:pPr>
        <w:pStyle w:val="SingleTxt"/>
        <w:ind w:firstLine="475"/>
      </w:pPr>
      <w:r w:rsidRPr="00742A04">
        <w:t xml:space="preserve">Como </w:t>
      </w:r>
      <w:r w:rsidR="004F2F8A" w:rsidRPr="00742A04">
        <w:t xml:space="preserve">el </w:t>
      </w:r>
      <w:r w:rsidR="00831F07" w:rsidRPr="00742A04">
        <w:t xml:space="preserve">artículo </w:t>
      </w:r>
      <w:r w:rsidR="00545D1B" w:rsidRPr="00742A04">
        <w:t xml:space="preserve">224 </w:t>
      </w:r>
      <w:r w:rsidR="008A38B9" w:rsidRPr="00742A04">
        <w:t>del Código Penal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relativ</w:t>
      </w:r>
      <w:r w:rsidR="00BC2FBE" w:rsidRPr="00742A04">
        <w:t xml:space="preserve">amente </w:t>
      </w:r>
      <w:r w:rsidRPr="00742A04">
        <w:t>nuevo</w:t>
      </w:r>
      <w:r w:rsidR="00545D1B" w:rsidRPr="00742A04">
        <w:t xml:space="preserve">, </w:t>
      </w:r>
      <w:r w:rsidR="004D313C" w:rsidRPr="00742A04">
        <w:t xml:space="preserve">la </w:t>
      </w:r>
      <w:r w:rsidR="003C0D26" w:rsidRPr="00742A04">
        <w:t>jurisprude</w:t>
      </w:r>
      <w:r w:rsidR="003C0D26" w:rsidRPr="00742A04">
        <w:t>n</w:t>
      </w:r>
      <w:r w:rsidR="003C0D26" w:rsidRPr="00742A04">
        <w:t>cia</w:t>
      </w:r>
      <w:r w:rsidR="00545D1B" w:rsidRPr="00742A04">
        <w:t xml:space="preserve"> </w:t>
      </w:r>
      <w:r w:rsidR="00154FBB" w:rsidRPr="00742A04">
        <w:t>relacionada con</w:t>
      </w:r>
      <w:r w:rsidR="00545D1B" w:rsidRPr="00742A04">
        <w:t xml:space="preserve"> </w:t>
      </w:r>
      <w:r w:rsidRPr="00742A04">
        <w:t>dicha</w:t>
      </w:r>
      <w:r w:rsidR="00545D1B" w:rsidRPr="00742A04">
        <w:t xml:space="preserve"> </w:t>
      </w:r>
      <w:r w:rsidR="002E2883" w:rsidRPr="00742A04">
        <w:t>disposición</w:t>
      </w:r>
      <w:r w:rsidR="005E6919" w:rsidRPr="00742A04">
        <w:t xml:space="preserve"> </w:t>
      </w:r>
      <w:r w:rsidR="00154FBB" w:rsidRPr="00742A04">
        <w:t>es limitada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Pr="00742A04">
        <w:t>una sentencia</w:t>
      </w:r>
      <w:r w:rsidR="00545D1B" w:rsidRPr="00742A04">
        <w:t xml:space="preserve"> </w:t>
      </w:r>
      <w:r w:rsidRPr="00742A04">
        <w:t>dictada recie</w:t>
      </w:r>
      <w:r w:rsidRPr="00742A04">
        <w:t>n</w:t>
      </w:r>
      <w:r w:rsidRPr="00742A04">
        <w:t>temente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>el Tribunal de Apelación d</w:t>
      </w:r>
      <w:r w:rsidR="00545D1B" w:rsidRPr="00742A04">
        <w:t xml:space="preserve">e Frostating (LF-2005-71379), </w:t>
      </w:r>
      <w:r w:rsidR="00CB0483" w:rsidRPr="00742A04">
        <w:t>sin embargo</w:t>
      </w:r>
      <w:r w:rsidR="00545D1B" w:rsidRPr="00742A04">
        <w:t xml:space="preserve">, </w:t>
      </w:r>
      <w:r w:rsidRPr="00742A04">
        <w:t>los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Pr="00742A04">
        <w:t>acusados</w:t>
      </w:r>
      <w:r w:rsidR="00545D1B" w:rsidRPr="00742A04">
        <w:t xml:space="preserve"> </w:t>
      </w:r>
      <w:r w:rsidRPr="00742A04">
        <w:t>fueron condenados por</w:t>
      </w:r>
      <w:r w:rsidR="00545D1B" w:rsidRPr="00742A04">
        <w:t xml:space="preserve"> viola</w:t>
      </w:r>
      <w:r w:rsidRPr="00742A04">
        <w:t>r esa</w:t>
      </w:r>
      <w:r w:rsidR="00545D1B" w:rsidRPr="00742A04">
        <w:t xml:space="preserve"> </w:t>
      </w:r>
      <w:r w:rsidRPr="00742A04">
        <w:t>disposición penal</w:t>
      </w:r>
      <w:r w:rsidR="00545D1B" w:rsidRPr="00742A04">
        <w:t xml:space="preserve">. </w:t>
      </w:r>
      <w:r w:rsidRPr="00742A04">
        <w:t>La sentencia</w:t>
      </w:r>
      <w:r w:rsidR="00545D1B" w:rsidRPr="00742A04">
        <w:t xml:space="preserve"> </w:t>
      </w:r>
      <w:r w:rsidR="000A1286" w:rsidRPr="00742A04">
        <w:t>fue apelada ante</w:t>
      </w:r>
      <w:r w:rsidR="00545D1B" w:rsidRPr="00742A04">
        <w:t xml:space="preserve"> </w:t>
      </w:r>
      <w:r w:rsidR="000A1286" w:rsidRPr="00742A04">
        <w:t>la Suprema Corte</w:t>
      </w:r>
      <w:r w:rsidR="00545D1B" w:rsidRPr="00742A04">
        <w:t xml:space="preserve"> </w:t>
      </w:r>
      <w:r w:rsidR="000A1286" w:rsidRPr="00742A04">
        <w:t xml:space="preserve">tanto </w:t>
      </w:r>
      <w:r w:rsidR="001167D2" w:rsidRPr="00742A04">
        <w:t>por</w:t>
      </w:r>
      <w:r w:rsidR="00545D1B" w:rsidRPr="00742A04">
        <w:t xml:space="preserve"> </w:t>
      </w:r>
      <w:r w:rsidR="000A1286" w:rsidRPr="00742A04">
        <w:t>las personas condenadas</w:t>
      </w:r>
      <w:r w:rsidR="00545D1B" w:rsidRPr="00742A04">
        <w:t xml:space="preserve"> </w:t>
      </w:r>
      <w:r w:rsidR="000A1286" w:rsidRPr="00742A04">
        <w:t>como por el fiscal</w:t>
      </w:r>
      <w:r w:rsidR="00545D1B" w:rsidRPr="00742A04">
        <w:t xml:space="preserve">. </w:t>
      </w:r>
      <w:r w:rsidR="000A1286" w:rsidRPr="00742A04">
        <w:t>La Suprema Corte</w:t>
      </w:r>
      <w:r w:rsidR="00545D1B" w:rsidRPr="00742A04">
        <w:t xml:space="preserve"> </w:t>
      </w:r>
      <w:r w:rsidR="000A1286" w:rsidRPr="00742A04">
        <w:t>confirmó las penas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5364F" w:rsidRPr="00742A04">
        <w:t>cinco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>, respectiv</w:t>
      </w:r>
      <w:r w:rsidR="000A1286" w:rsidRPr="00742A04">
        <w:t>a</w:t>
      </w:r>
      <w:r w:rsidR="000A1286" w:rsidRPr="00742A04">
        <w:t>mente</w:t>
      </w:r>
      <w:r w:rsidR="00545D1B" w:rsidRPr="00742A04">
        <w:t>.</w:t>
      </w:r>
    </w:p>
    <w:p w:rsidR="00545D1B" w:rsidRPr="00742A04" w:rsidRDefault="00B41B9E" w:rsidP="00D42876">
      <w:pPr>
        <w:pStyle w:val="SingleTxt"/>
        <w:ind w:firstLine="475"/>
      </w:pPr>
      <w:r w:rsidRPr="00742A04">
        <w:t>Antes de la entrada en vigor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esta</w:t>
      </w:r>
      <w:r w:rsidR="00545D1B" w:rsidRPr="00742A04">
        <w:t xml:space="preserve"> </w:t>
      </w:r>
      <w:r w:rsidR="008F7F9D" w:rsidRPr="00742A04">
        <w:t>disposición penal</w:t>
      </w:r>
      <w:r w:rsidR="00545D1B" w:rsidRPr="00742A04">
        <w:t xml:space="preserve">, </w:t>
      </w:r>
      <w:r w:rsidRPr="00742A04">
        <w:t>se aplicaban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 xml:space="preserve">los </w:t>
      </w:r>
      <w:r w:rsidR="008A2682" w:rsidRPr="00742A04">
        <w:t>casos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01B8C" w:rsidRPr="00742A04">
        <w:t xml:space="preserve">esta </w:t>
      </w:r>
      <w:r w:rsidR="00615664" w:rsidRPr="00742A04">
        <w:t>naturaleza</w:t>
      </w:r>
      <w:r w:rsidRPr="00742A04">
        <w:t xml:space="preserve"> otras disposiciones penales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831F07" w:rsidRPr="00742A04">
        <w:t xml:space="preserve">el artículo </w:t>
      </w:r>
      <w:r w:rsidR="00545D1B" w:rsidRPr="00742A04">
        <w:t xml:space="preserve">202 </w:t>
      </w:r>
      <w:r w:rsidRPr="00742A04">
        <w:t xml:space="preserve">del Código Penal </w:t>
      </w:r>
      <w:r w:rsidR="00545D1B" w:rsidRPr="00742A04">
        <w:t>(</w:t>
      </w:r>
      <w:r w:rsidR="00072AD7" w:rsidRPr="00742A04">
        <w:t>relativ</w:t>
      </w:r>
      <w:r w:rsidRPr="00742A04">
        <w:t>o al</w:t>
      </w:r>
      <w:r w:rsidR="00545D1B" w:rsidRPr="00742A04">
        <w:t xml:space="preserve"> </w:t>
      </w:r>
      <w:r w:rsidRPr="00742A04">
        <w:t>proxenetismo</w:t>
      </w:r>
      <w:r w:rsidR="00545D1B" w:rsidRPr="00742A04">
        <w:t xml:space="preserve">). </w:t>
      </w:r>
      <w:r w:rsidR="000A5430" w:rsidRPr="00742A04">
        <w:t>Por ejemplo</w:t>
      </w:r>
      <w:r w:rsidR="00545D1B" w:rsidRPr="00742A04">
        <w:t xml:space="preserve">, </w:t>
      </w:r>
      <w:r w:rsidRPr="00742A04">
        <w:t xml:space="preserve">puede hacerse </w:t>
      </w:r>
      <w:r w:rsidR="00545D1B" w:rsidRPr="00742A04">
        <w:t>refer</w:t>
      </w:r>
      <w:r w:rsidR="00FF575F" w:rsidRPr="00742A04">
        <w:t>encia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8F7F9D" w:rsidRPr="00742A04">
        <w:t>sente</w:t>
      </w:r>
      <w:r w:rsidR="008F7F9D" w:rsidRPr="00742A04">
        <w:t>n</w:t>
      </w:r>
      <w:r w:rsidR="008F7F9D" w:rsidRPr="00742A04">
        <w:t>cia</w:t>
      </w:r>
      <w:r w:rsidR="00545D1B" w:rsidRPr="00742A04">
        <w:t xml:space="preserve"> </w:t>
      </w:r>
      <w:r w:rsidRPr="00742A04">
        <w:t>que figura en la página</w:t>
      </w:r>
      <w:r w:rsidR="00545D1B" w:rsidRPr="00742A04">
        <w:t xml:space="preserve"> 331 </w:t>
      </w:r>
      <w:r w:rsidR="004A0730" w:rsidRPr="00742A04">
        <w:t>de</w:t>
      </w:r>
      <w:r w:rsidR="00545D1B" w:rsidRPr="00742A04">
        <w:t xml:space="preserve"> </w:t>
      </w:r>
      <w:r w:rsidR="006C4252" w:rsidRPr="00742A04">
        <w:t>los</w:t>
      </w:r>
      <w:r w:rsidR="00BD47D3" w:rsidRPr="00742A04">
        <w:t xml:space="preserve"> </w:t>
      </w:r>
      <w:r w:rsidR="006C4252" w:rsidRPr="00742A04">
        <w:t>Informes de la Suprema Corte de Noruega</w:t>
      </w:r>
      <w:r w:rsidR="00545D1B" w:rsidRPr="00742A04">
        <w:t xml:space="preserve"> </w:t>
      </w:r>
      <w:r w:rsidR="00F43124" w:rsidRPr="00742A04">
        <w:t>p</w:t>
      </w:r>
      <w:r w:rsidR="00F43124" w:rsidRPr="00742A04">
        <w:t>a</w:t>
      </w:r>
      <w:r w:rsidR="00F43124" w:rsidRPr="00742A04">
        <w:t>ra</w:t>
      </w:r>
      <w:r w:rsidR="00545D1B" w:rsidRPr="00742A04">
        <w:t xml:space="preserve"> 2004 (</w:t>
      </w:r>
      <w:r w:rsidR="00E575DB" w:rsidRPr="00742A04">
        <w:t>que</w:t>
      </w:r>
      <w:r w:rsidR="00545D1B" w:rsidRPr="00742A04">
        <w:t xml:space="preserve"> </w:t>
      </w:r>
      <w:r w:rsidR="006C4252" w:rsidRPr="00742A04">
        <w:t>contiene resúmenes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C4252" w:rsidRPr="00742A04">
        <w:t>las sentencias de la Suprema Corte</w:t>
      </w:r>
      <w:r w:rsidR="00545D1B" w:rsidRPr="00742A04">
        <w:t xml:space="preserve">), </w:t>
      </w:r>
      <w:r w:rsidR="006C4252" w:rsidRPr="00742A04">
        <w:t xml:space="preserve">en la </w:t>
      </w:r>
      <w:r w:rsidR="00E575DB" w:rsidRPr="00742A04">
        <w:t>que</w:t>
      </w:r>
      <w:r w:rsidR="00545D1B" w:rsidRPr="00742A04">
        <w:t xml:space="preserve"> </w:t>
      </w:r>
      <w:r w:rsidR="006C4252" w:rsidRPr="00742A04">
        <w:t>cual se determinó que</w:t>
      </w:r>
      <w:r w:rsidR="00545D1B" w:rsidRPr="00742A04">
        <w:t xml:space="preserve"> </w:t>
      </w:r>
      <w:r w:rsidR="001139B2" w:rsidRPr="00742A04">
        <w:t xml:space="preserve">eran punibles </w:t>
      </w:r>
      <w:r w:rsidR="00B82A08" w:rsidRPr="00742A04">
        <w:t>las 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1139B2" w:rsidRPr="00742A04">
        <w:t>administraban un camping</w:t>
      </w:r>
      <w:r w:rsidR="00545D1B" w:rsidRPr="00742A04">
        <w:t xml:space="preserve"> </w:t>
      </w:r>
      <w:r w:rsidR="00056EF1" w:rsidRPr="00742A04">
        <w:t xml:space="preserve">en </w:t>
      </w:r>
      <w:r w:rsidR="001139B2" w:rsidRPr="00742A04">
        <w:t xml:space="preserve">el </w:t>
      </w:r>
      <w:r w:rsidR="00056EF1" w:rsidRPr="00742A04">
        <w:t>que</w:t>
      </w:r>
      <w:r w:rsidR="00545D1B" w:rsidRPr="00742A04">
        <w:t xml:space="preserve"> </w:t>
      </w:r>
      <w:r w:rsidR="001139B2" w:rsidRPr="00742A04">
        <w:t xml:space="preserve">había mucha </w:t>
      </w:r>
      <w:r w:rsidR="00545D1B" w:rsidRPr="00742A04">
        <w:t>activ</w:t>
      </w:r>
      <w:r w:rsidR="00502E16" w:rsidRPr="00742A04">
        <w:t>idad</w:t>
      </w:r>
      <w:r w:rsidR="001139B2" w:rsidRPr="00742A04">
        <w:t xml:space="preserve"> de prostitución</w:t>
      </w:r>
      <w:r w:rsidR="00545D1B" w:rsidRPr="00742A04">
        <w:t xml:space="preserve">. </w:t>
      </w:r>
      <w:r w:rsidR="001139B2" w:rsidRPr="00742A04">
        <w:t>T</w:t>
      </w:r>
      <w:r w:rsidR="0030626A" w:rsidRPr="00742A04">
        <w:t>ambién</w:t>
      </w:r>
      <w:r w:rsidR="001139B2" w:rsidRPr="00742A04">
        <w:t xml:space="preserve"> hay un</w:t>
      </w:r>
      <w:r w:rsidR="00545D1B" w:rsidRPr="00742A04">
        <w:t xml:space="preserve"> </w:t>
      </w:r>
      <w:r w:rsidR="00673B5D" w:rsidRPr="00742A04">
        <w:t>caso</w:t>
      </w:r>
      <w:r w:rsidR="00545D1B" w:rsidRPr="00742A04">
        <w:t xml:space="preserve"> </w:t>
      </w:r>
      <w:r w:rsidR="001139B2" w:rsidRPr="00742A04">
        <w:t xml:space="preserve">pertinente </w:t>
      </w:r>
      <w:r w:rsidR="008F0C8E" w:rsidRPr="00742A04">
        <w:t>de</w:t>
      </w:r>
      <w:r w:rsidR="001139B2" w:rsidRPr="00742A04">
        <w:t>l</w:t>
      </w:r>
      <w:r w:rsidR="00545D1B" w:rsidRPr="00742A04">
        <w:t xml:space="preserve"> </w:t>
      </w:r>
      <w:r w:rsidR="001139B2" w:rsidRPr="00742A04">
        <w:t>Tribunal de Distrito</w:t>
      </w:r>
      <w:r w:rsidR="00545D1B" w:rsidRPr="00742A04">
        <w:t xml:space="preserve"> </w:t>
      </w:r>
      <w:r w:rsidR="001139B2" w:rsidRPr="00742A04">
        <w:t xml:space="preserve">de Oslo </w:t>
      </w:r>
      <w:r w:rsidR="004A0730" w:rsidRPr="00742A04">
        <w:t>de</w:t>
      </w:r>
      <w:r w:rsidR="00545D1B" w:rsidRPr="00742A04">
        <w:t xml:space="preserve"> 15 </w:t>
      </w:r>
      <w:r w:rsidR="00A5364F" w:rsidRPr="00742A04">
        <w:t>febrero de</w:t>
      </w:r>
      <w:r w:rsidR="00545D1B" w:rsidRPr="00742A04">
        <w:t xml:space="preserve"> 2005, </w:t>
      </w:r>
      <w:r w:rsidR="00C14BFF" w:rsidRPr="00742A04">
        <w:t>en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1139B2" w:rsidRPr="00742A04">
        <w:t xml:space="preserve">se aplicó </w:t>
      </w:r>
      <w:r w:rsidR="002E2883" w:rsidRPr="00742A04">
        <w:t xml:space="preserve">el anterior </w:t>
      </w:r>
      <w:r w:rsidR="00831F07" w:rsidRPr="00742A04">
        <w:t>art</w:t>
      </w:r>
      <w:r w:rsidR="00831F07" w:rsidRPr="00742A04">
        <w:t>í</w:t>
      </w:r>
      <w:r w:rsidR="00831F07" w:rsidRPr="00742A04">
        <w:t xml:space="preserve">culo </w:t>
      </w:r>
      <w:r w:rsidR="00545D1B" w:rsidRPr="00742A04">
        <w:t xml:space="preserve">224 </w:t>
      </w:r>
      <w:r w:rsidR="008A38B9" w:rsidRPr="00742A04">
        <w:t>del Código Penal</w:t>
      </w:r>
      <w:r w:rsidR="00545D1B" w:rsidRPr="00742A04">
        <w:t xml:space="preserve">. </w:t>
      </w:r>
      <w:r w:rsidR="00EF5B12" w:rsidRPr="00742A04">
        <w:t>La disposición se aplicaba a toda persona que mediante fuerza, amenazas u otra conducta incorrecta colocase a otra persona completamente bajo su propio poder o el de otra persona con la intención de transpor</w:t>
      </w:r>
      <w:r w:rsidR="00EF5B12">
        <w:t>tar</w:t>
      </w:r>
      <w:r w:rsidR="00EF5B12" w:rsidRPr="00742A04">
        <w:t xml:space="preserve">la a un país extranjero para fines indecentes. </w:t>
      </w:r>
      <w:r w:rsidR="008F7F9D" w:rsidRPr="00742A04">
        <w:t>La sentencia</w:t>
      </w:r>
      <w:r w:rsidR="00545D1B" w:rsidRPr="00742A04">
        <w:t xml:space="preserve"> </w:t>
      </w:r>
      <w:r w:rsidR="001139B2" w:rsidRPr="00742A04">
        <w:t>fue apelada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1139B2" w:rsidRPr="00742A04">
        <w:t>recientemente el Trib</w:t>
      </w:r>
      <w:r w:rsidR="001139B2" w:rsidRPr="00742A04">
        <w:t>u</w:t>
      </w:r>
      <w:r w:rsidR="001139B2" w:rsidRPr="00742A04">
        <w:t xml:space="preserve">nal de Apelación de Borgarting dictó </w:t>
      </w:r>
      <w:r w:rsidR="008F7F9D" w:rsidRPr="00742A04">
        <w:t>una sentencia</w:t>
      </w:r>
      <w:r w:rsidR="00545D1B" w:rsidRPr="00742A04">
        <w:t xml:space="preserve"> (LB-2005-58617), </w:t>
      </w:r>
      <w:r w:rsidR="001139B2" w:rsidRPr="00742A04">
        <w:t>con arreglo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1139B2" w:rsidRPr="00742A04">
        <w:t>cual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139B2" w:rsidRPr="00742A04">
        <w:t>las personas acusadas</w:t>
      </w:r>
      <w:r w:rsidR="00545D1B" w:rsidRPr="00742A04">
        <w:t xml:space="preserve"> </w:t>
      </w:r>
      <w:r w:rsidR="001139B2" w:rsidRPr="00742A04">
        <w:t>fueron condenadas por</w:t>
      </w:r>
      <w:r w:rsidR="00545D1B" w:rsidRPr="00742A04">
        <w:t xml:space="preserve"> viola</w:t>
      </w:r>
      <w:r w:rsidR="001139B2" w:rsidRPr="00742A04">
        <w:t>r</w:t>
      </w:r>
      <w:r w:rsidR="00545D1B" w:rsidRPr="00742A04">
        <w:t xml:space="preserve"> </w:t>
      </w:r>
      <w:r w:rsidR="00831F07" w:rsidRPr="00742A04">
        <w:t xml:space="preserve">el artículo </w:t>
      </w:r>
      <w:r w:rsidR="00545D1B" w:rsidRPr="00742A04">
        <w:t>224. A</w:t>
      </w:r>
      <w:r w:rsidR="003850D0" w:rsidRPr="00742A04">
        <w:t xml:space="preserve">ctualmente </w:t>
      </w:r>
      <w:r w:rsidR="0030626A" w:rsidRPr="00742A04">
        <w:t>también</w:t>
      </w:r>
      <w:r w:rsidR="00545D1B" w:rsidRPr="00742A04">
        <w:t xml:space="preserve"> </w:t>
      </w:r>
      <w:r w:rsidR="003850D0" w:rsidRPr="00742A04">
        <w:t>se están</w:t>
      </w:r>
      <w:r w:rsidR="00545D1B" w:rsidRPr="00742A04">
        <w:t xml:space="preserve"> investiga</w:t>
      </w:r>
      <w:r w:rsidR="003850D0" w:rsidRPr="00742A04">
        <w:t>ndo varios</w:t>
      </w:r>
      <w:r w:rsidR="00D64A40">
        <w:t xml:space="preserve"> casos</w:t>
      </w:r>
      <w:r w:rsidR="003850D0" w:rsidRPr="00742A04">
        <w:t xml:space="preserve"> </w:t>
      </w:r>
      <w:r w:rsidR="00BD47D3" w:rsidRPr="00742A04">
        <w:t>en virtud</w:t>
      </w:r>
      <w:r w:rsidR="004F2F8A" w:rsidRPr="00742A04">
        <w:t xml:space="preserve"> del </w:t>
      </w:r>
      <w:r w:rsidR="00831F07" w:rsidRPr="00742A04">
        <w:t xml:space="preserve">artículo </w:t>
      </w:r>
      <w:r w:rsidR="00545D1B" w:rsidRPr="00742A04">
        <w:t xml:space="preserve">224 </w:t>
      </w:r>
      <w:r w:rsidR="008A38B9" w:rsidRPr="00742A04">
        <w:t>del Código Penal</w:t>
      </w:r>
      <w:r w:rsidR="00545D1B" w:rsidRPr="00742A04">
        <w:t>.</w:t>
      </w:r>
    </w:p>
    <w:p w:rsidR="00545D1B" w:rsidRPr="00742A04" w:rsidRDefault="006B65CD" w:rsidP="002C4922">
      <w:pPr>
        <w:pStyle w:val="SingleTxt"/>
        <w:rPr>
          <w:i/>
        </w:rPr>
      </w:pPr>
      <w:r w:rsidRPr="00742A04">
        <w:rPr>
          <w:i/>
        </w:rPr>
        <w:t>Desarrollo</w:t>
      </w:r>
      <w:r w:rsidR="002E5047" w:rsidRPr="00742A04">
        <w:rPr>
          <w:i/>
        </w:rPr>
        <w:t xml:space="preserve"> </w:t>
      </w:r>
      <w:r w:rsidR="00286CD9" w:rsidRPr="00742A04">
        <w:rPr>
          <w:i/>
        </w:rPr>
        <w:t>y aplic</w:t>
      </w:r>
      <w:r w:rsidR="004F2F8A" w:rsidRPr="00742A04">
        <w:rPr>
          <w:i/>
        </w:rPr>
        <w:t>ación</w:t>
      </w:r>
      <w:r w:rsidR="00C14BFF" w:rsidRPr="00742A04">
        <w:rPr>
          <w:i/>
        </w:rPr>
        <w:t xml:space="preserve"> </w:t>
      </w:r>
      <w:r w:rsidR="004A0730" w:rsidRPr="00742A04">
        <w:rPr>
          <w:i/>
        </w:rPr>
        <w:t>de</w:t>
      </w:r>
      <w:r w:rsidR="00545D1B" w:rsidRPr="00742A04">
        <w:rPr>
          <w:i/>
        </w:rPr>
        <w:t xml:space="preserve"> </w:t>
      </w:r>
      <w:r w:rsidR="00286CD9" w:rsidRPr="00742A04">
        <w:rPr>
          <w:i/>
        </w:rPr>
        <w:t>normas internacionales</w:t>
      </w:r>
    </w:p>
    <w:p w:rsidR="00545D1B" w:rsidRPr="00742A04" w:rsidRDefault="00EA26AB" w:rsidP="00D42876">
      <w:pPr>
        <w:pStyle w:val="SingleTxt"/>
        <w:ind w:firstLine="475"/>
      </w:pPr>
      <w:r w:rsidRPr="00742A04">
        <w:t>Noruega</w:t>
      </w:r>
      <w:r w:rsidR="00545D1B" w:rsidRPr="00742A04">
        <w:t xml:space="preserve"> </w:t>
      </w:r>
      <w:r w:rsidR="00286CD9" w:rsidRPr="00742A04">
        <w:t>ratificó</w:t>
      </w:r>
      <w:r w:rsidR="00545D1B" w:rsidRPr="00742A04">
        <w:t xml:space="preserve"> </w:t>
      </w:r>
      <w:r w:rsidR="007D66F2" w:rsidRPr="00742A04">
        <w:t>la Convención de las Naciones Unidas</w:t>
      </w:r>
      <w:r w:rsidR="00C14BFF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8A38B9" w:rsidRPr="00742A04">
        <w:t>la Deli</w:t>
      </w:r>
      <w:r w:rsidR="008A38B9" w:rsidRPr="00742A04">
        <w:t>n</w:t>
      </w:r>
      <w:r w:rsidR="008A38B9" w:rsidRPr="00742A04">
        <w:t>cuencia Organizada Transnacional</w:t>
      </w:r>
      <w:r w:rsidR="00545D1B" w:rsidRPr="00742A04">
        <w:t xml:space="preserve"> </w:t>
      </w:r>
      <w:r w:rsidR="00BB4DB1" w:rsidRPr="00742A04">
        <w:t xml:space="preserve">y el </w:t>
      </w:r>
      <w:r w:rsidR="008A38B9" w:rsidRPr="00742A04">
        <w:t>Protocolo adicional</w:t>
      </w:r>
      <w:r w:rsidR="00545D1B" w:rsidRPr="00742A04">
        <w:t xml:space="preserve"> </w:t>
      </w:r>
      <w:r w:rsidR="008A38B9" w:rsidRPr="00742A04">
        <w:t>para prevenir, reprimir y sanci</w:t>
      </w:r>
      <w:r w:rsidR="008A38B9" w:rsidRPr="00742A04">
        <w:t>o</w:t>
      </w:r>
      <w:r w:rsidR="008A38B9" w:rsidRPr="00742A04">
        <w:t>nar la trata de personas, especialmente mujeres y niños</w:t>
      </w:r>
      <w:r w:rsidR="00545D1B" w:rsidRPr="00742A04">
        <w:t xml:space="preserve">, </w:t>
      </w:r>
      <w:r w:rsidR="0030626A" w:rsidRPr="00742A04">
        <w:t>también</w:t>
      </w:r>
      <w:r w:rsidR="00545D1B" w:rsidRPr="00742A04">
        <w:t xml:space="preserve"> </w:t>
      </w:r>
      <w:r w:rsidR="008A38B9" w:rsidRPr="00742A04">
        <w:t>denominado Prot</w:t>
      </w:r>
      <w:r w:rsidR="008A38B9" w:rsidRPr="00742A04">
        <w:t>o</w:t>
      </w:r>
      <w:r w:rsidR="008A38B9" w:rsidRPr="00742A04">
        <w:t>colo de Palermo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CD2FF0" w:rsidRPr="00742A04">
        <w:t>mayo de</w:t>
      </w:r>
      <w:r w:rsidR="00545D1B" w:rsidRPr="00742A04">
        <w:t xml:space="preserve"> 2005, </w:t>
      </w:r>
      <w:r w:rsidRPr="00742A04">
        <w:t>Noruega</w:t>
      </w:r>
      <w:r w:rsidR="00545D1B" w:rsidRPr="00742A04">
        <w:t xml:space="preserve"> </w:t>
      </w:r>
      <w:r w:rsidR="008A38B9" w:rsidRPr="00742A04">
        <w:t xml:space="preserve">firmó </w:t>
      </w:r>
      <w:r w:rsidR="00B44A60" w:rsidRPr="00742A04">
        <w:t>el</w:t>
      </w:r>
      <w:r w:rsidR="00545D1B" w:rsidRPr="00742A04">
        <w:t xml:space="preserve"> Conven</w:t>
      </w:r>
      <w:r w:rsidR="00B44A60" w:rsidRPr="00742A04">
        <w:t>io</w:t>
      </w:r>
      <w:r w:rsidR="00C14BFF" w:rsidRPr="00742A04">
        <w:t xml:space="preserve"> </w:t>
      </w:r>
      <w:r w:rsidR="00B44A60" w:rsidRPr="00742A04">
        <w:t>del Consejo de E</w:t>
      </w:r>
      <w:r w:rsidR="00B44A60" w:rsidRPr="00742A04">
        <w:t>u</w:t>
      </w:r>
      <w:r w:rsidR="00B44A60" w:rsidRPr="00742A04">
        <w:t>ropa para la</w:t>
      </w:r>
      <w:r w:rsidR="00545D1B" w:rsidRPr="00742A04">
        <w:t xml:space="preserve"> Ac</w:t>
      </w:r>
      <w:r w:rsidR="00C14BFF" w:rsidRPr="00742A04">
        <w:t xml:space="preserve">ción </w:t>
      </w:r>
      <w:r w:rsidR="00F650FB" w:rsidRPr="00742A04">
        <w:t>contra</w:t>
      </w:r>
      <w:r w:rsidR="00545D1B" w:rsidRPr="00742A04">
        <w:t xml:space="preserve"> </w:t>
      </w:r>
      <w:r w:rsidR="00286CD9" w:rsidRPr="00742A04">
        <w:t>la T</w:t>
      </w:r>
      <w:r w:rsidR="00B44A60" w:rsidRPr="00742A04">
        <w:t>ra</w:t>
      </w:r>
      <w:r w:rsidR="00286CD9" w:rsidRPr="00742A04">
        <w:t>ta de Seres H</w:t>
      </w:r>
      <w:r w:rsidR="00B44A60" w:rsidRPr="00742A04">
        <w:t>umanos</w:t>
      </w:r>
      <w:r w:rsidR="00545D1B" w:rsidRPr="00742A04">
        <w:t>,</w:t>
      </w:r>
      <w:r w:rsidR="002E5047" w:rsidRPr="00742A04">
        <w:t xml:space="preserve"> </w:t>
      </w:r>
      <w:r w:rsidR="00286CD9" w:rsidRPr="00742A04">
        <w:t>y</w:t>
      </w:r>
      <w:r w:rsidR="00545D1B" w:rsidRPr="00742A04">
        <w:t xml:space="preserve"> </w:t>
      </w:r>
      <w:r w:rsidR="00E06311" w:rsidRPr="00742A04">
        <w:t>ahora</w:t>
      </w:r>
      <w:r w:rsidR="00545D1B" w:rsidRPr="00742A04">
        <w:t xml:space="preserve"> </w:t>
      </w:r>
      <w:r w:rsidR="00286CD9" w:rsidRPr="00742A04">
        <w:t>está en vías de</w:t>
      </w:r>
      <w:r w:rsidR="00545D1B" w:rsidRPr="00742A04">
        <w:t xml:space="preserve"> </w:t>
      </w:r>
      <w:r w:rsidR="00286CD9" w:rsidRPr="00742A04">
        <w:t>ratif</w:t>
      </w:r>
      <w:r w:rsidR="00286CD9" w:rsidRPr="00742A04">
        <w:t>i</w:t>
      </w:r>
      <w:r w:rsidR="00286CD9" w:rsidRPr="00742A04">
        <w:t>car</w:t>
      </w:r>
      <w:r w:rsidR="007D66F2" w:rsidRPr="00742A04">
        <w:t>l</w:t>
      </w:r>
      <w:r w:rsidR="00286CD9" w:rsidRPr="00742A04">
        <w:t>o</w:t>
      </w:r>
      <w:r w:rsidR="00C27C42" w:rsidRPr="00742A04">
        <w:t>.</w:t>
      </w:r>
    </w:p>
    <w:p w:rsidR="00545D1B" w:rsidRPr="00742A04" w:rsidRDefault="00D42876" w:rsidP="00D42876">
      <w:pPr>
        <w:pStyle w:val="SingleTxt"/>
        <w:ind w:firstLine="475"/>
      </w:pPr>
      <w:r w:rsidRPr="00742A04">
        <w:t>Las autoridades de Noruega</w:t>
      </w:r>
      <w:r w:rsidR="00545D1B" w:rsidRPr="00742A04">
        <w:t xml:space="preserve"> </w:t>
      </w:r>
      <w:r w:rsidR="00921761" w:rsidRPr="00742A04">
        <w:t>impulsan</w:t>
      </w:r>
      <w:r w:rsidR="00C076F2" w:rsidRPr="00742A04">
        <w:t xml:space="preserve"> los </w:t>
      </w:r>
      <w:r w:rsidR="00935A90" w:rsidRPr="00742A04">
        <w:t xml:space="preserve">esfuerzos </w:t>
      </w:r>
      <w:r w:rsidR="00921761" w:rsidRPr="00742A04">
        <w:t xml:space="preserve">de </w:t>
      </w:r>
      <w:r w:rsidR="00B31D97" w:rsidRPr="00742A04">
        <w:t>fortalec</w:t>
      </w:r>
      <w:r w:rsidR="00921761" w:rsidRPr="00742A04">
        <w:t>imiento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coo</w:t>
      </w:r>
      <w:r w:rsidR="00545D1B" w:rsidRPr="00742A04">
        <w:t>r</w:t>
      </w:r>
      <w:r w:rsidR="00545D1B" w:rsidRPr="00742A04">
        <w:t>dina</w:t>
      </w:r>
      <w:r w:rsidR="00921761" w:rsidRPr="00742A04">
        <w:t>ción de</w:t>
      </w:r>
      <w:r w:rsidR="00545D1B" w:rsidRPr="00742A04">
        <w:t xml:space="preserve"> </w:t>
      </w:r>
      <w:r w:rsidR="00921761" w:rsidRPr="00742A04">
        <w:t xml:space="preserve">las </w:t>
      </w:r>
      <w:r w:rsidR="00286CD9" w:rsidRPr="00742A04">
        <w:t>normas internacionales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21761" w:rsidRPr="00742A04">
        <w:t>de</w:t>
      </w:r>
      <w:r w:rsidR="007C341F" w:rsidRPr="00742A04">
        <w:t xml:space="preserve"> lucha contra</w:t>
      </w:r>
      <w:r w:rsidR="00ED4DF1" w:rsidRPr="00742A04">
        <w:t xml:space="preserve"> la </w:t>
      </w:r>
      <w:r w:rsidR="00D515FC" w:rsidRPr="00742A04">
        <w:t>trata de seres humanos</w:t>
      </w:r>
      <w:r w:rsidR="00545D1B" w:rsidRPr="00742A04">
        <w:t xml:space="preserve">, </w:t>
      </w:r>
      <w:r w:rsidR="00921761" w:rsidRPr="00742A04">
        <w:t>en el marco</w:t>
      </w:r>
      <w:r w:rsidR="00545D1B" w:rsidRPr="00742A04">
        <w:t xml:space="preserve"> </w:t>
      </w:r>
      <w:r w:rsidR="004A0730" w:rsidRPr="00742A04">
        <w:t>de</w:t>
      </w:r>
      <w:r w:rsidR="00D64A40">
        <w:t xml:space="preserve"> la</w:t>
      </w:r>
      <w:r w:rsidR="00545D1B" w:rsidRPr="00742A04">
        <w:t xml:space="preserve"> </w:t>
      </w:r>
      <w:r w:rsidR="00D64A40" w:rsidRPr="00742A04">
        <w:t xml:space="preserve">cooperación </w:t>
      </w:r>
      <w:r w:rsidR="00921761" w:rsidRPr="00742A04">
        <w:t>nórdica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21761" w:rsidRPr="00742A04">
        <w:t>nórdico-bá</w:t>
      </w:r>
      <w:r w:rsidR="00545D1B" w:rsidRPr="00742A04">
        <w:t>ltic</w:t>
      </w:r>
      <w:r w:rsidR="00921761" w:rsidRPr="00742A04">
        <w:t>a</w:t>
      </w:r>
      <w:r w:rsidR="00935A90" w:rsidRPr="00742A04">
        <w:t>,</w:t>
      </w:r>
      <w:r w:rsidR="00A93B9E" w:rsidRPr="00742A04">
        <w:t xml:space="preserve"> la </w:t>
      </w:r>
      <w:r w:rsidR="00D515FC" w:rsidRPr="00742A04">
        <w:t>Organización del Tratado del Atlántico Norte (OTA</w:t>
      </w:r>
      <w:r w:rsidR="00545D1B" w:rsidRPr="00742A04">
        <w:t>N</w:t>
      </w:r>
      <w:r w:rsidR="00D515FC" w:rsidRPr="00742A04">
        <w:t>)</w:t>
      </w:r>
      <w:r w:rsidR="00545D1B" w:rsidRPr="00742A04">
        <w:t xml:space="preserve">, </w:t>
      </w:r>
      <w:r w:rsidR="00D515FC" w:rsidRPr="00742A04">
        <w:t>las Naciones Unidas</w:t>
      </w:r>
      <w:r w:rsidR="00A93B9E" w:rsidRPr="00742A04">
        <w:t xml:space="preserve">, la </w:t>
      </w:r>
      <w:r w:rsidR="00D515FC" w:rsidRPr="00742A04">
        <w:t>Organización para la Segur</w:t>
      </w:r>
      <w:r w:rsidR="00D515FC" w:rsidRPr="00742A04">
        <w:t>i</w:t>
      </w:r>
      <w:r w:rsidR="00D515FC" w:rsidRPr="00742A04">
        <w:t>dad y la Cooperación en Europa</w:t>
      </w:r>
      <w:r w:rsidR="00545D1B" w:rsidRPr="00742A04">
        <w:t xml:space="preserve"> </w:t>
      </w:r>
      <w:r w:rsidR="00D515FC" w:rsidRPr="00742A04">
        <w:t>(</w:t>
      </w:r>
      <w:r w:rsidR="00545D1B" w:rsidRPr="00742A04">
        <w:t>OSCE</w:t>
      </w:r>
      <w:r w:rsidR="00D515FC" w:rsidRPr="00742A04">
        <w:t>)</w:t>
      </w:r>
      <w:r w:rsidR="00545D1B" w:rsidRPr="00742A04">
        <w:t xml:space="preserve">, </w:t>
      </w:r>
      <w:r w:rsidR="00D515FC" w:rsidRPr="00742A04">
        <w:t>el Consejo de Europa</w:t>
      </w:r>
      <w:r w:rsidR="00545D1B" w:rsidRPr="00742A04">
        <w:t xml:space="preserve">, </w:t>
      </w:r>
      <w:r w:rsidR="00D515FC" w:rsidRPr="00742A04">
        <w:t>el Consejo de</w:t>
      </w:r>
      <w:r w:rsidR="00545D1B" w:rsidRPr="00742A04">
        <w:t xml:space="preserve"> B</w:t>
      </w:r>
      <w:r w:rsidR="00545D1B" w:rsidRPr="00742A04">
        <w:t>a</w:t>
      </w:r>
      <w:r w:rsidR="00545D1B" w:rsidRPr="00742A04">
        <w:t xml:space="preserve">rents </w:t>
      </w:r>
      <w:r w:rsidR="00BB4DB1" w:rsidRPr="00742A04">
        <w:t xml:space="preserve">y el </w:t>
      </w:r>
      <w:r w:rsidR="00D515FC" w:rsidRPr="00742A04">
        <w:t>Consejo de Estados del Mar Báltico</w:t>
      </w:r>
      <w:r w:rsidR="00545D1B" w:rsidRPr="00742A04">
        <w:t xml:space="preserve">. </w:t>
      </w:r>
      <w:r w:rsidR="00921761" w:rsidRPr="00742A04">
        <w:t>Mediante</w:t>
      </w:r>
      <w:r w:rsidR="00545D1B" w:rsidRPr="00742A04">
        <w:t xml:space="preserve"> </w:t>
      </w:r>
      <w:r w:rsidR="00921761" w:rsidRPr="00742A04">
        <w:t>el apoyo a proyectos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21761" w:rsidRPr="00742A04">
        <w:t xml:space="preserve">la transferencia </w:t>
      </w:r>
      <w:r w:rsidR="004A0730" w:rsidRPr="00742A04">
        <w:t>de</w:t>
      </w:r>
      <w:r w:rsidR="00545D1B" w:rsidRPr="00742A04">
        <w:t xml:space="preserve"> </w:t>
      </w:r>
      <w:r w:rsidR="00242371" w:rsidRPr="00742A04">
        <w:t>c</w:t>
      </w:r>
      <w:r w:rsidR="00921761" w:rsidRPr="00742A04">
        <w:t>onocimiento</w:t>
      </w:r>
      <w:r w:rsidR="00242371" w:rsidRPr="00742A04">
        <w:t>s</w:t>
      </w:r>
      <w:r w:rsidR="00545D1B" w:rsidRPr="00742A04">
        <w:t xml:space="preserve">, </w:t>
      </w:r>
      <w:r w:rsidR="00EA26AB" w:rsidRPr="00742A04">
        <w:t>Noruega</w:t>
      </w:r>
      <w:r w:rsidR="00545D1B" w:rsidRPr="00742A04">
        <w:t xml:space="preserve"> a</w:t>
      </w:r>
      <w:r w:rsidR="00921761" w:rsidRPr="00742A04">
        <w:t>yuda a los</w:t>
      </w:r>
      <w:r w:rsidR="00545D1B" w:rsidRPr="00742A04">
        <w:t xml:space="preserve"> </w:t>
      </w:r>
      <w:r w:rsidR="006B65CD" w:rsidRPr="00742A04">
        <w:t>países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origen</w:t>
      </w:r>
      <w:r w:rsidR="00545D1B" w:rsidRPr="00742A04">
        <w:t xml:space="preserve"> </w:t>
      </w:r>
      <w:r w:rsidR="00921761" w:rsidRPr="00742A04">
        <w:t>a aplicar</w:t>
      </w:r>
      <w:r w:rsidR="00545D1B" w:rsidRPr="00742A04">
        <w:t xml:space="preserve"> </w:t>
      </w:r>
      <w:r w:rsidR="003A355B" w:rsidRPr="00742A04">
        <w:t>las disposiciones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E1CFC" w:rsidRPr="00742A04">
        <w:t>recom</w:t>
      </w:r>
      <w:r w:rsidR="00545D1B" w:rsidRPr="00742A04">
        <w:t>enda</w:t>
      </w:r>
      <w:r w:rsidR="008907B8" w:rsidRPr="00742A04">
        <w:t>ciones</w:t>
      </w:r>
      <w:r w:rsidR="00545D1B" w:rsidRPr="00742A04">
        <w:t xml:space="preserve"> </w:t>
      </w:r>
      <w:r w:rsidR="00921761" w:rsidRPr="00742A04">
        <w:t>establecidas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167D2" w:rsidRPr="00742A04">
        <w:t>tratados internacionales</w:t>
      </w:r>
      <w:r w:rsidR="00545D1B" w:rsidRPr="00742A04">
        <w:t xml:space="preserve">. </w:t>
      </w:r>
      <w:r w:rsidR="00D515FC" w:rsidRPr="00742A04">
        <w:t>Las</w:t>
      </w:r>
      <w:r w:rsidRPr="00742A04">
        <w:t xml:space="preserve"> aut</w:t>
      </w:r>
      <w:r w:rsidRPr="00742A04">
        <w:t>o</w:t>
      </w:r>
      <w:r w:rsidRPr="00742A04">
        <w:t>ridades de Noruega</w:t>
      </w:r>
      <w:r w:rsidR="00545D1B" w:rsidRPr="00742A04">
        <w:t xml:space="preserve"> </w:t>
      </w:r>
      <w:r w:rsidR="00921761" w:rsidRPr="00742A04">
        <w:t>centran</w:t>
      </w:r>
      <w:r w:rsidR="00230F13" w:rsidRPr="00742A04">
        <w:t xml:space="preserve"> particular</w:t>
      </w:r>
      <w:r w:rsidR="00921761" w:rsidRPr="00742A04">
        <w:t>mente la atención e</w:t>
      </w:r>
      <w:r w:rsidR="00545D1B" w:rsidRPr="00742A04">
        <w:t>n</w:t>
      </w:r>
      <w:r w:rsidR="00921761" w:rsidRPr="00742A04">
        <w:t xml:space="preserve"> los</w:t>
      </w:r>
      <w:r w:rsidR="00545D1B" w:rsidRPr="00742A04">
        <w:t xml:space="preserve"> </w:t>
      </w:r>
      <w:r w:rsidR="00D515FC" w:rsidRPr="00742A04">
        <w:t>niños 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, </w:t>
      </w:r>
      <w:r w:rsidR="00232DF9" w:rsidRPr="00742A04">
        <w:t>entre otras cosas</w:t>
      </w:r>
      <w:r w:rsidR="00545D1B" w:rsidRPr="00742A04">
        <w:t xml:space="preserve"> </w:t>
      </w:r>
      <w:r w:rsidR="00921761" w:rsidRPr="00742A04">
        <w:t>mediante la</w:t>
      </w:r>
      <w:r w:rsidR="00545D1B" w:rsidRPr="00742A04">
        <w:t xml:space="preserve"> coopera</w:t>
      </w:r>
      <w:r w:rsidR="00C14BFF" w:rsidRPr="00742A04">
        <w:t xml:space="preserve">ción </w:t>
      </w:r>
      <w:r w:rsidR="00921761" w:rsidRPr="00742A04">
        <w:t>sobre las</w:t>
      </w:r>
      <w:r w:rsidR="00545D1B" w:rsidRPr="00742A04">
        <w:t xml:space="preserve"> </w:t>
      </w:r>
      <w:r w:rsidR="00552048" w:rsidRPr="00742A04">
        <w:t>política</w:t>
      </w:r>
      <w:r w:rsidR="00921761" w:rsidRPr="00742A04">
        <w:t>s de la infancia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515FC" w:rsidRPr="00742A04">
        <w:t>el Consejo de Estados del Mar Bált</w:t>
      </w:r>
      <w:r w:rsidR="00D515FC" w:rsidRPr="00742A04">
        <w:t>i</w:t>
      </w:r>
      <w:r w:rsidR="00D515FC" w:rsidRPr="00742A04">
        <w:t>co</w:t>
      </w:r>
      <w:r w:rsidR="00545D1B" w:rsidRPr="00742A04">
        <w:t>.</w:t>
      </w:r>
    </w:p>
    <w:p w:rsidR="00545D1B" w:rsidRPr="00742A04" w:rsidRDefault="004A0730" w:rsidP="00D42876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D515FC" w:rsidRPr="00742A04">
        <w:t>Defensa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15FC" w:rsidRPr="00742A04">
        <w:t>las Fuerzas de Defensa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general </w:t>
      </w:r>
      <w:r w:rsidR="00E32F2A" w:rsidRPr="00742A04">
        <w:t xml:space="preserve">participan </w:t>
      </w:r>
      <w:r w:rsidR="00EF5B12" w:rsidRPr="00742A04">
        <w:t>inte</w:t>
      </w:r>
      <w:r w:rsidR="00EF5B12" w:rsidRPr="00742A04">
        <w:t>n</w:t>
      </w:r>
      <w:r w:rsidR="00EF5B12" w:rsidRPr="00742A04">
        <w:t>samente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32F2A" w:rsidRPr="00742A04">
        <w:t>los esfuerzos en curso</w:t>
      </w:r>
      <w:r w:rsidR="00545D1B" w:rsidRPr="00742A04">
        <w:t xml:space="preserve"> </w:t>
      </w:r>
      <w:r w:rsidR="00E32F2A" w:rsidRPr="00742A04">
        <w:t>de</w:t>
      </w:r>
      <w:r w:rsidR="00545D1B" w:rsidRPr="00742A04">
        <w:t xml:space="preserve"> </w:t>
      </w:r>
      <w:r w:rsidR="00D515FC" w:rsidRPr="00742A04">
        <w:t>la OTAN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15FC" w:rsidRPr="00742A04">
        <w:t>las Naciones Unidas</w:t>
      </w:r>
      <w:r w:rsidR="00545D1B" w:rsidRPr="00742A04">
        <w:t xml:space="preserve"> </w:t>
      </w:r>
      <w:r w:rsidR="00E32F2A" w:rsidRPr="00742A04">
        <w:t>encaminados a evitar que</w:t>
      </w:r>
      <w:r w:rsidR="00545D1B" w:rsidRPr="00742A04">
        <w:t xml:space="preserve"> </w:t>
      </w:r>
      <w:r w:rsidR="00E32F2A" w:rsidRPr="00742A04">
        <w:t>el personal militar</w:t>
      </w:r>
      <w:r w:rsidR="00545D1B" w:rsidRPr="00742A04">
        <w:t xml:space="preserve"> particip</w:t>
      </w:r>
      <w:r w:rsidR="00E32F2A" w:rsidRPr="00742A04">
        <w:t>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opera</w:t>
      </w:r>
      <w:r w:rsidR="008907B8" w:rsidRPr="00742A04">
        <w:t>ciones</w:t>
      </w:r>
      <w:r w:rsidR="00545D1B" w:rsidRPr="00742A04">
        <w:t xml:space="preserve"> </w:t>
      </w:r>
      <w:r w:rsidR="00E32F2A" w:rsidRPr="00742A04">
        <w:t xml:space="preserve">internacionales </w:t>
      </w:r>
      <w:r w:rsidR="008F0C8E" w:rsidRPr="00742A04">
        <w:t>de</w:t>
      </w:r>
      <w:r w:rsidR="00545D1B" w:rsidRPr="00742A04">
        <w:t xml:space="preserve"> contrib</w:t>
      </w:r>
      <w:r w:rsidR="00545D1B" w:rsidRPr="00742A04">
        <w:t>u</w:t>
      </w:r>
      <w:r w:rsidR="00E32F2A" w:rsidRPr="00742A04">
        <w:t>ción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A05847" w:rsidRPr="00742A04">
        <w:t xml:space="preserve">trata </w:t>
      </w:r>
      <w:r w:rsidR="004D313C" w:rsidRPr="00742A04">
        <w:t>de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3238" w:rsidRPr="00742A04">
        <w:t>niños</w:t>
      </w:r>
      <w:r w:rsidR="00545D1B" w:rsidRPr="00742A04">
        <w:t xml:space="preserve">, </w:t>
      </w:r>
      <w:r w:rsidR="006137EC" w:rsidRPr="00742A04">
        <w:t xml:space="preserve">por </w:t>
      </w:r>
      <w:r w:rsidR="00040B78" w:rsidRPr="00742A04">
        <w:t>ejemplo</w:t>
      </w:r>
      <w:r w:rsidR="00545D1B" w:rsidRPr="00742A04">
        <w:t xml:space="preserve"> </w:t>
      </w:r>
      <w:r w:rsidR="00E32F2A" w:rsidRPr="00742A04">
        <w:t>comprando</w:t>
      </w:r>
      <w:r w:rsidR="00545D1B" w:rsidRPr="00742A04">
        <w:t xml:space="preserve"> </w:t>
      </w:r>
      <w:r w:rsidR="00E32F2A" w:rsidRPr="00742A04">
        <w:t>servicios sexuales</w:t>
      </w:r>
      <w:r w:rsidR="00545D1B" w:rsidRPr="00742A04">
        <w:t>.</w:t>
      </w:r>
      <w:r w:rsidR="001167D2" w:rsidRPr="00742A04">
        <w:t xml:space="preserve"> </w:t>
      </w:r>
      <w:r w:rsidR="00E32F2A" w:rsidRPr="00742A04">
        <w:t>A</w:t>
      </w:r>
      <w:r w:rsidR="00E32F2A" w:rsidRPr="00742A04">
        <w:t>c</w:t>
      </w:r>
      <w:r w:rsidR="00E32F2A" w:rsidRPr="00742A04">
        <w:t xml:space="preserve">tualmente </w:t>
      </w:r>
      <w:r w:rsidR="001167D2" w:rsidRPr="00742A04">
        <w:t xml:space="preserve">el </w:t>
      </w:r>
      <w:r w:rsidRPr="00742A04">
        <w:t>Ministerio</w:t>
      </w:r>
      <w:r w:rsidR="00545D1B" w:rsidRPr="00742A04">
        <w:t xml:space="preserve"> </w:t>
      </w:r>
      <w:r w:rsidR="00BB4DB1" w:rsidRPr="00742A04">
        <w:t>es</w:t>
      </w:r>
      <w:r w:rsidR="00E32F2A" w:rsidRPr="00742A04">
        <w:t xml:space="preserve">tá </w:t>
      </w:r>
      <w:r w:rsidR="00315AD4">
        <w:t>proyect</w:t>
      </w:r>
      <w:r w:rsidR="00E32F2A" w:rsidRPr="00742A04">
        <w:t>ando</w:t>
      </w:r>
      <w:r w:rsidR="00545D1B" w:rsidRPr="00742A04">
        <w:t xml:space="preserve"> </w:t>
      </w:r>
      <w:r w:rsidR="00CD2FF0" w:rsidRPr="00742A04">
        <w:t>enmiendas</w:t>
      </w:r>
      <w:r w:rsidR="00545D1B" w:rsidRPr="00742A04">
        <w:t xml:space="preserve"> legisla</w:t>
      </w:r>
      <w:r w:rsidR="00E32F2A" w:rsidRPr="00742A04">
        <w:t>tivas</w:t>
      </w:r>
      <w:r w:rsidR="00C14BFF" w:rsidRPr="00742A04">
        <w:t xml:space="preserve"> </w:t>
      </w:r>
      <w:r w:rsidR="00315AD4">
        <w:t>encaminadas a</w:t>
      </w:r>
      <w:r w:rsidR="00E32F2A" w:rsidRPr="00742A04">
        <w:t xml:space="preserve"> asig</w:t>
      </w:r>
      <w:r w:rsidR="00315AD4">
        <w:t>nar</w:t>
      </w:r>
      <w:r w:rsidR="00E32F2A" w:rsidRPr="00742A04">
        <w:t xml:space="preserve"> a</w:t>
      </w:r>
      <w:r w:rsidR="00545D1B" w:rsidRPr="00742A04">
        <w:t xml:space="preserve"> </w:t>
      </w:r>
      <w:r w:rsidR="00D515FC" w:rsidRPr="00742A04">
        <w:t>las Fuerzas de Defensa</w:t>
      </w:r>
      <w:r w:rsidR="00545D1B" w:rsidRPr="00742A04">
        <w:t xml:space="preserve"> </w:t>
      </w:r>
      <w:r w:rsidR="00E32F2A" w:rsidRPr="00742A04">
        <w:t>la</w:t>
      </w:r>
      <w:r w:rsidR="00545D1B" w:rsidRPr="00742A04">
        <w:t xml:space="preserve"> </w:t>
      </w:r>
      <w:r w:rsidR="00FC59C5" w:rsidRPr="00742A04">
        <w:t>competencia</w:t>
      </w:r>
      <w:r w:rsidR="00545D1B" w:rsidRPr="00742A04">
        <w:t xml:space="preserve"> </w:t>
      </w:r>
      <w:r w:rsidR="00E32F2A" w:rsidRPr="00742A04">
        <w:t>necesaria</w:t>
      </w:r>
      <w:r w:rsidR="00545D1B" w:rsidRPr="00742A04">
        <w:t xml:space="preserve"> </w:t>
      </w:r>
      <w:r w:rsidR="00E32F2A" w:rsidRPr="00742A04">
        <w:t>par</w:t>
      </w:r>
      <w:r w:rsidR="0030626A" w:rsidRPr="00742A04">
        <w:t>a</w:t>
      </w:r>
      <w:r w:rsidR="00545D1B" w:rsidRPr="00742A04">
        <w:t xml:space="preserve"> </w:t>
      </w:r>
      <w:r w:rsidR="00E32F2A" w:rsidRPr="00742A04">
        <w:t>tomar</w:t>
      </w:r>
      <w:r w:rsidR="00545D1B" w:rsidRPr="00742A04">
        <w:t xml:space="preserve"> </w:t>
      </w:r>
      <w:r w:rsidR="00E32F2A" w:rsidRPr="00742A04">
        <w:t>medidas di</w:t>
      </w:r>
      <w:r w:rsidR="00E32F2A" w:rsidRPr="00742A04">
        <w:t>s</w:t>
      </w:r>
      <w:r w:rsidR="00E32F2A" w:rsidRPr="00742A04">
        <w:t>ciplinarias</w:t>
      </w:r>
      <w:r w:rsidR="00C14BFF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E32F2A" w:rsidRPr="00742A04">
        <w:t>tales infractores</w:t>
      </w:r>
      <w:r w:rsidR="00545D1B" w:rsidRPr="00742A04">
        <w:t>.</w:t>
      </w:r>
    </w:p>
    <w:p w:rsidR="00545D1B" w:rsidRPr="00742A04" w:rsidRDefault="00E32F2A" w:rsidP="00A4446F">
      <w:pPr>
        <w:pStyle w:val="SingleTxt"/>
        <w:keepNext/>
        <w:rPr>
          <w:i/>
        </w:rPr>
      </w:pPr>
      <w:r w:rsidRPr="00742A04">
        <w:rPr>
          <w:i/>
        </w:rPr>
        <w:t>Cooperación policial b</w:t>
      </w:r>
      <w:r w:rsidR="00545D1B" w:rsidRPr="00742A04">
        <w:rPr>
          <w:i/>
        </w:rPr>
        <w:t xml:space="preserve">ilateral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multilateral </w:t>
      </w:r>
    </w:p>
    <w:p w:rsidR="00545D1B" w:rsidRPr="00742A04" w:rsidRDefault="00EA26AB" w:rsidP="00D42876">
      <w:pPr>
        <w:pStyle w:val="SingleTxt"/>
        <w:ind w:firstLine="475"/>
      </w:pPr>
      <w:r w:rsidRPr="00742A04">
        <w:t>Noruega</w:t>
      </w:r>
      <w:r w:rsidR="00545D1B" w:rsidRPr="00742A04">
        <w:t xml:space="preserve"> </w:t>
      </w:r>
      <w:r w:rsidR="00E32F2A" w:rsidRPr="00742A04">
        <w:t>participa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D313C" w:rsidRPr="00742A04">
        <w:t>varios</w:t>
      </w:r>
      <w:r w:rsidR="00545D1B" w:rsidRPr="00742A04">
        <w:t xml:space="preserve"> </w:t>
      </w:r>
      <w:r w:rsidR="00550986" w:rsidRPr="00742A04">
        <w:t>foros internacionales</w:t>
      </w:r>
      <w:r w:rsidR="00545D1B" w:rsidRPr="00742A04">
        <w:t xml:space="preserve"> </w:t>
      </w:r>
      <w:r w:rsidR="00E32F2A" w:rsidRPr="00742A04">
        <w:t>de</w:t>
      </w:r>
      <w:r w:rsidR="00545D1B" w:rsidRPr="00742A04">
        <w:t xml:space="preserve"> coopera</w:t>
      </w:r>
      <w:r w:rsidR="00C14BFF" w:rsidRPr="00742A04">
        <w:t xml:space="preserve">ción </w:t>
      </w:r>
      <w:r w:rsidR="00E32F2A" w:rsidRPr="00742A04">
        <w:t>policial y j</w:t>
      </w:r>
      <w:r w:rsidR="00E32F2A" w:rsidRPr="00742A04">
        <w:t>u</w:t>
      </w:r>
      <w:r w:rsidR="00E32F2A" w:rsidRPr="00742A04">
        <w:t>dicial en los que hay una fuerte</w:t>
      </w:r>
      <w:r w:rsidR="005E6919" w:rsidRPr="00742A04">
        <w:t xml:space="preserve"> concentración en</w:t>
      </w:r>
      <w:r w:rsidR="00545D1B" w:rsidRPr="00742A04">
        <w:t xml:space="preserve"> </w:t>
      </w:r>
      <w:r w:rsidR="00E32F2A" w:rsidRPr="00742A04">
        <w:t>la lucha contra</w:t>
      </w:r>
      <w:r w:rsidR="00545D1B" w:rsidRPr="00742A04">
        <w:t xml:space="preserve"> </w:t>
      </w:r>
      <w:r w:rsidR="00D515FC" w:rsidRPr="00742A04">
        <w:t>la trata de seres humanos</w:t>
      </w:r>
      <w:r w:rsidR="00315AD4">
        <w:t>,</w:t>
      </w:r>
      <w:r w:rsidR="00E32F2A" w:rsidRPr="00742A04">
        <w:t xml:space="preserve"> y contribuye a dichos foros</w:t>
      </w:r>
      <w:r w:rsidR="00545D1B" w:rsidRPr="00742A04">
        <w:t xml:space="preserve">. </w:t>
      </w:r>
      <w:r w:rsidR="00E32F2A" w:rsidRPr="00742A04">
        <w:t>Ello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8E5EBF" w:rsidRPr="00742A04">
        <w:t>se aplica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D515FC" w:rsidRPr="00742A04">
        <w:t>OSCE</w:t>
      </w:r>
      <w:r w:rsidR="00A93B9E" w:rsidRPr="00742A04">
        <w:t xml:space="preserve">, la </w:t>
      </w:r>
      <w:r w:rsidR="00D515FC" w:rsidRPr="00742A04">
        <w:t>Oficina Europea de Policía (</w:t>
      </w:r>
      <w:r w:rsidR="00545D1B" w:rsidRPr="00742A04">
        <w:t>Europol</w:t>
      </w:r>
      <w:r w:rsidR="00D515FC" w:rsidRPr="00742A04">
        <w:t>)</w:t>
      </w:r>
      <w:r w:rsidR="00545D1B" w:rsidRPr="00742A04">
        <w:t xml:space="preserve">, Eurojust, </w:t>
      </w:r>
      <w:r w:rsidR="00DE74E8" w:rsidRPr="00742A04">
        <w:t>el Pacto de Estabilidad para Europa Sud</w:t>
      </w:r>
      <w:r w:rsidR="00DE74E8" w:rsidRPr="00742A04">
        <w:t>o</w:t>
      </w:r>
      <w:r w:rsidR="00DE74E8" w:rsidRPr="00742A04">
        <w:t>riental</w:t>
      </w:r>
      <w:r w:rsidR="00545D1B" w:rsidRPr="00742A04">
        <w:t xml:space="preserve">, </w:t>
      </w:r>
      <w:r w:rsidR="00877AA0" w:rsidRPr="00742A04">
        <w:t>y</w:t>
      </w:r>
      <w:r w:rsidR="00ED4DF1" w:rsidRPr="00742A04">
        <w:t xml:space="preserve">, muy importantemente, </w:t>
      </w:r>
      <w:r w:rsidR="00545D1B" w:rsidRPr="00742A04">
        <w:t xml:space="preserve">Interpol, </w:t>
      </w:r>
      <w:r w:rsidR="00ED4DF1" w:rsidRPr="00742A04">
        <w:t xml:space="preserve">dentro </w:t>
      </w:r>
      <w:r w:rsidR="00F43124" w:rsidRPr="00742A04">
        <w:t xml:space="preserve">de la </w:t>
      </w:r>
      <w:r w:rsidR="00ED4DF1" w:rsidRPr="00742A04">
        <w:t>cual la</w:t>
      </w:r>
      <w:r w:rsidR="00545D1B" w:rsidRPr="00742A04">
        <w:t xml:space="preserve"> Direc</w:t>
      </w:r>
      <w:r w:rsidR="00ED4DF1" w:rsidRPr="00742A04">
        <w:t>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D4DF1" w:rsidRPr="00742A04">
        <w:t>Policía</w:t>
      </w:r>
      <w:r w:rsidR="00545D1B" w:rsidRPr="00742A04">
        <w:t xml:space="preserve"> </w:t>
      </w:r>
      <w:r w:rsidR="00ED4DF1" w:rsidRPr="00742A04">
        <w:t>ha encabezad</w:t>
      </w:r>
      <w:r w:rsidR="0056679F" w:rsidRPr="00742A04">
        <w:t xml:space="preserve">o el </w:t>
      </w:r>
      <w:r w:rsidR="00ED4DF1" w:rsidRPr="00742A04">
        <w:t>Grupo de Trabajo</w:t>
      </w:r>
      <w:r w:rsidR="00545D1B" w:rsidRPr="00742A04">
        <w:t xml:space="preserve"> </w:t>
      </w:r>
      <w:r w:rsidR="00ED4DF1" w:rsidRPr="00742A04">
        <w:t>sobre la</w:t>
      </w:r>
      <w:r w:rsidR="00545D1B" w:rsidRPr="00742A04">
        <w:t xml:space="preserve"> </w:t>
      </w:r>
      <w:r w:rsidR="00ED4DF1" w:rsidRPr="00742A04">
        <w:t xml:space="preserve">Trata </w:t>
      </w:r>
      <w:r w:rsidR="004D313C" w:rsidRPr="00742A04">
        <w:t xml:space="preserve">de </w:t>
      </w:r>
      <w:r w:rsidR="00E32F2A" w:rsidRPr="00742A04">
        <w:t>M</w:t>
      </w:r>
      <w:r w:rsidR="004D313C" w:rsidRPr="00742A04">
        <w:t>ujeres</w:t>
      </w:r>
      <w:r w:rsidR="00545D1B" w:rsidRPr="00742A04">
        <w:t xml:space="preserve"> </w:t>
      </w:r>
      <w:r w:rsidR="00ED4DF1" w:rsidRPr="00742A04">
        <w:t>con fines de Explot</w:t>
      </w:r>
      <w:r w:rsidR="00ED4DF1" w:rsidRPr="00742A04">
        <w:t>a</w:t>
      </w:r>
      <w:r w:rsidR="00ED4DF1" w:rsidRPr="00742A04">
        <w:t>ción Sexual</w:t>
      </w:r>
      <w:r w:rsidR="00C27C42" w:rsidRPr="00742A04">
        <w:t>.</w:t>
      </w:r>
      <w:r w:rsidR="00545D1B" w:rsidRPr="00742A04">
        <w:t xml:space="preserve"> </w:t>
      </w:r>
      <w:r w:rsidRPr="00742A04">
        <w:t>Noruega</w:t>
      </w:r>
      <w:r w:rsidR="00545D1B" w:rsidRPr="00742A04">
        <w:t xml:space="preserve"> </w:t>
      </w:r>
      <w:r w:rsidR="00116976" w:rsidRPr="00742A04">
        <w:t>trabaj</w:t>
      </w:r>
      <w:r w:rsidR="00E32F2A" w:rsidRPr="00742A04">
        <w:t>a</w:t>
      </w:r>
      <w:r w:rsidR="00545D1B" w:rsidRPr="00742A04">
        <w:t xml:space="preserve"> </w:t>
      </w:r>
      <w:r w:rsidR="00C14BFF" w:rsidRPr="00742A04">
        <w:t>en</w:t>
      </w:r>
      <w:r w:rsidR="00495D7B" w:rsidRPr="00742A04">
        <w:t xml:space="preserve"> estrecha cooperación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FC59C5" w:rsidRPr="00742A04">
        <w:t>la policía</w:t>
      </w:r>
      <w:r w:rsidR="00545D1B" w:rsidRPr="00742A04">
        <w:t xml:space="preserve"> </w:t>
      </w:r>
      <w:r w:rsidR="00E32F2A" w:rsidRPr="00742A04">
        <w:t>d</w:t>
      </w:r>
      <w:r w:rsidR="00C14BFF" w:rsidRPr="00742A04">
        <w:t>e</w:t>
      </w:r>
      <w:r w:rsidR="00545D1B" w:rsidRPr="00742A04">
        <w:t xml:space="preserve"> </w:t>
      </w:r>
      <w:r w:rsidR="00ED4DF1" w:rsidRPr="00742A04">
        <w:t>los países nórdicos</w:t>
      </w:r>
      <w:r w:rsidR="00545D1B" w:rsidRPr="00742A04">
        <w:t xml:space="preserve">, </w:t>
      </w:r>
      <w:r w:rsidR="00ED4DF1" w:rsidRPr="00742A04">
        <w:t>los Estados del Mar Báltico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32F2A" w:rsidRPr="00742A04">
        <w:t>la región de Barents</w:t>
      </w:r>
      <w:r w:rsidR="00545D1B" w:rsidRPr="00742A04">
        <w:t xml:space="preserve">. </w:t>
      </w:r>
      <w:r w:rsidR="00E32F2A" w:rsidRPr="00742A04">
        <w:t>El</w:t>
      </w:r>
      <w:r w:rsidR="00545D1B" w:rsidRPr="00742A04">
        <w:t xml:space="preserve"> </w:t>
      </w:r>
      <w:r w:rsidR="0077058E" w:rsidRPr="00742A04">
        <w:t>proyecto</w:t>
      </w:r>
      <w:r w:rsidR="00545D1B" w:rsidRPr="00742A04">
        <w:t xml:space="preserve"> </w:t>
      </w:r>
      <w:r w:rsidR="00E32F2A" w:rsidRPr="00742A04">
        <w:t xml:space="preserve">policial conjunto </w:t>
      </w:r>
      <w:r w:rsidR="00C14BFF" w:rsidRPr="00742A04">
        <w:t>en</w:t>
      </w:r>
      <w:r w:rsidR="00545D1B" w:rsidRPr="00742A04">
        <w:t xml:space="preserve"> </w:t>
      </w:r>
      <w:r w:rsidR="00E32F2A" w:rsidRPr="00742A04">
        <w:t>la región de Barents</w:t>
      </w:r>
      <w:r w:rsidR="005E6919" w:rsidRPr="00742A04">
        <w:t xml:space="preserve"> </w:t>
      </w:r>
      <w:r w:rsidR="00E32F2A" w:rsidRPr="00742A04">
        <w:t>estuvo centrado</w:t>
      </w:r>
      <w:r w:rsidR="00545D1B" w:rsidRPr="00742A04">
        <w:t xml:space="preserve"> </w:t>
      </w:r>
      <w:r w:rsidR="007C3856" w:rsidRPr="00742A04">
        <w:t>especialmente</w:t>
      </w:r>
      <w:r w:rsidR="00545D1B" w:rsidRPr="00742A04">
        <w:t xml:space="preserve"> </w:t>
      </w:r>
      <w:r w:rsidR="00E32F2A" w:rsidRPr="00742A04">
        <w:t>en</w:t>
      </w:r>
      <w:r w:rsidR="00545D1B" w:rsidRPr="00742A04">
        <w:t xml:space="preserve"> </w:t>
      </w:r>
      <w:r w:rsidR="00E32F2A" w:rsidRPr="00742A04">
        <w:t>la compra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01B8C" w:rsidRPr="00742A04">
        <w:t>sexo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E32F2A" w:rsidRPr="00742A04">
        <w:t>menores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32F2A" w:rsidRPr="00742A04">
        <w:t>la trata de</w:t>
      </w:r>
      <w:r w:rsidR="00545D1B" w:rsidRPr="00742A04">
        <w:t xml:space="preserve"> </w:t>
      </w:r>
      <w:r w:rsidR="002F3238" w:rsidRPr="00742A04">
        <w:t>niños</w:t>
      </w:r>
      <w:r w:rsidR="00545D1B" w:rsidRPr="00742A04">
        <w:t>.</w:t>
      </w:r>
    </w:p>
    <w:p w:rsidR="00545D1B" w:rsidRPr="00742A04" w:rsidRDefault="00935A90" w:rsidP="002C4922">
      <w:pPr>
        <w:pStyle w:val="SingleTxt"/>
        <w:rPr>
          <w:i/>
        </w:rPr>
      </w:pPr>
      <w:r w:rsidRPr="00742A04">
        <w:rPr>
          <w:i/>
        </w:rPr>
        <w:t>Apoyo</w:t>
      </w:r>
      <w:r w:rsidR="00545D1B" w:rsidRPr="00742A04">
        <w:rPr>
          <w:i/>
        </w:rPr>
        <w:t xml:space="preserve"> </w:t>
      </w:r>
      <w:r w:rsidR="0059357E" w:rsidRPr="00742A04">
        <w:rPr>
          <w:i/>
        </w:rPr>
        <w:t>a las</w:t>
      </w:r>
      <w:r w:rsidR="00545D1B" w:rsidRPr="00742A04">
        <w:rPr>
          <w:i/>
        </w:rPr>
        <w:t xml:space="preserve"> </w:t>
      </w:r>
      <w:r w:rsidR="00DC0DB8" w:rsidRPr="00742A04">
        <w:rPr>
          <w:i/>
        </w:rPr>
        <w:t>medidas</w:t>
      </w:r>
      <w:r w:rsidR="00545D1B" w:rsidRPr="00742A04">
        <w:rPr>
          <w:i/>
        </w:rPr>
        <w:t xml:space="preserve"> </w:t>
      </w:r>
      <w:r w:rsidR="00242371" w:rsidRPr="00742A04">
        <w:rPr>
          <w:i/>
        </w:rPr>
        <w:t xml:space="preserve">encaminadas </w:t>
      </w:r>
      <w:r w:rsidR="0059357E" w:rsidRPr="00742A04">
        <w:rPr>
          <w:i/>
        </w:rPr>
        <w:t>a reducir</w:t>
      </w:r>
      <w:r w:rsidR="00545D1B" w:rsidRPr="00742A04">
        <w:rPr>
          <w:i/>
        </w:rPr>
        <w:t xml:space="preserve"> </w:t>
      </w:r>
      <w:r w:rsidR="0059357E" w:rsidRPr="00742A04">
        <w:rPr>
          <w:i/>
        </w:rPr>
        <w:t>la captación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9357E" w:rsidRPr="00742A04">
        <w:rPr>
          <w:i/>
        </w:rPr>
        <w:t xml:space="preserve"> los</w:t>
      </w:r>
      <w:r w:rsidR="00545D1B" w:rsidRPr="00742A04">
        <w:rPr>
          <w:i/>
        </w:rPr>
        <w:t xml:space="preserve"> </w:t>
      </w:r>
      <w:r w:rsidR="006B65CD" w:rsidRPr="00742A04">
        <w:rPr>
          <w:i/>
        </w:rPr>
        <w:t>países</w:t>
      </w:r>
      <w:r w:rsidR="00545D1B" w:rsidRPr="00742A04">
        <w:rPr>
          <w:i/>
        </w:rPr>
        <w:t xml:space="preserve"> </w:t>
      </w:r>
      <w:r w:rsidR="004A0730" w:rsidRPr="00742A04">
        <w:rPr>
          <w:i/>
        </w:rPr>
        <w:t>de</w:t>
      </w:r>
      <w:r w:rsidR="00545D1B" w:rsidRPr="00742A04">
        <w:rPr>
          <w:i/>
        </w:rPr>
        <w:t xml:space="preserve"> </w:t>
      </w:r>
      <w:r w:rsidR="00072AD7" w:rsidRPr="00742A04">
        <w:rPr>
          <w:i/>
        </w:rPr>
        <w:t>origen</w:t>
      </w:r>
    </w:p>
    <w:p w:rsidR="00545D1B" w:rsidRPr="00742A04" w:rsidRDefault="0059357E" w:rsidP="00D42876">
      <w:pPr>
        <w:pStyle w:val="SingleTxt"/>
        <w:ind w:firstLine="475"/>
      </w:pPr>
      <w:r w:rsidRPr="00742A04">
        <w:t>Mediante</w:t>
      </w:r>
      <w:r w:rsidR="00ED4DF1" w:rsidRPr="00742A04">
        <w:t xml:space="preserve"> vario</w:t>
      </w:r>
      <w:r w:rsidRPr="00742A04">
        <w:t>s planes del Gobierno –</w:t>
      </w:r>
      <w:r w:rsidR="00545D1B" w:rsidRPr="00742A04">
        <w:t xml:space="preserve"> </w:t>
      </w:r>
      <w:r w:rsidR="00ED4DF1" w:rsidRPr="00742A04">
        <w:t>el</w:t>
      </w:r>
      <w:r w:rsidR="00230F13" w:rsidRPr="00742A04">
        <w:t xml:space="preserve"> </w:t>
      </w:r>
      <w:r w:rsidR="00F650FB" w:rsidRPr="00742A04">
        <w:t>Plan de Acción</w:t>
      </w:r>
      <w:r w:rsidR="00545D1B" w:rsidRPr="00742A04">
        <w:t xml:space="preserve"> </w:t>
      </w:r>
      <w:r w:rsidR="007C341F" w:rsidRPr="00742A04">
        <w:t>de Lucha con</w:t>
      </w:r>
      <w:r w:rsidR="00ED4DF1" w:rsidRPr="00742A04">
        <w:softHyphen/>
      </w:r>
      <w:r w:rsidR="007C341F" w:rsidRPr="00742A04">
        <w:t>tra</w:t>
      </w:r>
      <w:r w:rsidR="00ED4DF1" w:rsidRPr="00742A04">
        <w:t xml:space="preserve"> la </w:t>
      </w:r>
      <w:r w:rsidR="00D515FC" w:rsidRPr="00742A04">
        <w:t>trata de seres humanos</w:t>
      </w:r>
      <w:r w:rsidR="00545D1B" w:rsidRPr="00742A04">
        <w:t xml:space="preserve">, </w:t>
      </w:r>
      <w:r w:rsidR="00315AD4">
        <w:t xml:space="preserve">la </w:t>
      </w:r>
      <w:r w:rsidR="00315AD4" w:rsidRPr="00742A04">
        <w:t xml:space="preserve">Estrategia </w:t>
      </w:r>
      <w:r w:rsidR="004D313C" w:rsidRPr="00742A04">
        <w:t>del Gobierno</w:t>
      </w:r>
      <w:r w:rsidR="00545D1B" w:rsidRPr="00742A04">
        <w:t xml:space="preserve"> </w:t>
      </w:r>
      <w:r w:rsidR="00F43124" w:rsidRPr="00742A04">
        <w:t>para</w:t>
      </w:r>
      <w:r w:rsidR="005E08DF" w:rsidRPr="00742A04">
        <w:t xml:space="preserve"> la </w:t>
      </w:r>
      <w:r w:rsidR="00024DBC" w:rsidRPr="00742A04">
        <w:t>mujer y la igualdad de g</w:t>
      </w:r>
      <w:r w:rsidR="00024DBC" w:rsidRPr="00742A04">
        <w:t>é</w:t>
      </w:r>
      <w:r w:rsidR="00024DBC" w:rsidRPr="00742A04">
        <w:t>nero</w:t>
      </w:r>
      <w:r w:rsidR="00545D1B" w:rsidRPr="00742A04">
        <w:t xml:space="preserve"> </w:t>
      </w:r>
      <w:r w:rsidR="00C07ED9" w:rsidRPr="00742A04">
        <w:t>en la cooperación</w:t>
      </w:r>
      <w:r w:rsidR="00CD2FF0" w:rsidRPr="00742A04">
        <w:t xml:space="preserve"> para el desarrollo</w:t>
      </w:r>
      <w:r w:rsidR="00C14BFF" w:rsidRPr="00742A04">
        <w:t xml:space="preserve"> </w:t>
      </w:r>
      <w:r w:rsidR="00545D1B" w:rsidRPr="00742A04">
        <w:t xml:space="preserve">(1997-2005) </w:t>
      </w:r>
      <w:r w:rsidR="00BB4DB1" w:rsidRPr="00742A04">
        <w:t xml:space="preserve">y </w:t>
      </w:r>
      <w:r w:rsidR="000E16DE" w:rsidRPr="00742A04">
        <w:t>el Plan de Acción del G</w:t>
      </w:r>
      <w:r w:rsidR="000E16DE" w:rsidRPr="00742A04">
        <w:t>o</w:t>
      </w:r>
      <w:r w:rsidR="000E16DE" w:rsidRPr="00742A04">
        <w:t>bierno</w:t>
      </w:r>
      <w:r w:rsidR="00ED4DF1" w:rsidRPr="00742A04">
        <w:t xml:space="preserve"> de Lucha contra la Pobreza en el Sur hasta el Año 2015</w:t>
      </w:r>
      <w:r w:rsidRPr="00742A04">
        <w:t xml:space="preserve"> –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pr</w:t>
      </w:r>
      <w:r w:rsidRPr="00742A04">
        <w:t>esta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Pr="00742A04">
        <w:t>a proyectos</w:t>
      </w:r>
      <w:r w:rsidR="00545D1B" w:rsidRPr="00742A04">
        <w:t xml:space="preserve"> </w:t>
      </w:r>
      <w:r w:rsidR="00315AD4">
        <w:t>ejecut</w:t>
      </w:r>
      <w:r w:rsidRPr="00742A04">
        <w:t>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>organizaciones noruegas e internacionales</w:t>
      </w:r>
      <w:r w:rsidR="00545D1B" w:rsidRPr="00742A04">
        <w:t xml:space="preserve"> </w:t>
      </w:r>
      <w:r w:rsidR="00B31D97" w:rsidRPr="00742A04">
        <w:t>para mejorar</w:t>
      </w:r>
      <w:r w:rsidR="00545D1B" w:rsidRPr="00742A04">
        <w:t xml:space="preserve"> </w:t>
      </w:r>
      <w:r w:rsidR="003C25BF" w:rsidRPr="00742A04">
        <w:t xml:space="preserve">la condición </w:t>
      </w:r>
      <w:r w:rsidR="00F43124" w:rsidRPr="00742A04">
        <w:t xml:space="preserve">de </w:t>
      </w:r>
      <w:r w:rsidR="00A30B35" w:rsidRPr="00742A04">
        <w:t>las mujeres y los niños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los </w:t>
      </w:r>
      <w:r w:rsidR="006B65CD" w:rsidRPr="00742A04">
        <w:t>países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origen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de tal modo</w:t>
      </w:r>
      <w:r w:rsidR="00545D1B" w:rsidRPr="00742A04">
        <w:t xml:space="preserve"> </w:t>
      </w:r>
      <w:r w:rsidR="00CE7870" w:rsidRPr="00742A04">
        <w:t xml:space="preserve">contribuir </w:t>
      </w:r>
      <w:r w:rsidRPr="00742A04">
        <w:t>a reducir la captación</w:t>
      </w:r>
      <w:r w:rsidR="00545D1B" w:rsidRPr="00742A04">
        <w:t xml:space="preserve"> </w:t>
      </w:r>
      <w:r w:rsidRPr="00742A04">
        <w:t>par</w:t>
      </w:r>
      <w:r w:rsidR="0030626A" w:rsidRPr="00742A04">
        <w:t>a</w:t>
      </w:r>
      <w:r w:rsidR="00545D1B" w:rsidRPr="00742A04">
        <w:t xml:space="preserve"> </w:t>
      </w:r>
      <w:r w:rsidR="00D515FC" w:rsidRPr="00742A04">
        <w:t>la trata de seres humanos</w:t>
      </w:r>
      <w:r w:rsidR="00545D1B" w:rsidRPr="00742A04">
        <w:t xml:space="preserve">. </w:t>
      </w:r>
      <w:r w:rsidRPr="00742A04">
        <w:t>Por conducto de campañas de i</w:t>
      </w:r>
      <w:r w:rsidR="00545D1B" w:rsidRPr="00742A04">
        <w:t>nforma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8E5EBF" w:rsidRPr="00742A04">
        <w:t>educacional</w:t>
      </w:r>
      <w:r w:rsidRPr="00742A04">
        <w:t>es y</w:t>
      </w:r>
      <w:r w:rsidR="00545D1B" w:rsidRPr="00742A04">
        <w:t xml:space="preserve"> </w:t>
      </w:r>
      <w:r w:rsidRPr="00742A04">
        <w:t>programas d</w:t>
      </w:r>
      <w:r w:rsidR="005E2D7A" w:rsidRPr="00742A04">
        <w:t>e empleo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rehabilita</w:t>
      </w:r>
      <w:r w:rsidR="00C14BFF" w:rsidRPr="00742A04">
        <w:t xml:space="preserve">ción </w:t>
      </w:r>
      <w:r w:rsidRPr="00742A04">
        <w:t>se brindan</w:t>
      </w:r>
      <w:r w:rsidR="00545D1B" w:rsidRPr="00742A04">
        <w:t xml:space="preserve"> </w:t>
      </w:r>
      <w:r w:rsidR="007C65B3" w:rsidRPr="00742A04">
        <w:t>nueva</w:t>
      </w:r>
      <w:r w:rsidRPr="00742A04">
        <w:t>s</w:t>
      </w:r>
      <w:r w:rsidR="00545D1B" w:rsidRPr="00742A04">
        <w:t xml:space="preserve"> </w:t>
      </w:r>
      <w:r w:rsidR="00210DB1" w:rsidRPr="00742A04">
        <w:t>oportunidades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2A211A" w:rsidRPr="00742A04">
        <w:t>la cooperación p</w:t>
      </w:r>
      <w:r w:rsidR="002A211A" w:rsidRPr="00742A04">
        <w:t>a</w:t>
      </w:r>
      <w:r w:rsidR="002A211A" w:rsidRPr="00742A04">
        <w:t>ra el desarrollo</w:t>
      </w:r>
      <w:r w:rsidR="00935A90" w:rsidRPr="00742A04">
        <w:t>,</w:t>
      </w:r>
      <w:r w:rsidR="00545D1B" w:rsidRPr="00742A04">
        <w:t xml:space="preserve"> </w:t>
      </w:r>
      <w:r w:rsidRPr="00742A04">
        <w:t>se hace hincapié en</w:t>
      </w:r>
      <w:r w:rsidR="00545D1B" w:rsidRPr="00742A04">
        <w:t xml:space="preserve"> </w:t>
      </w:r>
      <w:r w:rsidR="00F43124" w:rsidRPr="00742A04">
        <w:t>fortalecer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3238" w:rsidRPr="00742A04">
        <w:t>los n</w:t>
      </w:r>
      <w:r w:rsidR="002F3238" w:rsidRPr="00742A04">
        <w:t>i</w:t>
      </w:r>
      <w:r w:rsidR="002F3238" w:rsidRPr="00742A04">
        <w:t>ños</w:t>
      </w:r>
      <w:r w:rsidR="00545D1B" w:rsidRPr="00742A04">
        <w:t xml:space="preserve">, </w:t>
      </w:r>
      <w:r w:rsidR="00230F13" w:rsidRPr="00742A04">
        <w:t>en particular</w:t>
      </w:r>
      <w:r w:rsidR="00545D1B" w:rsidRPr="00742A04">
        <w:t xml:space="preserve"> </w:t>
      </w:r>
      <w:r w:rsidRPr="00742A04">
        <w:t>e</w:t>
      </w:r>
      <w:r w:rsidR="004B0EC3" w:rsidRPr="00742A04">
        <w:t>n lo tocante a</w:t>
      </w:r>
      <w:r w:rsidR="00545D1B" w:rsidRPr="00742A04">
        <w:t xml:space="preserve"> </w:t>
      </w:r>
      <w:r w:rsidRPr="00742A04">
        <w:t>los grupos vulnerables</w:t>
      </w:r>
      <w:r w:rsidR="00545D1B" w:rsidRPr="00742A04">
        <w:t xml:space="preserve">. </w:t>
      </w:r>
      <w:r w:rsidRPr="00742A04">
        <w:t xml:space="preserve">Las </w:t>
      </w:r>
      <w:r w:rsidR="00C07ED9" w:rsidRPr="00742A04">
        <w:t>misiones del servicio exterior</w:t>
      </w:r>
      <w:r w:rsidR="00545D1B" w:rsidRPr="00742A04">
        <w:t xml:space="preserve"> </w:t>
      </w:r>
      <w:r w:rsidRPr="00742A04">
        <w:t>de Noruega identifican</w:t>
      </w:r>
      <w:r w:rsidR="00545D1B" w:rsidRPr="00742A04">
        <w:t xml:space="preserve"> </w:t>
      </w:r>
      <w:r w:rsidRPr="00742A04">
        <w:t>proyectos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C07ED9" w:rsidRPr="00742A04">
        <w:t>en cooperación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6679F" w:rsidRPr="00742A04">
        <w:t>autoridades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B5EDF" w:rsidRPr="00742A04">
        <w:t>organizaciones</w:t>
      </w:r>
      <w:r w:rsidRPr="00742A04">
        <w:t xml:space="preserve"> nacionales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resp</w:t>
      </w:r>
      <w:r w:rsidRPr="00742A04">
        <w:t>uesta a las</w:t>
      </w:r>
      <w:r w:rsidR="00545D1B" w:rsidRPr="00742A04">
        <w:t xml:space="preserve"> </w:t>
      </w:r>
      <w:r w:rsidR="00614C7D" w:rsidRPr="00742A04">
        <w:t>iniciativa</w:t>
      </w:r>
      <w:r w:rsidR="00545D1B" w:rsidRPr="00742A04">
        <w:t xml:space="preserve">s </w:t>
      </w:r>
      <w:r w:rsidR="008F0C8E" w:rsidRPr="00742A04">
        <w:t>de</w:t>
      </w:r>
      <w:r w:rsidR="00545D1B" w:rsidRPr="00742A04">
        <w:t xml:space="preserve"> </w:t>
      </w:r>
      <w:r w:rsidRPr="00742A04">
        <w:t>los países receptores</w:t>
      </w:r>
      <w:r w:rsidR="00545D1B" w:rsidRPr="00742A04">
        <w:t xml:space="preserve">, </w:t>
      </w:r>
      <w:r w:rsidR="00EA26AB" w:rsidRPr="00742A04">
        <w:t>Noruega</w:t>
      </w:r>
      <w:r w:rsidR="00545D1B" w:rsidRPr="00742A04">
        <w:t xml:space="preserve"> </w:t>
      </w:r>
      <w:r w:rsidRPr="00742A04">
        <w:t>apoyará</w:t>
      </w:r>
      <w:r w:rsidR="00545D1B" w:rsidRPr="00742A04">
        <w:t xml:space="preserve"> </w:t>
      </w:r>
      <w:r w:rsidR="00502E16" w:rsidRPr="00742A04">
        <w:t>los esfuerzos</w:t>
      </w:r>
      <w:r w:rsidR="00545D1B" w:rsidRPr="00742A04">
        <w:t xml:space="preserve"> </w:t>
      </w:r>
      <w:r w:rsidR="007C341F" w:rsidRPr="00742A04">
        <w:t>de lucha contra</w:t>
      </w:r>
      <w:r w:rsidR="00ED4DF1" w:rsidRPr="00742A04">
        <w:t xml:space="preserve"> la </w:t>
      </w:r>
      <w:r w:rsidR="00D515FC" w:rsidRPr="00742A04">
        <w:t>trata de seres humanos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los</w:t>
      </w:r>
      <w:r w:rsidR="00545D1B" w:rsidRPr="00742A04">
        <w:t xml:space="preserve"> </w:t>
      </w:r>
      <w:r w:rsidR="007C65B3" w:rsidRPr="00742A04">
        <w:t>nu</w:t>
      </w:r>
      <w:r w:rsidR="007C65B3" w:rsidRPr="00742A04">
        <w:t>e</w:t>
      </w:r>
      <w:r w:rsidRPr="00742A04">
        <w:t>vos</w:t>
      </w:r>
      <w:r w:rsidR="00545D1B" w:rsidRPr="00742A04">
        <w:t xml:space="preserve"> </w:t>
      </w:r>
      <w:r w:rsidRPr="00742A04">
        <w:t>Países miembros de la Unión Europea</w:t>
      </w:r>
      <w:r w:rsidR="00545D1B" w:rsidRPr="00742A04">
        <w:t>.</w:t>
      </w:r>
    </w:p>
    <w:p w:rsidR="00545D1B" w:rsidRPr="00742A04" w:rsidRDefault="00545D1B" w:rsidP="0059357E">
      <w:pPr>
        <w:pStyle w:val="SingleTxt"/>
        <w:keepNext/>
        <w:jc w:val="left"/>
        <w:rPr>
          <w:i/>
        </w:rPr>
      </w:pPr>
      <w:r w:rsidRPr="00742A04">
        <w:rPr>
          <w:i/>
        </w:rPr>
        <w:t>Condi</w:t>
      </w:r>
      <w:r w:rsidR="008907B8" w:rsidRPr="00742A04">
        <w:rPr>
          <w:i/>
        </w:rPr>
        <w:t>ciones</w:t>
      </w:r>
      <w:r w:rsidRPr="00742A04">
        <w:rPr>
          <w:i/>
        </w:rPr>
        <w:t xml:space="preserve"> </w:t>
      </w:r>
      <w:r w:rsidR="00F43124" w:rsidRPr="00742A04">
        <w:rPr>
          <w:i/>
        </w:rPr>
        <w:t>para</w:t>
      </w:r>
      <w:r w:rsidRPr="00742A04">
        <w:rPr>
          <w:i/>
        </w:rPr>
        <w:t xml:space="preserve"> </w:t>
      </w:r>
      <w:r w:rsidR="0059357E" w:rsidRPr="00742A04">
        <w:rPr>
          <w:i/>
        </w:rPr>
        <w:t>un período</w:t>
      </w:r>
      <w:r w:rsidRPr="00742A04">
        <w:rPr>
          <w:i/>
        </w:rPr>
        <w:t xml:space="preserve"> </w:t>
      </w:r>
      <w:r w:rsidR="004A0730" w:rsidRPr="00742A04">
        <w:rPr>
          <w:i/>
        </w:rPr>
        <w:t>de</w:t>
      </w:r>
      <w:r w:rsidRPr="00742A04">
        <w:rPr>
          <w:i/>
        </w:rPr>
        <w:t xml:space="preserve"> refle</w:t>
      </w:r>
      <w:r w:rsidR="0059357E" w:rsidRPr="00742A04">
        <w:rPr>
          <w:i/>
        </w:rPr>
        <w:t xml:space="preserve">xión </w:t>
      </w:r>
      <w:r w:rsidR="00877AA0" w:rsidRPr="00742A04">
        <w:rPr>
          <w:i/>
        </w:rPr>
        <w:t>y</w:t>
      </w:r>
      <w:r w:rsidRPr="00742A04">
        <w:rPr>
          <w:i/>
        </w:rPr>
        <w:t xml:space="preserve"> </w:t>
      </w:r>
      <w:r w:rsidR="0059357E" w:rsidRPr="00742A04">
        <w:rPr>
          <w:i/>
        </w:rPr>
        <w:t>residencia temporal</w:t>
      </w:r>
      <w:r w:rsidR="00FF575F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Pr="00742A04">
        <w:rPr>
          <w:i/>
        </w:rPr>
        <w:t xml:space="preserve"> </w:t>
      </w:r>
      <w:r w:rsidR="00EA26AB" w:rsidRPr="00742A04">
        <w:rPr>
          <w:i/>
        </w:rPr>
        <w:t>Noruega</w:t>
      </w:r>
    </w:p>
    <w:p w:rsidR="00545D1B" w:rsidRPr="00742A04" w:rsidRDefault="0020526A" w:rsidP="00D42876">
      <w:pPr>
        <w:pStyle w:val="SingleTxt"/>
        <w:ind w:firstLine="475"/>
      </w:pPr>
      <w:r w:rsidRPr="00742A04">
        <w:t>Se podrá otorgar a l</w:t>
      </w:r>
      <w:r w:rsidR="0059357E" w:rsidRPr="00742A04">
        <w:t>as 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CE5A7F" w:rsidRPr="00742A04">
        <w:t>no sean</w:t>
      </w:r>
      <w:r w:rsidR="00545D1B" w:rsidRPr="00742A04">
        <w:t xml:space="preserve"> </w:t>
      </w:r>
      <w:r w:rsidR="00CE5A7F" w:rsidRPr="00742A04">
        <w:t>res</w:t>
      </w:r>
      <w:r w:rsidR="00CE5A7F" w:rsidRPr="00742A04">
        <w:t>i</w:t>
      </w:r>
      <w:r w:rsidR="00CE5A7F" w:rsidRPr="00742A04">
        <w:t>dentes legales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59357E" w:rsidRPr="00742A04">
        <w:t>un período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9357E" w:rsidRPr="00742A04">
        <w:t>reflexión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57260" w:rsidRPr="00742A04">
        <w:t>por lo menos</w:t>
      </w:r>
      <w:r w:rsidR="00545D1B" w:rsidRPr="00742A04">
        <w:t xml:space="preserve"> 45 </w:t>
      </w:r>
      <w:r w:rsidR="00CE5A7F" w:rsidRPr="00742A04">
        <w:t>días</w:t>
      </w:r>
      <w:r w:rsidR="00545D1B" w:rsidRPr="00742A04">
        <w:t xml:space="preserve">. </w:t>
      </w:r>
      <w:r w:rsidRPr="00742A04">
        <w:t>Ello</w:t>
      </w:r>
      <w:r w:rsidR="00545D1B" w:rsidRPr="00742A04">
        <w:t xml:space="preserve"> </w:t>
      </w:r>
      <w:r w:rsidR="00D3378F" w:rsidRPr="00742A04">
        <w:t>significa que</w:t>
      </w:r>
      <w:r w:rsidR="00545D1B" w:rsidRPr="00742A04">
        <w:t xml:space="preserve"> </w:t>
      </w:r>
      <w:r w:rsidRPr="00742A04">
        <w:t>se podrán suspender las órdenes de rechazo y expulsión que se hayan dictado</w:t>
      </w:r>
      <w:r w:rsidR="00545D1B" w:rsidRPr="00742A04">
        <w:t xml:space="preserve">. </w:t>
      </w:r>
      <w:r w:rsidRPr="00742A04">
        <w:t>El umbral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el otorgamiento de</w:t>
      </w:r>
      <w:r w:rsidR="00545D1B" w:rsidRPr="00742A04">
        <w:t xml:space="preserve"> </w:t>
      </w:r>
      <w:r w:rsidR="0059357E" w:rsidRPr="00742A04">
        <w:t>un período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9357E" w:rsidRPr="00742A04">
        <w:t>reflexión</w:t>
      </w:r>
      <w:r w:rsidR="00C14BFF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intencio</w:t>
      </w:r>
      <w:r w:rsidR="00545D1B" w:rsidRPr="00742A04">
        <w:t>na</w:t>
      </w:r>
      <w:r w:rsidR="005F7B32" w:rsidRPr="00742A04">
        <w:t>l</w:t>
      </w:r>
      <w:r w:rsidR="005F7B32" w:rsidRPr="00742A04">
        <w:t xml:space="preserve">mente </w:t>
      </w:r>
      <w:r w:rsidRPr="00742A04">
        <w:t>bajo</w:t>
      </w:r>
      <w:r w:rsidR="00545D1B" w:rsidRPr="00742A04">
        <w:t xml:space="preserve">. </w:t>
      </w:r>
      <w:r w:rsidR="00CF2F77" w:rsidRPr="00742A04">
        <w:t>Es</w:t>
      </w:r>
      <w:r w:rsidR="00545D1B" w:rsidRPr="00742A04">
        <w:t xml:space="preserve"> </w:t>
      </w:r>
      <w:r w:rsidR="00056EF1" w:rsidRPr="00742A04">
        <w:t>suficiente</w:t>
      </w:r>
      <w:r w:rsidR="00545D1B" w:rsidRPr="00742A04">
        <w:t xml:space="preserve"> </w:t>
      </w:r>
      <w:r w:rsidR="000C68A8" w:rsidRPr="00742A04">
        <w:t xml:space="preserve">que </w:t>
      </w:r>
      <w:r w:rsidRPr="00742A04">
        <w:rPr>
          <w:i/>
        </w:rPr>
        <w:t>se presuma</w:t>
      </w:r>
      <w:r w:rsidRPr="00742A04">
        <w:t xml:space="preserve"> que </w:t>
      </w:r>
      <w:r w:rsidR="000C68A8" w:rsidRPr="00742A04">
        <w:t xml:space="preserve">la </w:t>
      </w:r>
      <w:r w:rsidR="00D3378F" w:rsidRPr="00742A04">
        <w:t xml:space="preserve">persona </w:t>
      </w:r>
      <w:r w:rsidRPr="00742A04">
        <w:t>de que se trata es</w:t>
      </w:r>
      <w:r w:rsidR="00545D1B" w:rsidRPr="00742A04">
        <w:t xml:space="preserve"> </w:t>
      </w:r>
      <w:r w:rsidR="00502E16" w:rsidRPr="00742A04">
        <w:t>víctima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que esté dispuesta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aceptar</w:t>
      </w:r>
      <w:r w:rsidR="00545D1B" w:rsidRPr="00742A04">
        <w:t xml:space="preserve"> </w:t>
      </w:r>
      <w:r w:rsidR="00CE7870" w:rsidRPr="00742A04">
        <w:t>ayuda</w:t>
      </w:r>
      <w:r w:rsidR="002E5047" w:rsidRPr="00742A04">
        <w:t xml:space="preserve"> e i</w:t>
      </w:r>
      <w:r w:rsidR="00545D1B" w:rsidRPr="00742A04">
        <w:t>nforma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Pr="00742A04">
        <w:t>E</w:t>
      </w:r>
      <w:r w:rsidRPr="00742A04">
        <w:t>s</w:t>
      </w:r>
      <w:r w:rsidRPr="00742A04">
        <w:t>te</w:t>
      </w:r>
      <w:r w:rsidR="00545D1B" w:rsidRPr="00742A04">
        <w:t xml:space="preserve"> </w:t>
      </w:r>
      <w:r w:rsidR="00072261" w:rsidRPr="00742A04">
        <w:t>período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9357E" w:rsidRPr="00742A04">
        <w:t>reflexión</w:t>
      </w:r>
      <w:r w:rsidR="00C14BFF" w:rsidRPr="00742A04">
        <w:t xml:space="preserve"> </w:t>
      </w:r>
      <w:r w:rsidRPr="00742A04">
        <w:t>da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D3378F" w:rsidRPr="00742A04">
        <w:t xml:space="preserve">persona </w:t>
      </w:r>
      <w:r w:rsidRPr="00742A04">
        <w:t>l</w:t>
      </w:r>
      <w:r w:rsidR="00545D1B" w:rsidRPr="00742A04">
        <w:t xml:space="preserve">a </w:t>
      </w:r>
      <w:r w:rsidR="005C19C7" w:rsidRPr="00742A04">
        <w:t xml:space="preserve">oportunidad de </w:t>
      </w:r>
      <w:r w:rsidR="00545D1B" w:rsidRPr="00742A04">
        <w:t>con</w:t>
      </w:r>
      <w:r w:rsidRPr="00742A04">
        <w:t>siderar</w:t>
      </w:r>
      <w:r w:rsidR="00545D1B" w:rsidRPr="00742A04">
        <w:t xml:space="preserve"> </w:t>
      </w:r>
      <w:r w:rsidRPr="00742A04">
        <w:t>su</w:t>
      </w:r>
      <w:r w:rsidR="00545D1B" w:rsidRPr="00742A04">
        <w:t xml:space="preserve"> situa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Pr="00742A04">
        <w:t>decidir si presenta una denuncia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C59C5" w:rsidRPr="00742A04">
        <w:t>policía</w:t>
      </w:r>
      <w:r w:rsidR="00545D1B" w:rsidRPr="00742A04">
        <w:t xml:space="preserve">. </w:t>
      </w:r>
      <w:r w:rsidRPr="00742A04">
        <w:t>Durante</w:t>
      </w:r>
      <w:r w:rsidR="00545D1B" w:rsidRPr="00742A04">
        <w:t xml:space="preserve"> </w:t>
      </w:r>
      <w:r w:rsidR="00A836A1" w:rsidRPr="00742A04">
        <w:t>e</w:t>
      </w:r>
      <w:r w:rsidRPr="00742A04">
        <w:t>se</w:t>
      </w:r>
      <w:r w:rsidR="00A836A1" w:rsidRPr="00742A04">
        <w:t xml:space="preserve"> período</w:t>
      </w:r>
      <w:r w:rsidR="00545D1B" w:rsidRPr="00742A04">
        <w:t xml:space="preserve"> </w:t>
      </w:r>
      <w:r w:rsidRPr="00742A04">
        <w:t>se debe dar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 xml:space="preserve">persona </w:t>
      </w:r>
      <w:r w:rsidR="00545D1B" w:rsidRPr="00742A04">
        <w:t>informa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CE7870" w:rsidRPr="00742A04">
        <w:t>ayuda</w:t>
      </w:r>
      <w:r w:rsidR="00545D1B" w:rsidRPr="00742A04">
        <w:t xml:space="preserve">, </w:t>
      </w:r>
      <w:r w:rsidRPr="00742A04">
        <w:t xml:space="preserve">así como </w:t>
      </w:r>
      <w:r w:rsidR="00502E16" w:rsidRPr="00742A04">
        <w:t>asistencia</w:t>
      </w:r>
      <w:r w:rsidR="00545D1B" w:rsidRPr="00742A04">
        <w:t xml:space="preserve"> </w:t>
      </w:r>
      <w:r w:rsidRPr="00742A04">
        <w:t>para</w:t>
      </w:r>
      <w:r w:rsidR="00545D1B" w:rsidRPr="00742A04">
        <w:t xml:space="preserve"> </w:t>
      </w:r>
      <w:r w:rsidRPr="00742A04">
        <w:t>denunciar a</w:t>
      </w:r>
      <w:r w:rsidR="00545D1B" w:rsidRPr="00742A04">
        <w:t xml:space="preserve"> </w:t>
      </w:r>
      <w:r w:rsidR="00064906" w:rsidRPr="00742A04">
        <w:t>los tratantes de seres humanos</w:t>
      </w:r>
      <w:r w:rsidR="00545D1B" w:rsidRPr="00742A04">
        <w:t xml:space="preserve"> </w:t>
      </w:r>
      <w:r w:rsidR="0030626A" w:rsidRPr="00742A04">
        <w:t>a</w:t>
      </w:r>
      <w:r w:rsidRPr="00742A04">
        <w:t>nte</w:t>
      </w:r>
      <w:r w:rsidR="00545D1B" w:rsidRPr="00742A04">
        <w:t xml:space="preserve"> </w:t>
      </w:r>
      <w:r w:rsidR="00FC59C5" w:rsidRPr="00742A04">
        <w:t>la policía</w:t>
      </w:r>
      <w:r w:rsidR="00545D1B" w:rsidRPr="00742A04">
        <w:t xml:space="preserve">. </w:t>
      </w:r>
      <w:r w:rsidR="00A836A1" w:rsidRPr="00742A04">
        <w:t>El período</w:t>
      </w:r>
      <w:r w:rsidR="00545D1B" w:rsidRPr="00742A04">
        <w:t xml:space="preserve"> </w:t>
      </w:r>
      <w:r w:rsidRPr="00742A04">
        <w:t>podrá</w:t>
      </w:r>
      <w:r w:rsidR="00545D1B" w:rsidRPr="00742A04">
        <w:t xml:space="preserve"> </w:t>
      </w:r>
      <w:r w:rsidRPr="00742A04">
        <w:t>ser prorrogado</w:t>
      </w:r>
      <w:r w:rsidR="00545D1B" w:rsidRPr="00742A04">
        <w:t xml:space="preserve">. </w:t>
      </w:r>
      <w:r w:rsidR="003E4840" w:rsidRPr="00742A04">
        <w:t>Después</w:t>
      </w:r>
      <w:r w:rsidR="004F2F8A" w:rsidRPr="00742A04">
        <w:t xml:space="preserve"> del </w:t>
      </w:r>
      <w:r w:rsidR="00A836A1" w:rsidRPr="00742A04">
        <w:t>período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9357E" w:rsidRPr="00742A04">
        <w:t>reflexión</w:t>
      </w:r>
      <w:r w:rsidR="00935A90" w:rsidRPr="00742A04">
        <w:t>,</w:t>
      </w:r>
      <w:r w:rsidR="00545D1B" w:rsidRPr="00742A04">
        <w:t xml:space="preserve"> </w:t>
      </w:r>
      <w:r w:rsidRPr="00742A04">
        <w:t xml:space="preserve">se podrá otorgar un permiso </w:t>
      </w:r>
      <w:r w:rsidR="00B86412" w:rsidRPr="00742A04">
        <w:t>temporal</w:t>
      </w:r>
      <w:r w:rsidR="00545D1B" w:rsidRPr="00742A04">
        <w:t xml:space="preserve"> </w:t>
      </w:r>
      <w:r w:rsidRPr="00742A04">
        <w:t>d</w:t>
      </w:r>
      <w:r w:rsidR="00116976" w:rsidRPr="00742A04">
        <w:t>e trabajo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A778F" w:rsidRPr="00742A04">
        <w:t>residencia</w:t>
      </w:r>
      <w:r w:rsidR="00545D1B" w:rsidRPr="00742A04">
        <w:t xml:space="preserve"> </w:t>
      </w:r>
      <w:r w:rsidRPr="00742A04">
        <w:t>en dete</w:t>
      </w:r>
      <w:r w:rsidRPr="00742A04">
        <w:t>r</w:t>
      </w:r>
      <w:r w:rsidRPr="00742A04">
        <w:t>minadas</w:t>
      </w:r>
      <w:r w:rsidR="00545D1B" w:rsidRPr="00742A04">
        <w:t xml:space="preserve"> condi</w:t>
      </w:r>
      <w:r w:rsidR="008907B8" w:rsidRPr="00742A04">
        <w:t>ciones</w:t>
      </w:r>
      <w:r w:rsidR="00545D1B" w:rsidRPr="00742A04">
        <w:t xml:space="preserve">. </w:t>
      </w:r>
      <w:r w:rsidRPr="00742A04">
        <w:t>Por regla general</w:t>
      </w:r>
      <w:r w:rsidR="00545D1B" w:rsidRPr="00742A04">
        <w:t xml:space="preserve">, </w:t>
      </w:r>
      <w:r w:rsidR="00D3378F" w:rsidRPr="00742A04">
        <w:t xml:space="preserve">la persona </w:t>
      </w:r>
      <w:r w:rsidR="007D4688" w:rsidRPr="00742A04">
        <w:t>debe</w:t>
      </w:r>
      <w:r w:rsidR="00545D1B" w:rsidRPr="00742A04">
        <w:t xml:space="preserve"> </w:t>
      </w:r>
      <w:r w:rsidRPr="00742A04">
        <w:t>haber dejado de tener</w:t>
      </w:r>
      <w:r w:rsidR="00545D1B" w:rsidRPr="00742A04">
        <w:t xml:space="preserve"> </w:t>
      </w:r>
      <w:r w:rsidR="00802868" w:rsidRPr="00742A04">
        <w:t>co</w:t>
      </w:r>
      <w:r w:rsidR="00802868" w:rsidRPr="00742A04">
        <w:t>n</w:t>
      </w:r>
      <w:r w:rsidR="00802868" w:rsidRPr="00742A04">
        <w:t>tacto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los tratantes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Pr="00742A04">
        <w:t>debe</w:t>
      </w:r>
      <w:r w:rsidR="00E86DBA">
        <w:t>n</w:t>
      </w:r>
      <w:r w:rsidRPr="00742A04">
        <w:t xml:space="preserve"> estar en marcha una</w:t>
      </w:r>
      <w:r w:rsidR="00545D1B" w:rsidRPr="00742A04">
        <w:t xml:space="preserve"> investiga</w:t>
      </w:r>
      <w:r w:rsidR="00C14BFF" w:rsidRPr="00742A04">
        <w:t xml:space="preserve">ción </w:t>
      </w:r>
      <w:r w:rsidR="00581775" w:rsidRPr="00742A04">
        <w:t>del caso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prepara</w:t>
      </w:r>
      <w:r w:rsidR="00E86DBA">
        <w:t>t</w:t>
      </w:r>
      <w:r w:rsidR="008907B8" w:rsidRPr="00742A04">
        <w:t>i</w:t>
      </w:r>
      <w:r w:rsidR="00E86DBA">
        <w:t>vo</w:t>
      </w:r>
      <w:r w:rsidR="008907B8" w:rsidRPr="00742A04">
        <w:t>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incoar un procedimiento judicial, o ambas cosas</w:t>
      </w:r>
      <w:r w:rsidR="00545D1B" w:rsidRPr="00742A04">
        <w:t>.</w:t>
      </w:r>
    </w:p>
    <w:p w:rsidR="00545D1B" w:rsidRPr="00742A04" w:rsidRDefault="0020526A" w:rsidP="00D42876">
      <w:pPr>
        <w:pStyle w:val="SingleTxt"/>
        <w:ind w:firstLine="475"/>
      </w:pPr>
      <w:r w:rsidRPr="00742A04">
        <w:t>La posibilidad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otorgar</w:t>
      </w:r>
      <w:r w:rsidR="00545D1B" w:rsidRPr="00742A04">
        <w:t xml:space="preserve"> </w:t>
      </w:r>
      <w:r w:rsidRPr="00742A04">
        <w:t xml:space="preserve">a las </w:t>
      </w:r>
      <w:r w:rsidR="00502E16" w:rsidRPr="00742A04">
        <w:t>víctimas</w:t>
      </w:r>
      <w:r w:rsidR="00545D1B" w:rsidRPr="00742A04">
        <w:t xml:space="preserve"> </w:t>
      </w:r>
      <w:r w:rsidR="0059357E" w:rsidRPr="00742A04">
        <w:t>un período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9357E" w:rsidRPr="00742A04">
        <w:t>reflexión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6412" w:rsidRPr="00742A04">
        <w:t>temporal</w:t>
      </w:r>
      <w:r w:rsidR="00545D1B" w:rsidRPr="00742A04">
        <w:t xml:space="preserve"> </w:t>
      </w:r>
      <w:r w:rsidR="00EF5B12">
        <w:t>d</w:t>
      </w:r>
      <w:r w:rsidR="00EF5B12">
        <w:t>u</w:t>
      </w:r>
      <w:r w:rsidR="00EF5B12">
        <w:t>rante el cual permanezcan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Pr="00742A04">
        <w:t xml:space="preserve"> ha sido utilizada con escasa frecuencia</w:t>
      </w:r>
      <w:r w:rsidR="00545D1B" w:rsidRPr="00742A04">
        <w:t>.</w:t>
      </w:r>
      <w:r w:rsidR="001167D2" w:rsidRPr="00742A04">
        <w:t xml:space="preserve"> </w:t>
      </w:r>
      <w:r w:rsidR="00DA461E" w:rsidRPr="00742A04">
        <w:t>A</w:t>
      </w:r>
      <w:r w:rsidR="00DA461E" w:rsidRPr="00742A04">
        <w:t>c</w:t>
      </w:r>
      <w:r w:rsidR="00DA461E" w:rsidRPr="00742A04">
        <w:t>tualmente e</w:t>
      </w:r>
      <w:r w:rsidR="001167D2" w:rsidRPr="00742A04">
        <w:t xml:space="preserve">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Trabajo e Integración Social</w:t>
      </w:r>
      <w:r w:rsidR="00545D1B" w:rsidRPr="00742A04">
        <w:t xml:space="preserve"> </w:t>
      </w:r>
      <w:r w:rsidR="00DA461E" w:rsidRPr="00742A04">
        <w:t>está redactando</w:t>
      </w:r>
      <w:r w:rsidR="00545D1B" w:rsidRPr="00742A04">
        <w:t xml:space="preserve"> </w:t>
      </w:r>
      <w:r w:rsidR="00DA461E" w:rsidRPr="00742A04">
        <w:t>un conjunto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instruc</w:t>
      </w:r>
      <w:r w:rsidR="008907B8" w:rsidRPr="00742A04">
        <w:t>ciones</w:t>
      </w:r>
      <w:r w:rsidR="00545D1B" w:rsidRPr="00742A04">
        <w:t xml:space="preserve"> </w:t>
      </w:r>
      <w:r w:rsidR="00242371" w:rsidRPr="00742A04">
        <w:t>e</w:t>
      </w:r>
      <w:r w:rsidR="00242371" w:rsidRPr="00742A04">
        <w:t>n</w:t>
      </w:r>
      <w:r w:rsidR="00242371" w:rsidRPr="00742A04">
        <w:t>caminadas a</w:t>
      </w:r>
      <w:r w:rsidR="00545D1B" w:rsidRPr="00742A04">
        <w:t xml:space="preserve"> </w:t>
      </w:r>
      <w:r w:rsidR="00DA461E" w:rsidRPr="00742A04">
        <w:t>a</w:t>
      </w:r>
      <w:r w:rsidR="00545D1B" w:rsidRPr="00742A04">
        <w:t>clar</w:t>
      </w:r>
      <w:r w:rsidR="00DA461E" w:rsidRPr="00742A04">
        <w:t>ar</w:t>
      </w:r>
      <w:r w:rsidR="00545D1B" w:rsidRPr="00742A04">
        <w:t xml:space="preserve"> </w:t>
      </w:r>
      <w:r w:rsidR="00DA461E" w:rsidRPr="00742A04">
        <w:t>las condiciones</w:t>
      </w:r>
      <w:r w:rsidR="00545D1B" w:rsidRPr="00742A04">
        <w:t xml:space="preserve"> </w:t>
      </w:r>
      <w:r w:rsidR="00DA461E" w:rsidRPr="00742A04">
        <w:t>d</w:t>
      </w:r>
      <w:r w:rsidR="00A836A1" w:rsidRPr="00742A04">
        <w:t>el período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9357E" w:rsidRPr="00742A04">
        <w:t>reflexión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5664" w:rsidRPr="00742A04">
        <w:t>el programa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protec</w:t>
      </w:r>
      <w:r w:rsidR="00C14BFF" w:rsidRPr="00742A04">
        <w:t xml:space="preserve">ción </w:t>
      </w:r>
      <w:r w:rsidR="003315C7" w:rsidRPr="00742A04">
        <w:t>durante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DA461E" w:rsidRPr="00742A04">
        <w:t>ampliar</w:t>
      </w:r>
      <w:r w:rsidR="00545D1B" w:rsidRPr="00742A04">
        <w:t xml:space="preserve"> </w:t>
      </w:r>
      <w:r w:rsidR="00DA461E" w:rsidRPr="00742A04">
        <w:t>la duración</w:t>
      </w:r>
      <w:r w:rsidR="00C07ED9" w:rsidRPr="00742A04">
        <w:t xml:space="preserve"> del </w:t>
      </w:r>
      <w:r w:rsidR="00A836A1" w:rsidRPr="00742A04">
        <w:t>período</w:t>
      </w:r>
      <w:r w:rsidR="00545D1B" w:rsidRPr="00742A04">
        <w:t xml:space="preserve">. </w:t>
      </w:r>
      <w:r w:rsidR="00DA461E" w:rsidRPr="00742A04">
        <w:t xml:space="preserve">Este </w:t>
      </w:r>
      <w:r w:rsidR="00116976" w:rsidRPr="00742A04">
        <w:t>trabajo</w:t>
      </w:r>
      <w:r w:rsidR="00545D1B" w:rsidRPr="00742A04">
        <w:t xml:space="preserve"> </w:t>
      </w:r>
      <w:r w:rsidR="00DA461E" w:rsidRPr="00742A04">
        <w:t>se está llevando a cabo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95D7B" w:rsidRPr="00742A04">
        <w:t>estrecha cooperación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A461E" w:rsidRPr="00742A04">
        <w:t>las</w:t>
      </w:r>
      <w:r w:rsidR="00BC2FBE" w:rsidRPr="00742A04">
        <w:t xml:space="preserve"> </w:t>
      </w:r>
      <w:r w:rsidR="00DA461E" w:rsidRPr="00742A04">
        <w:t>demás</w:t>
      </w:r>
      <w:r w:rsidR="00545D1B" w:rsidRPr="00742A04">
        <w:t xml:space="preserve"> </w:t>
      </w:r>
      <w:r w:rsidR="0056679F" w:rsidRPr="00742A04">
        <w:t>autoridades</w:t>
      </w:r>
      <w:r w:rsidR="00545D1B" w:rsidRPr="00742A04">
        <w:t xml:space="preserve"> </w:t>
      </w:r>
      <w:r w:rsidR="00DA461E" w:rsidRPr="00742A04">
        <w:t>pertinentes</w:t>
      </w:r>
      <w:r w:rsidR="00545D1B" w:rsidRPr="00742A04">
        <w:t>.</w:t>
      </w:r>
    </w:p>
    <w:p w:rsidR="00545D1B" w:rsidRPr="00742A04" w:rsidRDefault="0059357E" w:rsidP="00D42876">
      <w:pPr>
        <w:pStyle w:val="SingleTxt"/>
        <w:ind w:firstLine="475"/>
      </w:pPr>
      <w:r w:rsidRPr="00742A04">
        <w:t>Las 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DA461E" w:rsidRPr="00742A04">
        <w:t>corren el riesgo de ser persegu</w:t>
      </w:r>
      <w:r w:rsidR="00DA461E" w:rsidRPr="00742A04">
        <w:t>i</w:t>
      </w:r>
      <w:r w:rsidR="00DA461E" w:rsidRPr="00742A04">
        <w:t>das</w:t>
      </w:r>
      <w:r w:rsidR="00545D1B" w:rsidRPr="00742A04">
        <w:t xml:space="preserve"> </w:t>
      </w:r>
      <w:r w:rsidR="00DA461E" w:rsidRPr="00742A04">
        <w:t>en caso de ser devueltas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F97F41" w:rsidRPr="00742A04">
        <w:t>su</w:t>
      </w:r>
      <w:r w:rsidR="00DA461E" w:rsidRPr="00742A04">
        <w:t>s</w:t>
      </w:r>
      <w:r w:rsidR="00545D1B" w:rsidRPr="00742A04">
        <w:t xml:space="preserve"> </w:t>
      </w:r>
      <w:r w:rsidR="006B65CD" w:rsidRPr="00742A04">
        <w:t>países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origen</w:t>
      </w:r>
      <w:r w:rsidR="00545D1B" w:rsidRPr="00742A04">
        <w:t xml:space="preserve"> </w:t>
      </w:r>
      <w:r w:rsidR="00DA461E" w:rsidRPr="00742A04">
        <w:t>podrán</w:t>
      </w:r>
      <w:r w:rsidR="00545D1B" w:rsidRPr="00742A04">
        <w:t xml:space="preserve">, </w:t>
      </w:r>
      <w:r w:rsidR="00DA461E" w:rsidRPr="00742A04">
        <w:t>en determinadas</w:t>
      </w:r>
      <w:r w:rsidR="00545D1B" w:rsidRPr="00742A04">
        <w:t xml:space="preserve"> cond</w:t>
      </w:r>
      <w:r w:rsidR="00545D1B" w:rsidRPr="00742A04">
        <w:t>i</w:t>
      </w:r>
      <w:r w:rsidR="008907B8" w:rsidRPr="00742A04">
        <w:t>ciones</w:t>
      </w:r>
      <w:r w:rsidR="00545D1B" w:rsidRPr="00742A04">
        <w:t xml:space="preserve">, </w:t>
      </w:r>
      <w:r w:rsidR="00DA461E" w:rsidRPr="00742A04">
        <w:t>recibir</w:t>
      </w:r>
      <w:r w:rsidR="00545D1B" w:rsidRPr="00742A04">
        <w:t xml:space="preserve"> </w:t>
      </w:r>
      <w:r w:rsidR="00072AD7" w:rsidRPr="00742A04">
        <w:t>asilo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protec</w:t>
      </w:r>
      <w:r w:rsidR="00C14BFF" w:rsidRPr="00742A04">
        <w:t xml:space="preserve">ción </w:t>
      </w:r>
      <w:r w:rsidR="00DA461E" w:rsidRPr="00742A04">
        <w:t>por motivos</w:t>
      </w:r>
      <w:r w:rsidR="00545D1B" w:rsidRPr="00742A04">
        <w:t xml:space="preserve"> </w:t>
      </w:r>
      <w:r w:rsidR="00DA461E" w:rsidRPr="00742A04">
        <w:t>análogos a los que se aplican a</w:t>
      </w:r>
      <w:r w:rsidR="00545D1B" w:rsidRPr="00742A04">
        <w:t xml:space="preserve"> </w:t>
      </w:r>
      <w:r w:rsidR="00DA461E" w:rsidRPr="00742A04">
        <w:t>los r</w:t>
      </w:r>
      <w:r w:rsidR="00DA461E" w:rsidRPr="00742A04">
        <w:t>e</w:t>
      </w:r>
      <w:r w:rsidR="00DA461E" w:rsidRPr="00742A04">
        <w:t>fugiados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01E95" w:rsidRPr="00742A04">
        <w:t xml:space="preserve">los </w:t>
      </w:r>
      <w:r w:rsidR="005E2D7A" w:rsidRPr="00742A04">
        <w:t>trabajo</w:t>
      </w:r>
      <w:r w:rsidR="00586B79">
        <w:t>s</w:t>
      </w:r>
      <w:r w:rsidR="00545D1B" w:rsidRPr="00742A04">
        <w:t xml:space="preserve"> </w:t>
      </w:r>
      <w:r w:rsidR="00501E95" w:rsidRPr="00742A04">
        <w:t>con miras a una nueva</w:t>
      </w:r>
      <w:r w:rsidR="00545D1B" w:rsidRPr="00742A04">
        <w:t xml:space="preserve"> </w:t>
      </w:r>
      <w:r w:rsidR="00CE1CFC" w:rsidRPr="00742A04">
        <w:t>Ley de Inmigración</w:t>
      </w:r>
      <w:r w:rsidR="00545D1B" w:rsidRPr="00742A04">
        <w:t xml:space="preserve">, </w:t>
      </w:r>
      <w:r w:rsidR="00501E95" w:rsidRPr="00742A04">
        <w:t>se proyecta dejar en</w:t>
      </w:r>
      <w:r w:rsidR="00545D1B" w:rsidRPr="00742A04">
        <w:t xml:space="preserve"> </w:t>
      </w:r>
      <w:r w:rsidR="00C07ED9" w:rsidRPr="00742A04">
        <w:t>clar</w:t>
      </w:r>
      <w:r w:rsidR="00501E95" w:rsidRPr="00742A04">
        <w:t>o que se podrá otorgar asilo 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 </w:t>
      </w:r>
      <w:r w:rsidR="00501E95" w:rsidRPr="00742A04">
        <w:t>siempre que se cumplan</w:t>
      </w:r>
      <w:r w:rsidR="00545D1B" w:rsidRPr="00742A04">
        <w:t xml:space="preserve"> </w:t>
      </w:r>
      <w:r w:rsidR="00501E95" w:rsidRPr="00742A04">
        <w:t>las demás</w:t>
      </w:r>
      <w:r w:rsidR="00545D1B" w:rsidRPr="00742A04">
        <w:t xml:space="preserve"> condi</w:t>
      </w:r>
      <w:r w:rsidR="008907B8" w:rsidRPr="00742A04">
        <w:t>ciones</w:t>
      </w:r>
      <w:r w:rsidR="00545D1B" w:rsidRPr="00742A04">
        <w:t xml:space="preserve"> </w:t>
      </w:r>
      <w:r w:rsidR="00F43124" w:rsidRPr="00742A04">
        <w:t>p</w:t>
      </w:r>
      <w:r w:rsidR="00F43124" w:rsidRPr="00742A04">
        <w:t>a</w:t>
      </w:r>
      <w:r w:rsidR="00F43124" w:rsidRPr="00742A04">
        <w:t>ra</w:t>
      </w:r>
      <w:r w:rsidR="00545D1B" w:rsidRPr="00742A04">
        <w:t xml:space="preserve"> </w:t>
      </w:r>
      <w:r w:rsidR="00501E95" w:rsidRPr="00742A04">
        <w:t xml:space="preserve">el </w:t>
      </w:r>
      <w:r w:rsidR="00072AD7" w:rsidRPr="00742A04">
        <w:t>asilo</w:t>
      </w:r>
      <w:r w:rsidR="00545D1B" w:rsidRPr="00742A04">
        <w:t>.</w:t>
      </w:r>
    </w:p>
    <w:p w:rsidR="00545D1B" w:rsidRPr="00742A04" w:rsidRDefault="00501E95" w:rsidP="00501E95">
      <w:pPr>
        <w:pStyle w:val="SingleTxt"/>
        <w:jc w:val="left"/>
        <w:rPr>
          <w:i/>
        </w:rPr>
      </w:pPr>
      <w:r w:rsidRPr="00742A04">
        <w:rPr>
          <w:i/>
        </w:rPr>
        <w:t>Métodos i</w:t>
      </w:r>
      <w:r w:rsidR="00545D1B" w:rsidRPr="00742A04">
        <w:rPr>
          <w:i/>
        </w:rPr>
        <w:t>nterdisciplinar</w:t>
      </w:r>
      <w:r w:rsidRPr="00742A04">
        <w:rPr>
          <w:i/>
        </w:rPr>
        <w:t>ios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</w:t>
      </w:r>
      <w:r w:rsidRPr="00742A04">
        <w:rPr>
          <w:i/>
        </w:rPr>
        <w:t>detectar a las víctimas</w:t>
      </w:r>
      <w:r w:rsidRPr="00742A04">
        <w:rPr>
          <w:i/>
        </w:rPr>
        <w:br/>
        <w:t>de la trata de seres hum</w:t>
      </w:r>
      <w:r w:rsidRPr="00742A04">
        <w:rPr>
          <w:i/>
        </w:rPr>
        <w:t>a</w:t>
      </w:r>
      <w:r w:rsidRPr="00742A04">
        <w:rPr>
          <w:i/>
        </w:rPr>
        <w:t>nos</w:t>
      </w:r>
    </w:p>
    <w:p w:rsidR="00545D1B" w:rsidRPr="00742A04" w:rsidRDefault="00501E95" w:rsidP="00D42876">
      <w:pPr>
        <w:pStyle w:val="SingleTxt"/>
        <w:ind w:firstLine="475"/>
      </w:pPr>
      <w:r w:rsidRPr="00742A04">
        <w:t>La responsabilidad primordial de detectar 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Pr="00742A04">
        <w:t xml:space="preserve"> incumbe a las autoridades policiales y de </w:t>
      </w:r>
      <w:r w:rsidR="0073499D" w:rsidRPr="00742A04">
        <w:t>inmigración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BA0349" w:rsidRPr="00742A04">
        <w:t xml:space="preserve">las </w:t>
      </w:r>
      <w:r w:rsidR="00545D1B" w:rsidRPr="00742A04">
        <w:t>institu</w:t>
      </w:r>
      <w:r w:rsidR="008907B8" w:rsidRPr="00742A04">
        <w:t>ci</w:t>
      </w:r>
      <w:r w:rsidR="008907B8" w:rsidRPr="00742A04">
        <w:t>o</w:t>
      </w:r>
      <w:r w:rsidR="008907B8" w:rsidRPr="00742A04">
        <w:t>nes</w:t>
      </w:r>
      <w:r w:rsidR="00545D1B" w:rsidRPr="00742A04">
        <w:t xml:space="preserve">, </w:t>
      </w:r>
      <w:r w:rsidR="00BA0349" w:rsidRPr="00742A04">
        <w:t xml:space="preserve">las </w:t>
      </w:r>
      <w:r w:rsidR="00FB5EDF" w:rsidRPr="00742A04">
        <w:t>organizaciones</w:t>
      </w:r>
      <w:r w:rsidR="002E5047" w:rsidRPr="00742A04">
        <w:t xml:space="preserve"> </w:t>
      </w:r>
      <w:r w:rsidR="00BA0349" w:rsidRPr="00742A04">
        <w:t>y los</w:t>
      </w:r>
      <w:r w:rsidR="002E5047" w:rsidRPr="00742A04">
        <w:t xml:space="preserve"> i</w:t>
      </w:r>
      <w:r w:rsidR="00545D1B" w:rsidRPr="00742A04">
        <w:t>ndividu</w:t>
      </w:r>
      <w:r w:rsidR="00BA0349" w:rsidRPr="00742A04">
        <w:t>o</w:t>
      </w:r>
      <w:r w:rsidR="00545D1B" w:rsidRPr="00742A04">
        <w:t xml:space="preserve">s </w:t>
      </w:r>
      <w:r w:rsidR="00BA0349" w:rsidRPr="00742A04">
        <w:t>también pueden</w:t>
      </w:r>
      <w:r w:rsidR="00545D1B" w:rsidRPr="00742A04">
        <w:t xml:space="preserve"> </w:t>
      </w:r>
      <w:r w:rsidR="00BA0349" w:rsidRPr="00742A04">
        <w:t>entrar en</w:t>
      </w:r>
      <w:r w:rsidR="00545D1B" w:rsidRPr="00742A04">
        <w:t xml:space="preserve"> </w:t>
      </w:r>
      <w:r w:rsidR="00802868" w:rsidRPr="00742A04">
        <w:t>contacto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BA0349" w:rsidRPr="00742A04">
        <w:t>d</w:t>
      </w:r>
      <w:r w:rsidR="00BA0349" w:rsidRPr="00742A04">
        <w:t>i</w:t>
      </w:r>
      <w:r w:rsidR="00BA0349" w:rsidRPr="00742A04">
        <w:t>chas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. </w:t>
      </w:r>
      <w:r w:rsidR="005D2D07" w:rsidRPr="00742A04">
        <w:t>La Dirección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D4DF1" w:rsidRPr="00742A04">
        <w:t>Policía</w:t>
      </w:r>
      <w:r w:rsidR="00545D1B" w:rsidRPr="00742A04">
        <w:t xml:space="preserve"> </w:t>
      </w:r>
      <w:r w:rsidR="005D2D07" w:rsidRPr="00742A04">
        <w:t>ha elaborado</w:t>
      </w:r>
      <w:r w:rsidR="00545D1B" w:rsidRPr="00742A04">
        <w:t xml:space="preserve"> </w:t>
      </w:r>
      <w:r w:rsidR="00BA0349" w:rsidRPr="00742A04">
        <w:t xml:space="preserve">una lista </w:t>
      </w:r>
      <w:r w:rsidR="004A0730" w:rsidRPr="00742A04">
        <w:t>de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31D97" w:rsidRPr="00742A04">
        <w:t>los servicios</w:t>
      </w:r>
      <w:r w:rsidR="00BA0349" w:rsidRPr="00742A04">
        <w:t xml:space="preserve"> de primera línea</w:t>
      </w:r>
      <w:r w:rsidR="00545D1B" w:rsidRPr="00742A04">
        <w:t xml:space="preserve"> </w:t>
      </w:r>
      <w:r w:rsidR="00BA0349" w:rsidRPr="00742A04">
        <w:t xml:space="preserve">en la que se </w:t>
      </w:r>
      <w:r w:rsidR="00545D1B" w:rsidRPr="00742A04">
        <w:t>indica</w:t>
      </w:r>
      <w:r w:rsidR="00BA0349" w:rsidRPr="00742A04">
        <w:t xml:space="preserve"> lo que</w:t>
      </w:r>
      <w:r w:rsidR="00545D1B" w:rsidRPr="00742A04">
        <w:t xml:space="preserve"> </w:t>
      </w:r>
      <w:r w:rsidR="00FC59C5" w:rsidRPr="00742A04">
        <w:t>la policía</w:t>
      </w:r>
      <w:r w:rsidR="00545D1B" w:rsidRPr="00742A04">
        <w:t xml:space="preserve"> </w:t>
      </w:r>
      <w:r w:rsidR="00BA0349" w:rsidRPr="00742A04">
        <w:t>debe buscar</w:t>
      </w:r>
      <w:r w:rsidR="00545D1B" w:rsidRPr="00742A04">
        <w:t xml:space="preserve">, </w:t>
      </w:r>
      <w:r w:rsidR="00032136" w:rsidRPr="00742A04">
        <w:t>ju</w:t>
      </w:r>
      <w:r w:rsidR="00032136" w:rsidRPr="00742A04">
        <w:t>n</w:t>
      </w:r>
      <w:r w:rsidR="00032136" w:rsidRPr="00742A04">
        <w:t>to con</w:t>
      </w:r>
      <w:r w:rsidR="00545D1B" w:rsidRPr="00742A04">
        <w:t xml:space="preserve"> </w:t>
      </w:r>
      <w:r w:rsidR="005D2D07" w:rsidRPr="00742A04">
        <w:t>un manual</w:t>
      </w:r>
      <w:r w:rsidR="00545D1B" w:rsidRPr="00742A04">
        <w:t xml:space="preserve"> </w:t>
      </w:r>
      <w:r w:rsidR="00BA0349" w:rsidRPr="00742A04">
        <w:t>de</w:t>
      </w:r>
      <w:r w:rsidR="00545D1B" w:rsidRPr="00742A04">
        <w:t xml:space="preserve"> investiga</w:t>
      </w:r>
      <w:r w:rsidR="00BA0349" w:rsidRPr="00742A04">
        <w:t>ción de</w:t>
      </w:r>
      <w:r w:rsidR="00545D1B" w:rsidRPr="00742A04">
        <w:t xml:space="preserve"> </w:t>
      </w:r>
      <w:r w:rsidR="00D515FC" w:rsidRPr="00742A04">
        <w:t>la trata de seres humanos</w:t>
      </w:r>
      <w:r w:rsidR="00545D1B" w:rsidRPr="00742A04">
        <w:t xml:space="preserve">. </w:t>
      </w:r>
      <w:r w:rsidR="00BA0349" w:rsidRPr="00742A04">
        <w:t>Está</w:t>
      </w:r>
      <w:r w:rsidR="00545D1B" w:rsidRPr="00742A04">
        <w:t xml:space="preserve"> </w:t>
      </w:r>
      <w:r w:rsidR="003E5775" w:rsidRPr="00742A04">
        <w:t>en marcha</w:t>
      </w:r>
      <w:r w:rsidR="00545D1B" w:rsidRPr="00742A04">
        <w:t xml:space="preserve"> </w:t>
      </w:r>
      <w:r w:rsidR="00BA0349" w:rsidRPr="00742A04">
        <w:t>la elabor</w:t>
      </w:r>
      <w:r w:rsidR="00BA0349" w:rsidRPr="00742A04">
        <w:t>a</w:t>
      </w:r>
      <w:r w:rsidR="00BA0349" w:rsidRPr="00742A04">
        <w:t xml:space="preserve">ción de </w:t>
      </w:r>
      <w:r w:rsidR="00FB34C1" w:rsidRPr="00742A04">
        <w:t>un folleto</w:t>
      </w:r>
      <w:r w:rsidR="00545D1B" w:rsidRPr="00742A04">
        <w:t xml:space="preserve"> </w:t>
      </w:r>
      <w:r w:rsidR="00BA0349" w:rsidRPr="00742A04">
        <w:t xml:space="preserve">de orientación </w:t>
      </w:r>
      <w:r w:rsidR="00545D1B" w:rsidRPr="00742A04">
        <w:t>con informa</w:t>
      </w:r>
      <w:r w:rsidR="00C14BFF" w:rsidRPr="00742A04">
        <w:t xml:space="preserve">ción </w:t>
      </w:r>
      <w:r w:rsidR="00BA0349" w:rsidRPr="00742A04">
        <w:t>sobre los organismos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B5EDF" w:rsidRPr="00742A04">
        <w:t>organiz</w:t>
      </w:r>
      <w:r w:rsidR="00FB5EDF" w:rsidRPr="00742A04">
        <w:t>a</w:t>
      </w:r>
      <w:r w:rsidR="00FB5EDF" w:rsidRPr="00742A04">
        <w:t>ciones</w:t>
      </w:r>
      <w:r w:rsidR="00545D1B" w:rsidRPr="00742A04">
        <w:t xml:space="preserve"> </w:t>
      </w:r>
      <w:r w:rsidR="00BA0349" w:rsidRPr="00742A04">
        <w:t>a los cuales es posible dirigirse par</w:t>
      </w:r>
      <w:r w:rsidR="0030626A" w:rsidRPr="00742A04">
        <w:t>a</w:t>
      </w:r>
      <w:r w:rsidR="00545D1B" w:rsidRPr="00742A04">
        <w:t xml:space="preserve"> obt</w:t>
      </w:r>
      <w:r w:rsidR="00BA0349" w:rsidRPr="00742A04">
        <w:t>ener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protec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BA0349" w:rsidRPr="00742A04">
        <w:t xml:space="preserve">las </w:t>
      </w:r>
      <w:r w:rsidR="00C27C42" w:rsidRPr="00742A04">
        <w:t>posible</w:t>
      </w:r>
      <w:r w:rsidR="00BA0349" w:rsidRPr="00742A04">
        <w:t>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. </w:t>
      </w:r>
      <w:r w:rsidR="005E2D7A" w:rsidRPr="00742A04">
        <w:t>La guía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BA0349" w:rsidRPr="00742A04">
        <w:t>comprenderá un</w:t>
      </w:r>
      <w:r w:rsidR="00545D1B" w:rsidRPr="00742A04">
        <w:t xml:space="preserve">a </w:t>
      </w:r>
      <w:r w:rsidR="00BA0349" w:rsidRPr="00742A04">
        <w:t xml:space="preserve">lista </w:t>
      </w:r>
      <w:r w:rsidR="00064906" w:rsidRPr="00742A04">
        <w:t>intersectorial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07ED9" w:rsidRPr="00742A04">
        <w:t>indicad</w:t>
      </w:r>
      <w:r w:rsidR="00C07ED9" w:rsidRPr="00742A04">
        <w:t>o</w:t>
      </w:r>
      <w:r w:rsidR="00C07ED9" w:rsidRPr="00742A04">
        <w:t>res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A0349" w:rsidRPr="00742A04">
        <w:t>detectar a las 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. </w:t>
      </w:r>
      <w:r w:rsidR="00097AF3" w:rsidRPr="00742A04">
        <w:t>Se elaborarán una lista</w:t>
      </w:r>
      <w:r w:rsidR="00545D1B" w:rsidRPr="00742A04">
        <w:t xml:space="preserve"> </w:t>
      </w:r>
      <w:r w:rsidR="00E574AD" w:rsidRPr="00742A04">
        <w:t>especial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07ED9" w:rsidRPr="00742A04">
        <w:t>indicadores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97AF3" w:rsidRPr="00742A04">
        <w:t>u</w:t>
      </w:r>
      <w:r w:rsidR="00101B8C" w:rsidRPr="00742A04">
        <w:t>na guía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97AF3" w:rsidRPr="00742A04">
        <w:t>la detec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097AF3" w:rsidRPr="00742A04">
        <w:t xml:space="preserve">el </w:t>
      </w:r>
      <w:r w:rsidR="008A0C75" w:rsidRPr="00742A04">
        <w:t>seguimiento</w:t>
      </w:r>
      <w:r w:rsidR="00545D1B" w:rsidRPr="00742A04">
        <w:t xml:space="preserve"> </w:t>
      </w:r>
      <w:r w:rsidR="00C076F2" w:rsidRPr="00742A04">
        <w:t xml:space="preserve">de los </w:t>
      </w:r>
      <w:r w:rsidR="002F3238" w:rsidRPr="00742A04">
        <w:t>n</w:t>
      </w:r>
      <w:r w:rsidR="002F3238" w:rsidRPr="00742A04">
        <w:t>i</w:t>
      </w:r>
      <w:r w:rsidR="002F3238" w:rsidRPr="00742A04">
        <w:t>ños</w:t>
      </w:r>
      <w:r w:rsidR="00545D1B" w:rsidRPr="00742A04">
        <w:t>.</w:t>
      </w:r>
    </w:p>
    <w:p w:rsidR="00545D1B" w:rsidRPr="00742A04" w:rsidRDefault="00BA0349" w:rsidP="002C4922">
      <w:pPr>
        <w:pStyle w:val="SingleTxt"/>
        <w:rPr>
          <w:i/>
        </w:rPr>
      </w:pPr>
      <w:r w:rsidRPr="00742A04">
        <w:rPr>
          <w:i/>
        </w:rPr>
        <w:t>Actividades de extensión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</w:t>
      </w:r>
      <w:r w:rsidRPr="00742A04">
        <w:rPr>
          <w:i/>
        </w:rPr>
        <w:t>prostituta</w:t>
      </w:r>
      <w:r w:rsidR="00545D1B" w:rsidRPr="00742A04">
        <w:rPr>
          <w:i/>
        </w:rPr>
        <w:t>s</w:t>
      </w:r>
    </w:p>
    <w:p w:rsidR="00545D1B" w:rsidRPr="00742A04" w:rsidRDefault="002F0DC7" w:rsidP="00D42876">
      <w:pPr>
        <w:pStyle w:val="SingleTxt"/>
        <w:ind w:firstLine="475"/>
      </w:pPr>
      <w:r w:rsidRPr="00742A04">
        <w:t>Un importante objetivo es asegurar que las</w:t>
      </w:r>
      <w:r w:rsidR="00545D1B" w:rsidRPr="00742A04">
        <w:t xml:space="preserve"> </w:t>
      </w:r>
      <w:r w:rsidR="00C27C42" w:rsidRPr="00742A04">
        <w:t>posible</w:t>
      </w:r>
      <w:r w:rsidRPr="00742A04">
        <w:t>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</w:t>
      </w:r>
      <w:r w:rsidR="00D515FC" w:rsidRPr="00742A04">
        <w:t>e</w:t>
      </w:r>
      <w:r w:rsidR="00D515FC" w:rsidRPr="00742A04">
        <w:t>res humanos</w:t>
      </w:r>
      <w:r w:rsidR="00545D1B" w:rsidRPr="00742A04">
        <w:t xml:space="preserve"> rec</w:t>
      </w:r>
      <w:r w:rsidRPr="00742A04">
        <w:t>iban</w:t>
      </w:r>
      <w:r w:rsidR="00545D1B" w:rsidRPr="00742A04">
        <w:t xml:space="preserve"> </w:t>
      </w:r>
      <w:r w:rsidRPr="00742A04">
        <w:t>información exacta</w:t>
      </w:r>
      <w:r w:rsidR="00545D1B" w:rsidRPr="00742A04">
        <w:t xml:space="preserve"> </w:t>
      </w:r>
      <w:r w:rsidRPr="00742A04">
        <w:t>y fidedigna</w:t>
      </w:r>
      <w:r w:rsidR="00545D1B" w:rsidRPr="00742A04">
        <w:t xml:space="preserve">. </w:t>
      </w:r>
      <w:r w:rsidRPr="00742A04">
        <w:t>Mediante la</w:t>
      </w:r>
      <w:r w:rsidR="00545D1B" w:rsidRPr="00742A04">
        <w:t xml:space="preserve">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="004A0730" w:rsidRPr="00742A04">
        <w:t>con</w:t>
      </w:r>
      <w:r w:rsidRPr="00742A04">
        <w:t xml:space="preserve"> las</w:t>
      </w:r>
      <w:r w:rsidR="00545D1B" w:rsidRPr="00742A04">
        <w:t xml:space="preserve"> </w:t>
      </w:r>
      <w:r w:rsidR="00FB5EDF" w:rsidRPr="00742A04">
        <w:t>organizaciones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5775" w:rsidRPr="00742A04">
        <w:t>los servicios públicos</w:t>
      </w:r>
      <w:r w:rsidR="00545D1B" w:rsidRPr="00742A04">
        <w:t xml:space="preserve"> </w:t>
      </w:r>
      <w:r w:rsidRPr="00742A04">
        <w:t>que prestan</w:t>
      </w:r>
      <w:r w:rsidR="00545D1B" w:rsidRPr="00742A04">
        <w:t xml:space="preserve"> </w:t>
      </w:r>
      <w:r w:rsidRPr="00742A04">
        <w:t>servicios de extensión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A0349" w:rsidRPr="00742A04">
        <w:t>prostituta</w:t>
      </w:r>
      <w:r w:rsidR="00545D1B" w:rsidRPr="00742A04">
        <w:t xml:space="preserve">s, </w:t>
      </w:r>
      <w:r w:rsidRPr="00742A04">
        <w:t>las posibles víctimas</w:t>
      </w:r>
      <w:r w:rsidR="00501E95" w:rsidRPr="00742A04">
        <w:t xml:space="preserve"> de la trata de seres humanos</w:t>
      </w:r>
      <w:r w:rsidR="00545D1B" w:rsidRPr="00742A04">
        <w:t xml:space="preserve"> </w:t>
      </w:r>
      <w:r w:rsidRPr="00742A04">
        <w:t>podrán</w:t>
      </w:r>
      <w:r w:rsidR="00545D1B" w:rsidRPr="00742A04">
        <w:t xml:space="preserve"> </w:t>
      </w:r>
      <w:r w:rsidRPr="00742A04">
        <w:t>obtener</w:t>
      </w:r>
      <w:r w:rsidR="00545D1B" w:rsidRPr="00742A04">
        <w:t xml:space="preserve"> info</w:t>
      </w:r>
      <w:r w:rsidR="00545D1B" w:rsidRPr="00742A04">
        <w:t>r</w:t>
      </w:r>
      <w:r w:rsidR="00545D1B" w:rsidRPr="00742A04">
        <w:t>ma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Pr="00742A04">
        <w:t>para ponerse en contacto</w:t>
      </w:r>
      <w:r w:rsidR="00545D1B" w:rsidRPr="00742A04">
        <w:t xml:space="preserve"> </w:t>
      </w:r>
      <w:r w:rsidRPr="00742A04">
        <w:t xml:space="preserve">con </w:t>
      </w:r>
      <w:r w:rsidR="00B86412" w:rsidRPr="00742A04">
        <w:t xml:space="preserve">otros </w:t>
      </w:r>
      <w:r w:rsidR="00311327" w:rsidRPr="00742A04">
        <w:t>servicios de apoyo</w:t>
      </w:r>
      <w:r w:rsidR="00545D1B" w:rsidRPr="00742A04">
        <w:t xml:space="preserve">. </w:t>
      </w:r>
      <w:r w:rsidR="00BB4DB1" w:rsidRPr="00742A04">
        <w:t>Las aut</w:t>
      </w:r>
      <w:r w:rsidR="00BB4DB1" w:rsidRPr="00742A04">
        <w:t>o</w:t>
      </w:r>
      <w:r w:rsidR="00BB4DB1" w:rsidRPr="00742A04">
        <w:t>ridades</w:t>
      </w:r>
      <w:r w:rsidR="00545D1B" w:rsidRPr="00742A04">
        <w:t xml:space="preserve"> </w:t>
      </w:r>
      <w:r w:rsidRPr="00742A04">
        <w:t>proporcionan financiación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A0349" w:rsidRPr="00742A04">
        <w:t>actividades de extensión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A0349" w:rsidRPr="00742A04">
        <w:t>prostituta</w:t>
      </w:r>
      <w:r w:rsidR="00545D1B" w:rsidRPr="00742A04">
        <w:t xml:space="preserve">s </w:t>
      </w:r>
      <w:r w:rsidRPr="00742A04">
        <w:t>en virtud de distintas secciones d</w:t>
      </w:r>
      <w:r w:rsidR="005532F5" w:rsidRPr="00742A04">
        <w:t xml:space="preserve">el </w:t>
      </w:r>
      <w:r w:rsidRPr="00742A04">
        <w:t>presupuesto del Estado</w:t>
      </w:r>
      <w:r w:rsidR="00545D1B" w:rsidRPr="00742A04">
        <w:t xml:space="preserve">, </w:t>
      </w:r>
      <w:r w:rsidRPr="00742A04">
        <w:t>por ejemplo, por conducto del</w:t>
      </w:r>
      <w:r w:rsidR="00545D1B" w:rsidRPr="00742A04">
        <w:t xml:space="preserve"> </w:t>
      </w:r>
      <w:r w:rsidRPr="00742A04">
        <w:t>plan nacional</w:t>
      </w:r>
      <w:r w:rsidR="00545D1B" w:rsidRPr="00742A04">
        <w:t xml:space="preserve"> </w:t>
      </w:r>
      <w:r w:rsidRPr="00742A04">
        <w:t xml:space="preserve">de </w:t>
      </w:r>
      <w:r w:rsidR="00B31D97" w:rsidRPr="00742A04">
        <w:t>mejora</w:t>
      </w:r>
      <w:r w:rsidRPr="00742A04">
        <w:t xml:space="preserve"> de</w:t>
      </w:r>
      <w:r w:rsidR="00545D1B" w:rsidRPr="00742A04">
        <w:t xml:space="preserve"> </w:t>
      </w:r>
      <w:r w:rsidRPr="00742A04">
        <w:t>la salud sexual</w:t>
      </w:r>
      <w:r w:rsidR="00545D1B" w:rsidRPr="00742A04">
        <w:t>.</w:t>
      </w:r>
    </w:p>
    <w:p w:rsidR="00545D1B" w:rsidRPr="00742A04" w:rsidRDefault="004A0730" w:rsidP="00D42876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C59C5" w:rsidRPr="00742A04">
        <w:t>la policía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2F0DC7" w:rsidRPr="00742A04">
        <w:t>han prestado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F43124" w:rsidRPr="00742A04">
        <w:t>par</w:t>
      </w:r>
      <w:r w:rsidR="007D653A" w:rsidRPr="00742A04">
        <w:t>a</w:t>
      </w:r>
      <w:r w:rsidR="002F0DC7" w:rsidRPr="00742A04">
        <w:t xml:space="preserve"> e</w:t>
      </w:r>
      <w:r w:rsidR="007D653A" w:rsidRPr="00742A04">
        <w:t>l est</w:t>
      </w:r>
      <w:r w:rsidR="007D653A" w:rsidRPr="00742A04">
        <w:t>a</w:t>
      </w:r>
      <w:r w:rsidR="007D653A" w:rsidRPr="00742A04">
        <w:t>blecimiento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2F0DC7" w:rsidRPr="00742A04">
        <w:t>una línea de ayud</w:t>
      </w:r>
      <w:r w:rsidR="00545D1B" w:rsidRPr="00742A04">
        <w:t xml:space="preserve">a </w:t>
      </w:r>
      <w:r w:rsidR="009C08FB" w:rsidRPr="00742A04">
        <w:t>durante las 24 horas del día</w:t>
      </w:r>
      <w:r w:rsidR="00545D1B" w:rsidRPr="00742A04">
        <w:t xml:space="preserve"> </w:t>
      </w:r>
      <w:r w:rsidR="000248A9" w:rsidRPr="00742A04">
        <w:t>administr</w:t>
      </w:r>
      <w:r w:rsidR="002F0DC7" w:rsidRPr="00742A04">
        <w:t>ada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7D36C8" w:rsidRPr="00742A04">
        <w:t xml:space="preserve">la </w:t>
      </w:r>
      <w:r w:rsidR="00FB34C1" w:rsidRPr="00742A04">
        <w:t xml:space="preserve">Secretaría </w:t>
      </w:r>
      <w:r w:rsidR="00C076F2" w:rsidRPr="00742A04">
        <w:t xml:space="preserve">de los </w:t>
      </w:r>
      <w:r w:rsidR="005C19C7" w:rsidRPr="00742A04">
        <w:t>Centros de Crisis</w:t>
      </w:r>
      <w:r w:rsidR="00545D1B" w:rsidRPr="00742A04">
        <w:t xml:space="preserve">. </w:t>
      </w:r>
      <w:r w:rsidRPr="00742A04">
        <w:t>En</w:t>
      </w:r>
      <w:r w:rsidR="00545D1B" w:rsidRPr="00742A04">
        <w:t xml:space="preserve"> 2005 </w:t>
      </w:r>
      <w:r w:rsidR="002F0DC7" w:rsidRPr="00742A04">
        <w:t>la</w:t>
      </w:r>
      <w:r w:rsidR="00545D1B" w:rsidRPr="00742A04">
        <w:t xml:space="preserve"> </w:t>
      </w:r>
      <w:r w:rsidR="002F0DC7" w:rsidRPr="00742A04">
        <w:t>línea de ayuda</w:t>
      </w:r>
      <w:r w:rsidR="00545D1B" w:rsidRPr="00742A04">
        <w:t xml:space="preserve"> </w:t>
      </w:r>
      <w:r w:rsidR="002F0DC7" w:rsidRPr="00742A04">
        <w:t xml:space="preserve">recibió llamadas </w:t>
      </w:r>
      <w:r w:rsidR="00586B79">
        <w:t>d</w:t>
      </w:r>
      <w:r w:rsidR="002F0DC7" w:rsidRPr="00742A04">
        <w:t>e aproximadamente</w:t>
      </w:r>
      <w:r w:rsidR="00545D1B" w:rsidRPr="00742A04">
        <w:t xml:space="preserve"> 70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32F2A" w:rsidRPr="00742A04">
        <w:t>menores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2F0DC7" w:rsidRPr="00742A04">
        <w:t>era</w:t>
      </w:r>
      <w:r w:rsidR="006137EC" w:rsidRPr="00742A04">
        <w:t>n</w:t>
      </w:r>
      <w:r w:rsidR="00545D1B" w:rsidRPr="00742A04">
        <w:t xml:space="preserve"> </w:t>
      </w:r>
      <w:r w:rsidR="00C27C42" w:rsidRPr="00742A04">
        <w:t>posible</w:t>
      </w:r>
      <w:r w:rsidR="002F0DC7" w:rsidRPr="00742A04">
        <w:t>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</w:t>
      </w:r>
      <w:r w:rsidR="00D515FC" w:rsidRPr="00742A04">
        <w:t>e</w:t>
      </w:r>
      <w:r w:rsidR="00D515FC" w:rsidRPr="00742A04">
        <w:t>res humanos</w:t>
      </w:r>
      <w:r w:rsidR="00545D1B" w:rsidRPr="00742A04">
        <w:t>.</w:t>
      </w:r>
    </w:p>
    <w:p w:rsidR="00545D1B" w:rsidRPr="00742A04" w:rsidRDefault="002213CF" w:rsidP="00586B79">
      <w:pPr>
        <w:pStyle w:val="SingleTxt"/>
        <w:keepNext/>
        <w:jc w:val="left"/>
        <w:rPr>
          <w:i/>
        </w:rPr>
      </w:pPr>
      <w:r w:rsidRPr="00742A04">
        <w:rPr>
          <w:i/>
        </w:rPr>
        <w:t>El acceso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 xml:space="preserve">de </w:t>
      </w:r>
      <w:r w:rsidR="00501E95" w:rsidRPr="00742A04">
        <w:rPr>
          <w:i/>
        </w:rPr>
        <w:t>las víctimas de la trata de seres humanos</w:t>
      </w:r>
      <w:r w:rsidR="002F0DC7" w:rsidRPr="00742A04">
        <w:rPr>
          <w:i/>
        </w:rPr>
        <w:t xml:space="preserve"> a</w:t>
      </w:r>
      <w:r w:rsidR="002F0DC7" w:rsidRPr="00742A04">
        <w:rPr>
          <w:i/>
        </w:rPr>
        <w:br/>
        <w:t xml:space="preserve">los servicios </w:t>
      </w:r>
      <w:r w:rsidR="00545D1B" w:rsidRPr="00742A04">
        <w:rPr>
          <w:i/>
        </w:rPr>
        <w:t>socia</w:t>
      </w:r>
      <w:r w:rsidR="002F0DC7" w:rsidRPr="00742A04">
        <w:rPr>
          <w:i/>
        </w:rPr>
        <w:t>les y</w:t>
      </w:r>
      <w:r w:rsidR="00545D1B" w:rsidRPr="00742A04">
        <w:rPr>
          <w:i/>
        </w:rPr>
        <w:t xml:space="preserve"> </w:t>
      </w:r>
      <w:r w:rsidR="002F0DC7" w:rsidRPr="00742A04">
        <w:rPr>
          <w:i/>
        </w:rPr>
        <w:t>de salud</w:t>
      </w:r>
    </w:p>
    <w:p w:rsidR="00545D1B" w:rsidRPr="00742A04" w:rsidRDefault="00BB4DB1" w:rsidP="00D42876">
      <w:pPr>
        <w:pStyle w:val="SingleTxt"/>
        <w:ind w:firstLine="475"/>
      </w:pPr>
      <w:r w:rsidRPr="00742A04">
        <w:t>Las autoridades</w:t>
      </w:r>
      <w:r w:rsidR="00545D1B" w:rsidRPr="00742A04">
        <w:t xml:space="preserve"> </w:t>
      </w:r>
      <w:r w:rsidR="00FD7D4E" w:rsidRPr="00742A04">
        <w:t>a</w:t>
      </w:r>
      <w:r w:rsidR="00545D1B" w:rsidRPr="00742A04">
        <w:t>clar</w:t>
      </w:r>
      <w:r w:rsidR="00FD7D4E" w:rsidRPr="00742A04">
        <w:t>arán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D7D4E"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 </w:t>
      </w:r>
      <w:r w:rsidR="0030626A" w:rsidRPr="00742A04">
        <w:t>a</w:t>
      </w:r>
      <w:r w:rsidR="00FD7D4E" w:rsidRPr="00742A04">
        <w:t xml:space="preserve"> los</w:t>
      </w:r>
      <w:r w:rsidR="00545D1B" w:rsidRPr="00742A04">
        <w:t xml:space="preserve"> </w:t>
      </w:r>
      <w:r w:rsidR="00FD7D4E" w:rsidRPr="00742A04">
        <w:t>servicios sociales y de salud</w:t>
      </w:r>
      <w:r w:rsidR="00545D1B" w:rsidRPr="00742A04">
        <w:t xml:space="preserve"> </w:t>
      </w:r>
      <w:r w:rsidR="005E2D7A" w:rsidRPr="00742A04">
        <w:t xml:space="preserve">en relación con </w:t>
      </w:r>
      <w:r w:rsidR="00FD7D4E" w:rsidRPr="00742A04">
        <w:t>su condición en materia de</w:t>
      </w:r>
      <w:r w:rsidR="00545D1B" w:rsidRPr="00742A04">
        <w:t xml:space="preserve"> resid</w:t>
      </w:r>
      <w:r w:rsidR="00FF575F" w:rsidRPr="00742A04">
        <w:t>encia</w:t>
      </w:r>
      <w:r w:rsidR="00FD7D4E" w:rsidRPr="00742A04">
        <w:t xml:space="preserve"> y su acceso a dichos servicios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2004,</w:t>
      </w:r>
      <w:r w:rsidR="00FD7D4E" w:rsidRPr="00742A04">
        <w:t xml:space="preserve"> se puso en marcha</w:t>
      </w:r>
      <w:r w:rsidR="00545D1B" w:rsidRPr="00742A04">
        <w:t xml:space="preserve"> </w:t>
      </w:r>
      <w:r w:rsidR="0077058E" w:rsidRPr="00742A04">
        <w:t>un proye</w:t>
      </w:r>
      <w:r w:rsidR="0077058E" w:rsidRPr="00742A04">
        <w:t>c</w:t>
      </w:r>
      <w:r w:rsidR="0077058E" w:rsidRPr="00742A04">
        <w:t>to</w:t>
      </w:r>
      <w:r w:rsidR="00545D1B" w:rsidRPr="00742A04">
        <w:t xml:space="preserve"> </w:t>
      </w:r>
      <w:r w:rsidR="00FD7D4E" w:rsidRPr="00742A04">
        <w:t>para ensayar</w:t>
      </w:r>
      <w:r w:rsidR="00545D1B" w:rsidRPr="00742A04">
        <w:t xml:space="preserve"> </w:t>
      </w:r>
      <w:r w:rsidR="00FD7D4E" w:rsidRPr="00742A04">
        <w:t>un modelo</w:t>
      </w:r>
      <w:r w:rsidR="00545D1B" w:rsidRPr="00742A04">
        <w:t xml:space="preserve"> </w:t>
      </w:r>
      <w:r w:rsidR="00FD7D4E" w:rsidRPr="00742A04">
        <w:t>de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="00FD7D4E" w:rsidRPr="00742A04">
        <w:t xml:space="preserve">pueden </w:t>
      </w:r>
      <w:r w:rsidR="00B31D97" w:rsidRPr="00742A04">
        <w:t>los servicios</w:t>
      </w:r>
      <w:r w:rsidR="00545D1B" w:rsidRPr="00742A04">
        <w:t xml:space="preserve"> </w:t>
      </w:r>
      <w:r w:rsidR="00FD7D4E" w:rsidRPr="00742A04">
        <w:t>sociales brindar la</w:t>
      </w:r>
      <w:r w:rsidR="00545D1B" w:rsidRPr="00742A04">
        <w:t xml:space="preserve"> </w:t>
      </w:r>
      <w:r w:rsidR="00CE7870" w:rsidRPr="00742A04">
        <w:t>ayuda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D7D4E" w:rsidRPr="00742A04">
        <w:t xml:space="preserve">el </w:t>
      </w:r>
      <w:r w:rsidR="008A0C75" w:rsidRPr="00742A04">
        <w:t>seguimiento</w:t>
      </w:r>
      <w:r w:rsidR="00545D1B" w:rsidRPr="00742A04">
        <w:t xml:space="preserve"> </w:t>
      </w:r>
      <w:r w:rsidR="00FD7D4E" w:rsidRPr="00742A04">
        <w:t xml:space="preserve">necesarios </w:t>
      </w:r>
      <w:r w:rsidR="00F43124" w:rsidRPr="00742A04">
        <w:t>para</w:t>
      </w:r>
      <w:r w:rsidR="00545D1B" w:rsidRPr="00742A04">
        <w:t xml:space="preserve"> </w:t>
      </w:r>
      <w:r w:rsidR="00FD7D4E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. </w:t>
      </w:r>
      <w:r w:rsidR="00FD7D4E" w:rsidRPr="00742A04">
        <w:t>Los servicios d</w:t>
      </w:r>
      <w:r w:rsidR="00545D1B" w:rsidRPr="00742A04">
        <w:t xml:space="preserve">e </w:t>
      </w:r>
      <w:r w:rsidR="008A0C75" w:rsidRPr="00742A04">
        <w:t>seguimiento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pr</w:t>
      </w:r>
      <w:r w:rsidR="00FD7D4E" w:rsidRPr="00742A04">
        <w:t>estados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FD7D4E" w:rsidRPr="00742A04">
        <w:t>un</w:t>
      </w:r>
      <w:r w:rsidR="00545D1B" w:rsidRPr="00742A04">
        <w:t xml:space="preserve">a </w:t>
      </w:r>
      <w:r w:rsidR="00FD7D4E" w:rsidRPr="00742A04">
        <w:t>determinada oficina de asistencia social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Oslo, </w:t>
      </w:r>
      <w:r w:rsidR="00E575DB" w:rsidRPr="00742A04">
        <w:t>que</w:t>
      </w:r>
      <w:r w:rsidR="00545D1B" w:rsidRPr="00742A04">
        <w:t xml:space="preserve"> </w:t>
      </w:r>
      <w:r w:rsidR="00FD7D4E" w:rsidRPr="00742A04">
        <w:t>asistió a</w:t>
      </w:r>
      <w:r w:rsidR="00545D1B" w:rsidRPr="00742A04">
        <w:t xml:space="preserve"> 11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2005. </w:t>
      </w:r>
      <w:r w:rsidR="00FD7D4E" w:rsidRPr="00742A04">
        <w:t>Este</w:t>
      </w:r>
      <w:r w:rsidR="00545D1B" w:rsidRPr="00742A04">
        <w:t xml:space="preserve"> </w:t>
      </w:r>
      <w:r w:rsidR="00100BD0" w:rsidRPr="00742A04">
        <w:t>proyecto</w:t>
      </w:r>
      <w:r w:rsidR="00545D1B" w:rsidRPr="00742A04">
        <w:t xml:space="preserve"> </w:t>
      </w:r>
      <w:r w:rsidRPr="00742A04">
        <w:t>es</w:t>
      </w:r>
      <w:r w:rsidR="00FD7D4E" w:rsidRPr="00742A04">
        <w:t>tá ayudando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FD7D4E" w:rsidRPr="00742A04">
        <w:t xml:space="preserve">determinar </w:t>
      </w:r>
      <w:r w:rsidR="003E5775" w:rsidRPr="00742A04">
        <w:t>las necesidades</w:t>
      </w:r>
      <w:r w:rsidR="00FD7D4E" w:rsidRPr="00742A04">
        <w:t xml:space="preserve"> de </w:t>
      </w:r>
      <w:r w:rsidR="00501E95" w:rsidRPr="00742A04">
        <w:t>las víctimas de la trata de seres humanos</w:t>
      </w:r>
      <w:r w:rsidR="00545D1B" w:rsidRPr="00742A04">
        <w:t xml:space="preserve"> </w:t>
      </w:r>
      <w:r w:rsidR="00FD7D4E" w:rsidRPr="00742A04">
        <w:t>en materia 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>asiste</w:t>
      </w:r>
      <w:r w:rsidR="00502E16" w:rsidRPr="00742A04">
        <w:t>n</w:t>
      </w:r>
      <w:r w:rsidR="00502E16" w:rsidRPr="00742A04">
        <w:t>cia</w:t>
      </w:r>
      <w:r w:rsidR="00FD7D4E" w:rsidRPr="00742A04">
        <w:t xml:space="preserve"> social</w:t>
      </w:r>
      <w:r w:rsidR="00545D1B" w:rsidRPr="00742A04">
        <w:t>.</w:t>
      </w:r>
    </w:p>
    <w:p w:rsidR="00545D1B" w:rsidRPr="00742A04" w:rsidRDefault="0059357E" w:rsidP="00586B79">
      <w:pPr>
        <w:pStyle w:val="SingleTxt"/>
        <w:keepNext/>
        <w:rPr>
          <w:i/>
        </w:rPr>
      </w:pPr>
      <w:r w:rsidRPr="00742A04">
        <w:rPr>
          <w:i/>
        </w:rPr>
        <w:t>Vivienda segura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</w:t>
      </w:r>
      <w:r w:rsidR="00072AD7" w:rsidRPr="00742A04">
        <w:rPr>
          <w:i/>
        </w:rPr>
        <w:t>mujeres</w:t>
      </w:r>
      <w:r w:rsidR="00545D1B" w:rsidRPr="00742A04">
        <w:rPr>
          <w:i/>
        </w:rPr>
        <w:t xml:space="preserve"> </w:t>
      </w:r>
      <w:r w:rsidR="00502E16" w:rsidRPr="00742A04">
        <w:rPr>
          <w:i/>
        </w:rPr>
        <w:t>víctimas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 xml:space="preserve">de la </w:t>
      </w:r>
      <w:r w:rsidR="00D515FC" w:rsidRPr="00742A04">
        <w:rPr>
          <w:i/>
        </w:rPr>
        <w:t>trata de seres humanos</w:t>
      </w:r>
    </w:p>
    <w:p w:rsidR="00545D1B" w:rsidRPr="00742A04" w:rsidRDefault="004A0730" w:rsidP="00D42876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="00FD7D4E" w:rsidRPr="00742A04">
        <w:t>proporciona financiación para proyectos</w:t>
      </w:r>
      <w:r w:rsidR="00545D1B" w:rsidRPr="00742A04">
        <w:t xml:space="preserve"> </w:t>
      </w:r>
      <w:r w:rsidR="00FD7D4E" w:rsidRPr="00742A04">
        <w:t>de</w:t>
      </w:r>
      <w:r w:rsidR="00545D1B" w:rsidRPr="00742A04">
        <w:t xml:space="preserve"> </w:t>
      </w:r>
      <w:r w:rsidR="007D36C8" w:rsidRPr="00742A04">
        <w:t xml:space="preserve">la </w:t>
      </w:r>
      <w:r w:rsidR="00FB34C1" w:rsidRPr="00742A04">
        <w:t>Secr</w:t>
      </w:r>
      <w:r w:rsidR="00FB34C1" w:rsidRPr="00742A04">
        <w:t>e</w:t>
      </w:r>
      <w:r w:rsidR="00FB34C1" w:rsidRPr="00742A04">
        <w:t xml:space="preserve">taría </w:t>
      </w:r>
      <w:r w:rsidR="00C076F2" w:rsidRPr="00742A04">
        <w:t xml:space="preserve">de los </w:t>
      </w:r>
      <w:r w:rsidR="005C19C7" w:rsidRPr="00742A04">
        <w:t>Centros de Crisis</w:t>
      </w:r>
      <w:r w:rsidR="00FD7D4E" w:rsidRPr="00742A04">
        <w:t>,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FD7D4E" w:rsidRPr="00742A04">
        <w:t>ha iniciado</w:t>
      </w:r>
      <w:r w:rsidR="00545D1B" w:rsidRPr="00742A04">
        <w:t xml:space="preserve"> </w:t>
      </w:r>
      <w:r w:rsidR="0077058E" w:rsidRPr="00742A04">
        <w:t>un proyecto</w:t>
      </w:r>
      <w:r w:rsidR="00545D1B" w:rsidRPr="00742A04">
        <w:t xml:space="preserve"> </w:t>
      </w:r>
      <w:r w:rsidR="00FD7D4E" w:rsidRPr="00742A04">
        <w:t>destinado a proporcionar</w:t>
      </w:r>
      <w:r w:rsidR="00545D1B" w:rsidRPr="00742A04">
        <w:t xml:space="preserve"> </w:t>
      </w:r>
      <w:r w:rsidR="0059357E" w:rsidRPr="00742A04">
        <w:t>v</w:t>
      </w:r>
      <w:r w:rsidR="0059357E" w:rsidRPr="00742A04">
        <w:t>i</w:t>
      </w:r>
      <w:r w:rsidR="0059357E" w:rsidRPr="00742A04">
        <w:t>vienda segura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>s</w:t>
      </w:r>
      <w:r w:rsidR="00FD7D4E" w:rsidRPr="00742A04">
        <w:t xml:space="preserve"> de</w:t>
      </w:r>
      <w:r w:rsidR="00545D1B" w:rsidRPr="00742A04">
        <w:t xml:space="preserve"> </w:t>
      </w:r>
      <w:r w:rsidR="00FD7D4E" w:rsidRPr="00742A04">
        <w:t xml:space="preserve">reasentamiento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. </w:t>
      </w:r>
      <w:r w:rsidR="00495D7B" w:rsidRPr="00742A04">
        <w:t>Uno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FD7D4E" w:rsidRPr="00742A04">
        <w:t>los objetivos</w:t>
      </w:r>
      <w:r w:rsidR="00545D1B" w:rsidRPr="00742A04">
        <w:t xml:space="preserve"> </w:t>
      </w:r>
      <w:r w:rsidR="0077058E" w:rsidRPr="00742A04">
        <w:t>del proyecto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FD7D4E" w:rsidRPr="00742A04">
        <w:t>se denomina</w:t>
      </w:r>
      <w:r w:rsidR="00545D1B" w:rsidRPr="00742A04">
        <w:t xml:space="preserve"> ROSA, </w:t>
      </w:r>
      <w:r w:rsidR="00FD7D4E" w:rsidRPr="00742A04">
        <w:t>consiste en</w:t>
      </w:r>
      <w:r w:rsidR="00545D1B" w:rsidRPr="00742A04">
        <w:t xml:space="preserve"> </w:t>
      </w:r>
      <w:r w:rsidR="00FD7D4E" w:rsidRPr="00742A04">
        <w:t>asistir a</w:t>
      </w:r>
      <w:r w:rsidR="00545D1B" w:rsidRPr="00742A04">
        <w:t xml:space="preserve"> </w:t>
      </w:r>
      <w:r w:rsidR="00BB4DB1" w:rsidRPr="00742A04">
        <w:t>las autoridades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E655D" w:rsidRPr="00742A04">
        <w:t>a otros</w:t>
      </w:r>
      <w:r w:rsidR="00586B79">
        <w:t xml:space="preserve"> actores</w:t>
      </w:r>
      <w:r w:rsidR="00545D1B" w:rsidRPr="00742A04">
        <w:t xml:space="preserve"> </w:t>
      </w:r>
      <w:r w:rsidR="00AE655D" w:rsidRPr="00742A04">
        <w:t>a encontrar</w:t>
      </w:r>
      <w:r w:rsidR="00545D1B" w:rsidRPr="00742A04">
        <w:t xml:space="preserve"> </w:t>
      </w:r>
      <w:r w:rsidR="0059357E" w:rsidRPr="00742A04">
        <w:t>vivienda</w:t>
      </w:r>
      <w:r w:rsidR="00AE655D" w:rsidRPr="00742A04">
        <w:t>s</w:t>
      </w:r>
      <w:r w:rsidR="0059357E" w:rsidRPr="00742A04">
        <w:t xml:space="preserve"> segura</w:t>
      </w:r>
      <w:r w:rsidR="00AE655D" w:rsidRPr="00742A04">
        <w:t>s</w:t>
      </w:r>
      <w:r w:rsidR="00545D1B" w:rsidRPr="00742A04">
        <w:t xml:space="preserve"> </w:t>
      </w:r>
      <w:r w:rsidR="00AE655D" w:rsidRPr="00742A04">
        <w:t>que se adapten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E5775" w:rsidRPr="00742A04">
        <w:t>las necesidades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AE655D" w:rsidRPr="00742A04">
        <w:t>los distintos usuarios</w:t>
      </w:r>
      <w:r w:rsidR="00545D1B" w:rsidRPr="00742A04">
        <w:t xml:space="preserve">. </w:t>
      </w:r>
      <w:r w:rsidR="00AE655D" w:rsidRPr="00742A04">
        <w:t>Se han establecido nueve casas de seguridad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AE655D" w:rsidRPr="00742A04">
        <w:t>se encargan de hacer el seguimiento de</w:t>
      </w:r>
      <w:r w:rsidR="00545D1B" w:rsidRPr="00742A04">
        <w:t xml:space="preserve"> </w:t>
      </w:r>
      <w:r w:rsidR="00AE655D" w:rsidRPr="00742A04">
        <w:t>las víctimas</w:t>
      </w:r>
      <w:r w:rsidR="00545D1B" w:rsidRPr="00742A04">
        <w:t xml:space="preserve"> </w:t>
      </w:r>
      <w:r w:rsidR="003315C7" w:rsidRPr="00742A04">
        <w:t>d</w:t>
      </w:r>
      <w:r w:rsidR="003315C7" w:rsidRPr="00742A04">
        <w:t>u</w:t>
      </w:r>
      <w:r w:rsidR="003315C7" w:rsidRPr="00742A04">
        <w:t>rante</w:t>
      </w:r>
      <w:r w:rsidR="00545D1B" w:rsidRPr="00742A04">
        <w:t xml:space="preserve"> </w:t>
      </w:r>
      <w:r w:rsidR="00AE655D" w:rsidRPr="00742A04">
        <w:t>la fase d</w:t>
      </w:r>
      <w:r w:rsidR="00545D1B" w:rsidRPr="00742A04">
        <w:t xml:space="preserve">e </w:t>
      </w:r>
      <w:r w:rsidR="00FD7D4E" w:rsidRPr="00742A04">
        <w:t>reasentamiento</w:t>
      </w:r>
      <w:r w:rsidR="00545D1B" w:rsidRPr="00742A04">
        <w:t xml:space="preserve">. </w:t>
      </w:r>
      <w:r w:rsidRPr="00742A04">
        <w:t>En</w:t>
      </w:r>
      <w:r w:rsidR="00545D1B" w:rsidRPr="00742A04">
        <w:t xml:space="preserve"> 2005, 18 </w:t>
      </w:r>
      <w:r w:rsidR="00072AD7" w:rsidRPr="00742A04">
        <w:t>mujeres</w:t>
      </w:r>
      <w:r w:rsidR="00545D1B" w:rsidRPr="00742A04">
        <w:t xml:space="preserve"> </w:t>
      </w:r>
      <w:r w:rsidR="00AE655D" w:rsidRPr="00742A04">
        <w:t>aceptaron</w:t>
      </w:r>
      <w:r w:rsidR="00545D1B" w:rsidRPr="00742A04">
        <w:t xml:space="preserve"> </w:t>
      </w:r>
      <w:r w:rsidR="00AE655D" w:rsidRPr="00742A04">
        <w:t xml:space="preserve">el </w:t>
      </w:r>
      <w:r w:rsidR="009C08FB" w:rsidRPr="00742A04">
        <w:t>ofrecimiento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9357E" w:rsidRPr="00742A04">
        <w:t>vivienda segura</w:t>
      </w:r>
      <w:r w:rsidR="00545D1B" w:rsidRPr="00742A04">
        <w:t xml:space="preserve"> </w:t>
      </w:r>
      <w:r w:rsidR="00AE655D" w:rsidRPr="00742A04">
        <w:t>con arreglo al</w:t>
      </w:r>
      <w:r w:rsidR="00545D1B" w:rsidRPr="00742A04">
        <w:t xml:space="preserve"> </w:t>
      </w:r>
      <w:r w:rsidR="0077058E" w:rsidRPr="00742A04">
        <w:t>proyecto</w:t>
      </w:r>
      <w:r w:rsidR="009C08FB" w:rsidRPr="00742A04">
        <w:t xml:space="preserve"> ROSA</w:t>
      </w:r>
      <w:r w:rsidR="00545D1B" w:rsidRPr="00742A04">
        <w:t xml:space="preserve">. </w:t>
      </w:r>
      <w:r w:rsidR="009C08FB" w:rsidRPr="00742A04">
        <w:t xml:space="preserve">Dicho </w:t>
      </w:r>
      <w:r w:rsidR="00EF5B12" w:rsidRPr="00742A04">
        <w:t>proyecto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9C08FB" w:rsidRPr="00742A04">
        <w:t>está enca</w:t>
      </w:r>
      <w:r w:rsidR="009C08FB" w:rsidRPr="00742A04">
        <w:t>r</w:t>
      </w:r>
      <w:r w:rsidR="009C08FB" w:rsidRPr="00742A04">
        <w:t>gado de un</w:t>
      </w:r>
      <w:r w:rsidR="002F0DC7" w:rsidRPr="00742A04">
        <w:t xml:space="preserve"> </w:t>
      </w:r>
      <w:r w:rsidR="009C08FB" w:rsidRPr="00742A04">
        <w:t xml:space="preserve">servicio telefónico de </w:t>
      </w:r>
      <w:r w:rsidR="00545D1B" w:rsidRPr="00742A04">
        <w:t>informa</w:t>
      </w:r>
      <w:r w:rsidR="00C14BFF" w:rsidRPr="00742A04">
        <w:t xml:space="preserve">ción </w:t>
      </w:r>
      <w:r w:rsidR="009C08FB" w:rsidRPr="00742A04">
        <w:t>durante las 24 horas del día que bri</w:t>
      </w:r>
      <w:r w:rsidR="009C08FB" w:rsidRPr="00742A04">
        <w:t>n</w:t>
      </w:r>
      <w:r w:rsidR="009C08FB" w:rsidRPr="00742A04">
        <w:t>da</w:t>
      </w:r>
      <w:r w:rsidR="00545D1B" w:rsidRPr="00742A04">
        <w:t xml:space="preserve"> </w:t>
      </w:r>
      <w:r w:rsidR="00CE7870" w:rsidRPr="00742A04">
        <w:t>ayuda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>asesoramiento</w:t>
      </w:r>
      <w:r w:rsidR="00545D1B" w:rsidRPr="00742A04">
        <w:t xml:space="preserve"> </w:t>
      </w:r>
      <w:r w:rsidR="009C08FB" w:rsidRPr="00742A04">
        <w:t>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 xml:space="preserve">las demás </w:t>
      </w:r>
      <w:r w:rsidR="00B82A08" w:rsidRPr="00742A04">
        <w:t>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9C08FB" w:rsidRPr="00742A04">
        <w:t>entran en</w:t>
      </w:r>
      <w:r w:rsidR="00545D1B" w:rsidRPr="00742A04">
        <w:t xml:space="preserve"> </w:t>
      </w:r>
      <w:r w:rsidR="00802868" w:rsidRPr="00742A04">
        <w:t>co</w:t>
      </w:r>
      <w:r w:rsidR="00802868" w:rsidRPr="00742A04">
        <w:t>n</w:t>
      </w:r>
      <w:r w:rsidR="00802868" w:rsidRPr="00742A04">
        <w:t>tacto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EF5B12" w:rsidRPr="00742A04">
        <w:t>la víctima</w:t>
      </w:r>
      <w:r w:rsidR="00545D1B" w:rsidRPr="00742A04">
        <w:t>.</w:t>
      </w:r>
    </w:p>
    <w:p w:rsidR="00545D1B" w:rsidRPr="00742A04" w:rsidRDefault="0059357E" w:rsidP="002C4922">
      <w:pPr>
        <w:pStyle w:val="SingleTxt"/>
        <w:rPr>
          <w:i/>
        </w:rPr>
      </w:pPr>
      <w:r w:rsidRPr="00742A04">
        <w:rPr>
          <w:i/>
        </w:rPr>
        <w:t>Vivienda segura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</w:t>
      </w:r>
      <w:r w:rsidR="00D515FC" w:rsidRPr="00742A04">
        <w:rPr>
          <w:i/>
        </w:rPr>
        <w:t>niños víctimas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 xml:space="preserve">de la </w:t>
      </w:r>
      <w:r w:rsidR="00D515FC" w:rsidRPr="00742A04">
        <w:rPr>
          <w:i/>
        </w:rPr>
        <w:t>trata de seres humanos</w:t>
      </w:r>
    </w:p>
    <w:p w:rsidR="00545D1B" w:rsidRPr="00742A04" w:rsidRDefault="009C08FB" w:rsidP="00D42876">
      <w:pPr>
        <w:pStyle w:val="SingleTxt"/>
        <w:ind w:firstLine="475"/>
      </w:pPr>
      <w:r w:rsidRPr="00742A04">
        <w:t xml:space="preserve">Las necesidades de los </w:t>
      </w:r>
      <w:r w:rsidR="00EF5B12" w:rsidRPr="00742A04">
        <w:t>ñiños en</w:t>
      </w:r>
      <w:r w:rsidRPr="00742A04">
        <w:t xml:space="preserve"> materia de</w:t>
      </w:r>
      <w:r w:rsidR="00545D1B" w:rsidRPr="00742A04">
        <w:t xml:space="preserve"> </w:t>
      </w:r>
      <w:r w:rsidR="0059357E" w:rsidRPr="00742A04">
        <w:t>vivienda segura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A0C75" w:rsidRPr="00742A04">
        <w:t>seguimiento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E573DD" w:rsidRPr="00742A04">
        <w:t>satisfechas mediante</w:t>
      </w:r>
      <w:r w:rsidR="00545D1B" w:rsidRPr="00742A04">
        <w:t xml:space="preserve"> </w:t>
      </w:r>
      <w:r w:rsidR="00E573DD" w:rsidRPr="00742A04">
        <w:t>los esfuerzos conjuntos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573DD" w:rsidRPr="00742A04">
        <w:t>los servicios locales</w:t>
      </w:r>
      <w:r w:rsidR="006D7D2F" w:rsidRPr="00742A04">
        <w:t xml:space="preserve"> de bienestar i</w:t>
      </w:r>
      <w:r w:rsidR="006D7D2F" w:rsidRPr="00742A04">
        <w:t>n</w:t>
      </w:r>
      <w:r w:rsidR="006D7D2F" w:rsidRPr="00742A04">
        <w:t>fantil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D36C8" w:rsidRPr="00742A04">
        <w:t>la Dirección de la Infancia, la Juventud y los Asuntos de Familia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E573DD" w:rsidRPr="00742A04">
        <w:t>otros ó</w:t>
      </w:r>
      <w:r w:rsidR="00E573DD" w:rsidRPr="00742A04">
        <w:t>r</w:t>
      </w:r>
      <w:r w:rsidR="00E573DD" w:rsidRPr="00742A04">
        <w:t>ganos pertinentes</w:t>
      </w:r>
      <w:r w:rsidR="00545D1B" w:rsidRPr="00742A04">
        <w:t xml:space="preserve">. </w:t>
      </w:r>
      <w:r w:rsidR="00EF5B12" w:rsidRPr="00742A04">
        <w:t xml:space="preserve">Se está en vías de redactar una circular </w:t>
      </w:r>
      <w:r w:rsidR="00EF5B12">
        <w:t>en la</w:t>
      </w:r>
      <w:r w:rsidR="00EF5B12" w:rsidRPr="00742A04">
        <w:t xml:space="preserve"> que se detallarán la función y las competencias del servicio de bienestar infantil en el seguimiento de los menores víctimas de la trata de seres humanos. </w:t>
      </w:r>
      <w:r w:rsidR="00E573DD" w:rsidRPr="00742A04">
        <w:t xml:space="preserve">En la </w:t>
      </w:r>
      <w:r w:rsidR="00545D1B" w:rsidRPr="00742A04">
        <w:t xml:space="preserve">circular </w:t>
      </w:r>
      <w:r w:rsidR="0030626A" w:rsidRPr="00742A04">
        <w:t>también</w:t>
      </w:r>
      <w:r w:rsidR="00545D1B" w:rsidRPr="00742A04">
        <w:t xml:space="preserve"> </w:t>
      </w:r>
      <w:r w:rsidR="00E573DD" w:rsidRPr="00742A04">
        <w:t xml:space="preserve">se </w:t>
      </w:r>
      <w:r w:rsidR="00545D1B" w:rsidRPr="00742A04">
        <w:t>describ</w:t>
      </w:r>
      <w:r w:rsidR="00E573DD" w:rsidRPr="00742A04">
        <w:t>irán las competencias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6412" w:rsidRPr="00742A04">
        <w:t xml:space="preserve">otros </w:t>
      </w:r>
      <w:r w:rsidR="00311327" w:rsidRPr="00742A04">
        <w:t>servicios de apoyo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02E16" w:rsidRPr="00742A04">
        <w:t>víctimas</w:t>
      </w:r>
      <w:r w:rsidR="00E573DD" w:rsidRPr="00742A04">
        <w:t xml:space="preserve"> menores de edad</w:t>
      </w:r>
      <w:r w:rsidR="00545D1B" w:rsidRPr="00742A04">
        <w:t xml:space="preserve">. </w:t>
      </w:r>
      <w:r w:rsidR="00BB4DB1" w:rsidRPr="00742A04">
        <w:t>Las autoridades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E573DD" w:rsidRPr="00742A04">
        <w:t>están en vías de organizar</w:t>
      </w:r>
      <w:r w:rsidR="00545D1B" w:rsidRPr="00742A04">
        <w:t xml:space="preserve"> </w:t>
      </w:r>
      <w:r w:rsidR="00E573DD" w:rsidRPr="00742A04">
        <w:t>conferencias regionales</w:t>
      </w:r>
      <w:r w:rsidR="00545D1B" w:rsidRPr="00742A04">
        <w:t xml:space="preserve"> </w:t>
      </w:r>
      <w:r w:rsidR="00E573DD" w:rsidRPr="00742A04">
        <w:t>par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</w:t>
      </w:r>
      <w:r w:rsidR="00242371" w:rsidRPr="00742A04">
        <w:t>e</w:t>
      </w:r>
      <w:r w:rsidR="00242371" w:rsidRPr="00742A04">
        <w:t>mentar</w:t>
      </w:r>
      <w:r w:rsidR="00545D1B" w:rsidRPr="00742A04">
        <w:t xml:space="preserve"> </w:t>
      </w:r>
      <w:r w:rsidR="004F2F8A" w:rsidRPr="00742A04">
        <w:t xml:space="preserve">la </w:t>
      </w:r>
      <w:r w:rsidR="00242371" w:rsidRPr="00742A04">
        <w:t>capaci</w:t>
      </w:r>
      <w:r w:rsidR="00E573DD" w:rsidRPr="00742A04">
        <w:t>tación</w:t>
      </w:r>
      <w:r w:rsidR="00545D1B" w:rsidRPr="00742A04">
        <w:t xml:space="preserve"> </w:t>
      </w:r>
      <w:r w:rsidR="00E573DD" w:rsidRPr="00742A04">
        <w:t>del personal</w:t>
      </w:r>
      <w:r w:rsidR="00545D1B" w:rsidRPr="00742A04">
        <w:t xml:space="preserve"> </w:t>
      </w:r>
      <w:r w:rsidR="00E573DD" w:rsidRPr="00742A04">
        <w:t xml:space="preserve">de los servicios de apoyo </w:t>
      </w:r>
      <w:r w:rsidR="003E5775" w:rsidRPr="00742A04">
        <w:t>que</w:t>
      </w:r>
      <w:r w:rsidR="00545D1B" w:rsidRPr="00742A04">
        <w:t xml:space="preserve"> </w:t>
      </w:r>
      <w:r w:rsidR="00E573DD" w:rsidRPr="00742A04">
        <w:t>entre en</w:t>
      </w:r>
      <w:r w:rsidR="00545D1B" w:rsidRPr="00742A04">
        <w:t xml:space="preserve"> </w:t>
      </w:r>
      <w:r w:rsidR="00802868" w:rsidRPr="00742A04">
        <w:t>contacto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32F2A" w:rsidRPr="00742A04">
        <w:t>menores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. </w:t>
      </w:r>
      <w:r w:rsidR="00E573DD" w:rsidRPr="00742A04">
        <w:t>El Estado reembolsa los gastos</w:t>
      </w:r>
      <w:r w:rsidR="00545D1B" w:rsidRPr="00742A04">
        <w:t xml:space="preserve"> municipal</w:t>
      </w:r>
      <w:r w:rsidR="00E573DD" w:rsidRPr="00742A04">
        <w:t>es</w:t>
      </w:r>
      <w:r w:rsidR="00545D1B" w:rsidRPr="00742A04">
        <w:t xml:space="preserve"> </w:t>
      </w:r>
      <w:r w:rsidR="00E573DD" w:rsidRPr="00742A04">
        <w:t>para</w:t>
      </w:r>
      <w:r w:rsidR="00545D1B" w:rsidRPr="00742A04">
        <w:t xml:space="preserve"> </w:t>
      </w:r>
      <w:r w:rsidR="00E573DD" w:rsidRPr="00742A04">
        <w:t>medidas de bienestar infantil</w:t>
      </w:r>
      <w:r w:rsidR="002B1E05" w:rsidRPr="00742A04">
        <w:t xml:space="preserve"> destinadas a los menores de edad ví</w:t>
      </w:r>
      <w:r w:rsidR="002B1E05" w:rsidRPr="00742A04">
        <w:t>c</w:t>
      </w:r>
      <w:r w:rsidR="002B1E05" w:rsidRPr="00742A04">
        <w:t>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>.</w:t>
      </w:r>
    </w:p>
    <w:p w:rsidR="00545D1B" w:rsidRPr="00742A04" w:rsidRDefault="002B1E05" w:rsidP="00E573DD">
      <w:pPr>
        <w:pStyle w:val="SingleTxt"/>
        <w:keepNext/>
        <w:rPr>
          <w:i/>
        </w:rPr>
      </w:pPr>
      <w:r w:rsidRPr="00742A04">
        <w:rPr>
          <w:i/>
        </w:rPr>
        <w:t>Protección de los testigos</w:t>
      </w:r>
    </w:p>
    <w:p w:rsidR="00545D1B" w:rsidRPr="00742A04" w:rsidRDefault="005D2D07" w:rsidP="00D42876">
      <w:pPr>
        <w:pStyle w:val="SingleTxt"/>
        <w:ind w:firstLine="475"/>
      </w:pPr>
      <w:r w:rsidRPr="00742A04">
        <w:t>La Dirección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D4DF1" w:rsidRPr="00742A04">
        <w:t>Policía</w:t>
      </w:r>
      <w:r w:rsidR="00545D1B" w:rsidRPr="00742A04">
        <w:t xml:space="preserve"> </w:t>
      </w:r>
      <w:r w:rsidR="00912890" w:rsidRPr="00742A04">
        <w:t>ha elaborado</w:t>
      </w:r>
      <w:r w:rsidR="00545D1B" w:rsidRPr="00742A04">
        <w:t xml:space="preserve"> </w:t>
      </w:r>
      <w:r w:rsidR="00834309" w:rsidRPr="00742A04">
        <w:t>directrices nacionales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B1E05" w:rsidRPr="00742A04">
        <w:t>la protección</w:t>
      </w:r>
      <w:r w:rsidR="00C14BFF" w:rsidRPr="00742A04">
        <w:t xml:space="preserve"> </w:t>
      </w:r>
      <w:r w:rsidR="00C076F2" w:rsidRPr="00742A04">
        <w:t xml:space="preserve">de los </w:t>
      </w:r>
      <w:r w:rsidR="00963214" w:rsidRPr="00742A04">
        <w:t>testigos</w:t>
      </w:r>
      <w:r w:rsidR="00545D1B" w:rsidRPr="00742A04">
        <w:t xml:space="preserve">. </w:t>
      </w:r>
      <w:r w:rsidR="004B1620" w:rsidRPr="00742A04">
        <w:t>Con arreglo a dichas</w:t>
      </w:r>
      <w:r w:rsidR="00545D1B" w:rsidRPr="00742A04">
        <w:t xml:space="preserve"> </w:t>
      </w:r>
      <w:r w:rsidR="008A25D7" w:rsidRPr="00742A04">
        <w:t>directrices</w:t>
      </w:r>
      <w:r w:rsidR="00545D1B" w:rsidRPr="00742A04">
        <w:t xml:space="preserve">, </w:t>
      </w:r>
      <w:r w:rsidR="00FC59C5" w:rsidRPr="00742A04">
        <w:t>la policía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5775" w:rsidRPr="00742A04">
        <w:t>el ministerio público</w:t>
      </w:r>
      <w:r w:rsidR="00545D1B" w:rsidRPr="00742A04">
        <w:t xml:space="preserve"> </w:t>
      </w:r>
      <w:r w:rsidR="004B1620" w:rsidRPr="00742A04">
        <w:t>deben</w:t>
      </w:r>
      <w:r w:rsidR="00545D1B" w:rsidRPr="00742A04">
        <w:t xml:space="preserve"> consider</w:t>
      </w:r>
      <w:r w:rsidR="004B1620" w:rsidRPr="00742A04">
        <w:t>ar</w:t>
      </w:r>
      <w:r w:rsidR="00545D1B" w:rsidRPr="00742A04">
        <w:t xml:space="preserve"> </w:t>
      </w:r>
      <w:r w:rsidR="004B1620" w:rsidRPr="00742A04">
        <w:t>las posibilidades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11327" w:rsidRPr="00742A04">
        <w:t>amenazas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E5EBF" w:rsidRPr="00742A04">
        <w:t>represalias</w:t>
      </w:r>
      <w:r w:rsidR="00545D1B" w:rsidRPr="00742A04">
        <w:t xml:space="preserve">. </w:t>
      </w:r>
      <w:r w:rsidR="004B1620" w:rsidRPr="00742A04">
        <w:t>También se ha est</w:t>
      </w:r>
      <w:r w:rsidR="004B1620" w:rsidRPr="00742A04">
        <w:t>a</w:t>
      </w:r>
      <w:r w:rsidR="004B1620" w:rsidRPr="00742A04">
        <w:t>blecido un programa de</w:t>
      </w:r>
      <w:r w:rsidR="005C39D4" w:rsidRPr="00742A04">
        <w:t xml:space="preserve"> protección de los testigos</w:t>
      </w:r>
      <w:r w:rsidR="00545D1B" w:rsidRPr="00742A04">
        <w:t>.</w:t>
      </w:r>
    </w:p>
    <w:p w:rsidR="00545D1B" w:rsidRPr="00742A04" w:rsidRDefault="002B1E05" w:rsidP="002C4922">
      <w:pPr>
        <w:pStyle w:val="SingleTxt"/>
        <w:rPr>
          <w:i/>
        </w:rPr>
      </w:pPr>
      <w:r w:rsidRPr="00742A04">
        <w:rPr>
          <w:i/>
        </w:rPr>
        <w:t>Asistencia jurídica</w:t>
      </w:r>
    </w:p>
    <w:p w:rsidR="00545D1B" w:rsidRPr="00742A04" w:rsidRDefault="0059357E" w:rsidP="00D42876">
      <w:pPr>
        <w:pStyle w:val="SingleTxt"/>
        <w:ind w:firstLine="475"/>
      </w:pPr>
      <w:r w:rsidRPr="00742A04">
        <w:t>Las 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 </w:t>
      </w:r>
      <w:r w:rsidR="0093592B" w:rsidRPr="00742A04">
        <w:t>también 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B63DF" w:rsidRPr="00742A04">
        <w:t>asistencia jurídica</w:t>
      </w:r>
      <w:r w:rsidR="00545D1B" w:rsidRPr="00742A04">
        <w:t xml:space="preserve"> </w:t>
      </w:r>
      <w:r w:rsidR="004B1620" w:rsidRPr="00742A04">
        <w:t>con arreglo a</w:t>
      </w:r>
      <w:r w:rsidR="005D2D07" w:rsidRPr="00742A04">
        <w:t>l sistema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B1620" w:rsidRPr="00742A04">
        <w:t>asesoramiento jurídico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C54BB" w:rsidRPr="00742A04">
        <w:t xml:space="preserve">las personas </w:t>
      </w:r>
      <w:r w:rsidR="00C451B6" w:rsidRPr="00742A04">
        <w:t>agravi</w:t>
      </w:r>
      <w:r w:rsidR="001C54BB" w:rsidRPr="00742A04">
        <w:t>a</w:t>
      </w:r>
      <w:r w:rsidR="001C54BB" w:rsidRPr="00742A04">
        <w:t>das</w:t>
      </w:r>
      <w:r w:rsidR="00545D1B" w:rsidRPr="00742A04">
        <w:t xml:space="preserve"> </w:t>
      </w:r>
      <w:r w:rsidR="008E5EBF" w:rsidRPr="00742A04">
        <w:t>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8B63DF" w:rsidRPr="00742A04">
        <w:t>Ley sobre Asistencia Jurídica Gratuita</w:t>
      </w:r>
      <w:r w:rsidR="00545D1B" w:rsidRPr="00742A04">
        <w:t xml:space="preserve">. </w:t>
      </w:r>
      <w:r w:rsidR="004B1620" w:rsidRPr="00742A04">
        <w:t xml:space="preserve">Ello </w:t>
      </w:r>
      <w:r w:rsidR="00D3378F" w:rsidRPr="00742A04">
        <w:t>significa que</w:t>
      </w:r>
      <w:r w:rsidR="00545D1B" w:rsidRPr="00742A04">
        <w:t xml:space="preserve"> </w:t>
      </w:r>
      <w:r w:rsidR="0038081E" w:rsidRPr="00742A04">
        <w:t>los costos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B1620" w:rsidRPr="00742A04">
        <w:t xml:space="preserve">la </w:t>
      </w:r>
      <w:r w:rsidR="006E0918" w:rsidRPr="00742A04">
        <w:t>asistencia jurídica</w:t>
      </w:r>
      <w:r w:rsidR="00545D1B" w:rsidRPr="00742A04">
        <w:t xml:space="preserve"> </w:t>
      </w:r>
      <w:r w:rsidR="004B1620" w:rsidRPr="00742A04">
        <w:t xml:space="preserve">serán sufragados en todo </w:t>
      </w:r>
      <w:r w:rsidR="008E5EBF" w:rsidRPr="00742A04">
        <w:t>o</w:t>
      </w:r>
      <w:r w:rsidR="00545D1B" w:rsidRPr="00742A04">
        <w:t xml:space="preserve"> </w:t>
      </w:r>
      <w:r w:rsidR="005F7B32" w:rsidRPr="00742A04">
        <w:t>en parte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5532F5" w:rsidRPr="00742A04">
        <w:t>el Est</w:t>
      </w:r>
      <w:r w:rsidR="005532F5" w:rsidRPr="00742A04">
        <w:t>a</w:t>
      </w:r>
      <w:r w:rsidR="005532F5" w:rsidRPr="00742A04">
        <w:t>do</w:t>
      </w:r>
      <w:r w:rsidR="00545D1B" w:rsidRPr="00742A04">
        <w:t>.</w:t>
      </w:r>
    </w:p>
    <w:p w:rsidR="00545D1B" w:rsidRPr="00742A04" w:rsidRDefault="004B1620" w:rsidP="00D42876">
      <w:pPr>
        <w:pStyle w:val="SingleTxt"/>
        <w:ind w:firstLine="475"/>
      </w:pPr>
      <w:r w:rsidRPr="00742A04">
        <w:t>En la actualidad</w:t>
      </w:r>
      <w:r w:rsidR="00A93B9E" w:rsidRPr="00742A04">
        <w:t xml:space="preserve">, </w:t>
      </w:r>
      <w:r w:rsidR="00501E95" w:rsidRPr="00742A04">
        <w:t>las víctimas de la trata de seres humanos</w:t>
      </w:r>
      <w:r w:rsidR="00545D1B" w:rsidRPr="00742A04">
        <w:t xml:space="preserve"> </w:t>
      </w:r>
      <w:r w:rsidRPr="00742A04">
        <w:t>podrán obtener</w:t>
      </w:r>
      <w:r w:rsidR="00545D1B" w:rsidRPr="00742A04">
        <w:t xml:space="preserve"> </w:t>
      </w:r>
      <w:r w:rsidRPr="00742A04">
        <w:t>as</w:t>
      </w:r>
      <w:r w:rsidRPr="00742A04">
        <w:t>e</w:t>
      </w:r>
      <w:r w:rsidRPr="00742A04">
        <w:t>soramiento jurídico</w:t>
      </w:r>
      <w:r w:rsidR="00545D1B" w:rsidRPr="00742A04">
        <w:t xml:space="preserve"> </w:t>
      </w:r>
      <w:r w:rsidRPr="00742A04">
        <w:t>en calidad de</w:t>
      </w:r>
      <w:r w:rsidR="00C451B6" w:rsidRPr="00742A04">
        <w:t xml:space="preserve"> persona</w:t>
      </w:r>
      <w:r w:rsidRPr="00742A04">
        <w:t>s</w:t>
      </w:r>
      <w:r w:rsidR="00C451B6" w:rsidRPr="00742A04">
        <w:t xml:space="preserve"> agraviada</w:t>
      </w:r>
      <w:r w:rsidRPr="00742A04">
        <w:t>s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586B79">
        <w:t>h</w:t>
      </w:r>
      <w:r w:rsidR="00394F2F" w:rsidRPr="00742A04">
        <w:t>ay razones para</w:t>
      </w:r>
      <w:r w:rsidR="00982243" w:rsidRPr="00742A04">
        <w:t xml:space="preserve"> creer</w:t>
      </w:r>
      <w:r w:rsidR="00545D1B" w:rsidRPr="00742A04">
        <w:t xml:space="preserve"> </w:t>
      </w:r>
      <w:r w:rsidRPr="00742A04">
        <w:t xml:space="preserve">que </w:t>
      </w:r>
      <w:r w:rsidR="006B65CD" w:rsidRPr="00742A04">
        <w:t>como resultado</w:t>
      </w:r>
      <w:r w:rsidR="00545D1B" w:rsidRPr="00742A04">
        <w:t xml:space="preserve"> </w:t>
      </w:r>
      <w:r w:rsidRPr="00742A04">
        <w:t>del acto delictivo sufrirán</w:t>
      </w:r>
      <w:r w:rsidR="00545D1B" w:rsidRPr="00742A04">
        <w:t xml:space="preserve"> </w:t>
      </w:r>
      <w:r w:rsidRPr="00742A04">
        <w:t xml:space="preserve">un daño </w:t>
      </w:r>
      <w:r w:rsidR="00545D1B" w:rsidRPr="00742A04">
        <w:t xml:space="preserve">considerable </w:t>
      </w:r>
      <w:r w:rsidRPr="00742A04">
        <w:t>en el cuerpo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 xml:space="preserve">la </w:t>
      </w:r>
      <w:r w:rsidR="00B83FEB" w:rsidRPr="00742A04">
        <w:t>s</w:t>
      </w:r>
      <w:r w:rsidR="00B83FEB" w:rsidRPr="00742A04">
        <w:t>a</w:t>
      </w:r>
      <w:r w:rsidR="00B83FEB" w:rsidRPr="00742A04">
        <w:t>lud</w:t>
      </w:r>
      <w:r w:rsidR="006137EC" w:rsidRPr="00742A04">
        <w:t>; véase</w:t>
      </w:r>
      <w:r w:rsidR="00545D1B" w:rsidRPr="00742A04">
        <w:t xml:space="preserve"> </w:t>
      </w:r>
      <w:r w:rsidRPr="00742A04">
        <w:t>la segunda oración del párrafo primero d</w:t>
      </w:r>
      <w:r w:rsidR="00831F07" w:rsidRPr="00742A04">
        <w:t xml:space="preserve">el artículo </w:t>
      </w:r>
      <w:r w:rsidRPr="00742A04">
        <w:t xml:space="preserve">107 </w:t>
      </w:r>
      <w:r w:rsidRPr="00742A04">
        <w:rPr>
          <w:i/>
        </w:rPr>
        <w:t>a</w:t>
      </w:r>
      <w:r w:rsidR="00545D1B" w:rsidRPr="00742A04">
        <w:t xml:space="preserve"> </w:t>
      </w:r>
      <w:r w:rsidR="00F43124" w:rsidRPr="00742A04">
        <w:t xml:space="preserve">de la </w:t>
      </w:r>
      <w:r w:rsidR="00963214" w:rsidRPr="00742A04">
        <w:t xml:space="preserve">Ley </w:t>
      </w:r>
      <w:r w:rsidR="008B63DF" w:rsidRPr="00742A04">
        <w:t>de Procedimiento Penal</w:t>
      </w:r>
      <w:r w:rsidR="00545D1B" w:rsidRPr="00742A04">
        <w:t xml:space="preserve">, </w:t>
      </w:r>
      <w:r w:rsidR="008E5EBF" w:rsidRPr="00742A04">
        <w:t>o</w:t>
      </w:r>
      <w:r w:rsidR="00545D1B" w:rsidRPr="00742A04">
        <w:t xml:space="preserve"> </w:t>
      </w:r>
      <w:r w:rsidR="007D66F2" w:rsidRPr="00742A04">
        <w:t>en caso</w:t>
      </w:r>
      <w:r w:rsidR="00FD7D4E" w:rsidRPr="00742A04">
        <w:t xml:space="preserve"> de </w:t>
      </w:r>
      <w:r w:rsidR="00545D1B" w:rsidRPr="00742A04">
        <w:t>viola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495D7B" w:rsidRPr="00742A04">
        <w:t>un</w:t>
      </w:r>
      <w:r w:rsidR="005D0AB0" w:rsidRPr="00742A04">
        <w:t>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D0AB0" w:rsidRPr="00742A04">
        <w:t xml:space="preserve">las </w:t>
      </w:r>
      <w:r w:rsidR="00980475" w:rsidRPr="00742A04">
        <w:t>disposiciones</w:t>
      </w:r>
      <w:r w:rsidR="00545D1B" w:rsidRPr="00742A04">
        <w:t xml:space="preserve"> </w:t>
      </w:r>
      <w:r w:rsidR="005D0AB0" w:rsidRPr="00742A04">
        <w:t>aplicables al procedimiento penal comprendidas en</w:t>
      </w:r>
      <w:r w:rsidR="00545D1B" w:rsidRPr="00742A04">
        <w:t xml:space="preserve"> </w:t>
      </w:r>
      <w:r w:rsidR="005D2D07" w:rsidRPr="00742A04">
        <w:t>el sistema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D0AB0" w:rsidRPr="00742A04">
        <w:t>asesoramiento jurídico para las personas agraviadas</w:t>
      </w:r>
      <w:r w:rsidR="00545D1B" w:rsidRPr="00742A04">
        <w:t xml:space="preserve">, </w:t>
      </w:r>
      <w:r w:rsidR="005D0AB0" w:rsidRPr="00742A04">
        <w:t>por ejemplo,</w:t>
      </w:r>
      <w:r w:rsidR="00545D1B" w:rsidRPr="00742A04">
        <w:t xml:space="preserve"> </w:t>
      </w:r>
      <w:r w:rsidR="00831F07" w:rsidRPr="00742A04">
        <w:t xml:space="preserve">el artículo </w:t>
      </w:r>
      <w:r w:rsidR="00545D1B" w:rsidRPr="00742A04">
        <w:t xml:space="preserve">192 </w:t>
      </w:r>
      <w:r w:rsidR="00072AD7" w:rsidRPr="00742A04">
        <w:t>relativ</w:t>
      </w:r>
      <w:r w:rsidR="005D0AB0" w:rsidRPr="00742A04">
        <w:t>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544B38" w:rsidRPr="00742A04">
        <w:t>violación</w:t>
      </w:r>
      <w:r w:rsidR="00545D1B" w:rsidRPr="00742A04">
        <w:t xml:space="preserve">. </w:t>
      </w:r>
      <w:r w:rsidR="005D0AB0" w:rsidRPr="00742A04">
        <w:t>El</w:t>
      </w:r>
      <w:r w:rsidR="00545D1B" w:rsidRPr="00742A04">
        <w:t xml:space="preserve"> </w:t>
      </w:r>
      <w:r w:rsidR="00B83FEB" w:rsidRPr="00742A04">
        <w:t>der</w:t>
      </w:r>
      <w:r w:rsidR="00B83FEB" w:rsidRPr="00742A04">
        <w:t>e</w:t>
      </w:r>
      <w:r w:rsidR="00B83FEB" w:rsidRPr="00742A04">
        <w:t>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D0AB0" w:rsidRPr="00742A04">
        <w:t>asesoramiento jurídico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C451B6" w:rsidRPr="00742A04">
        <w:t>la</w:t>
      </w:r>
      <w:r w:rsidRPr="00742A04">
        <w:t>s</w:t>
      </w:r>
      <w:r w:rsidR="00C451B6" w:rsidRPr="00742A04">
        <w:t xml:space="preserve"> persona</w:t>
      </w:r>
      <w:r w:rsidRPr="00742A04">
        <w:t>s</w:t>
      </w:r>
      <w:r w:rsidR="00C451B6" w:rsidRPr="00742A04">
        <w:t xml:space="preserve"> agraviada</w:t>
      </w:r>
      <w:r w:rsidRPr="00742A04">
        <w:t>s</w:t>
      </w:r>
      <w:r w:rsidR="00545D1B" w:rsidRPr="00742A04">
        <w:t xml:space="preserve"> </w:t>
      </w:r>
      <w:r w:rsidR="008E5EBF" w:rsidRPr="00742A04">
        <w:t>se aplica</w:t>
      </w:r>
      <w:r w:rsidR="00975FBB">
        <w:t xml:space="preserve"> desde el </w:t>
      </w:r>
      <w:r w:rsidRPr="00742A04">
        <w:t>mome</w:t>
      </w:r>
      <w:r w:rsidRPr="00742A04">
        <w:t>n</w:t>
      </w:r>
      <w:r w:rsidRPr="00742A04">
        <w:t>to en que se denuncia el delito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C59C5" w:rsidRPr="00742A04">
        <w:t>pol</w:t>
      </w:r>
      <w:r w:rsidR="00FC59C5" w:rsidRPr="00742A04">
        <w:t>i</w:t>
      </w:r>
      <w:r w:rsidR="00FC59C5" w:rsidRPr="00742A04">
        <w:t>cía</w:t>
      </w:r>
      <w:r w:rsidR="00545D1B" w:rsidRPr="00742A04">
        <w:t>.</w:t>
      </w:r>
    </w:p>
    <w:p w:rsidR="00545D1B" w:rsidRPr="00742A04" w:rsidRDefault="005D2D07" w:rsidP="00D42876">
      <w:pPr>
        <w:pStyle w:val="SingleTxt"/>
        <w:ind w:firstLine="475"/>
      </w:pPr>
      <w:r w:rsidRPr="00742A04">
        <w:t>El sistema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D0AB0" w:rsidRPr="00742A04">
        <w:t>asesoramiento jurídico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C451B6" w:rsidRPr="00742A04">
        <w:t>la persona agraviada</w:t>
      </w:r>
      <w:r w:rsidR="00545D1B" w:rsidRPr="00742A04">
        <w:t xml:space="preserve"> </w:t>
      </w:r>
      <w:r w:rsidR="00BB4DB1" w:rsidRPr="00742A04">
        <w:t>es</w:t>
      </w:r>
      <w:r w:rsidR="005D0AB0" w:rsidRPr="00742A04">
        <w:t>tá compl</w:t>
      </w:r>
      <w:r w:rsidR="005D0AB0" w:rsidRPr="00742A04">
        <w:t>e</w:t>
      </w:r>
      <w:r w:rsidR="005D0AB0" w:rsidRPr="00742A04">
        <w:t>mentado por</w:t>
      </w:r>
      <w:r w:rsidR="00545D1B" w:rsidRPr="00742A04">
        <w:t xml:space="preserve"> </w:t>
      </w:r>
      <w:r w:rsidR="005D0AB0" w:rsidRPr="00742A04">
        <w:t>el</w:t>
      </w:r>
      <w:r w:rsidR="00545D1B" w:rsidRPr="00742A04">
        <w:t xml:space="preserve"> </w:t>
      </w:r>
      <w:r w:rsidR="005D0AB0" w:rsidRPr="00742A04">
        <w:t xml:space="preserve">programa de </w:t>
      </w:r>
      <w:r w:rsidR="008B63DF" w:rsidRPr="00742A04">
        <w:t>asistencia jurídica gratuita</w:t>
      </w:r>
      <w:r w:rsidR="00545D1B" w:rsidRPr="00742A04">
        <w:t xml:space="preserve">. </w:t>
      </w:r>
      <w:r w:rsidR="005D0AB0" w:rsidRPr="00742A04">
        <w:t>Con arreglo a este</w:t>
      </w:r>
      <w:r w:rsidR="00545D1B" w:rsidRPr="00742A04">
        <w:t xml:space="preserve"> </w:t>
      </w:r>
      <w:r w:rsidR="00F43124" w:rsidRPr="00742A04">
        <w:t>progr</w:t>
      </w:r>
      <w:r w:rsidR="00F43124" w:rsidRPr="00742A04">
        <w:t>a</w:t>
      </w:r>
      <w:r w:rsidR="00F43124" w:rsidRPr="00742A04">
        <w:t>ma</w:t>
      </w:r>
      <w:r w:rsidR="00545D1B" w:rsidRPr="00742A04">
        <w:t xml:space="preserve">, </w:t>
      </w:r>
      <w:r w:rsidR="005D0AB0"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02E16" w:rsidRPr="00742A04">
        <w:t>asistencia</w:t>
      </w:r>
      <w:r w:rsidR="005D0AB0" w:rsidRPr="00742A04">
        <w:t xml:space="preserve"> gratuita</w:t>
      </w:r>
      <w:r w:rsidR="00FD7D4E" w:rsidRPr="00742A04">
        <w:t xml:space="preserve"> de </w:t>
      </w:r>
      <w:r w:rsidR="005D0AB0" w:rsidRPr="00742A04">
        <w:t>un abogado aunque el delito no sea denunciado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C59C5" w:rsidRPr="00742A04">
        <w:t>policía</w:t>
      </w:r>
      <w:r w:rsidR="00545D1B" w:rsidRPr="00742A04">
        <w:t xml:space="preserve">. </w:t>
      </w:r>
      <w:r w:rsidR="005E603B" w:rsidRPr="00742A04">
        <w:t xml:space="preserve">Con arreglo al </w:t>
      </w:r>
      <w:r w:rsidR="005D0AB0" w:rsidRPr="00742A04">
        <w:t xml:space="preserve">párrafo segundo del </w:t>
      </w:r>
      <w:r w:rsidR="005E603B" w:rsidRPr="00742A04">
        <w:t>art</w:t>
      </w:r>
      <w:r w:rsidR="005E603B" w:rsidRPr="00742A04">
        <w:t>í</w:t>
      </w:r>
      <w:r w:rsidR="005E603B" w:rsidRPr="00742A04">
        <w:t xml:space="preserve">culo </w:t>
      </w:r>
      <w:r w:rsidR="00545D1B" w:rsidRPr="00742A04">
        <w:t xml:space="preserve">6 </w:t>
      </w:r>
      <w:r w:rsidR="004A0730" w:rsidRPr="00742A04">
        <w:t>de</w:t>
      </w:r>
      <w:r w:rsidR="005D0AB0" w:rsidRPr="00742A04">
        <w:t xml:space="preserve"> la Ley sobr</w:t>
      </w:r>
      <w:r w:rsidR="00545D1B" w:rsidRPr="00742A04">
        <w:t xml:space="preserve">e </w:t>
      </w:r>
      <w:r w:rsidR="002B1E05" w:rsidRPr="00742A04">
        <w:t>Asis</w:t>
      </w:r>
      <w:r w:rsidR="005D0AB0" w:rsidRPr="00742A04">
        <w:t>tencia J</w:t>
      </w:r>
      <w:r w:rsidR="002B1E05" w:rsidRPr="00742A04">
        <w:t>urídica</w:t>
      </w:r>
      <w:r w:rsidR="00545D1B" w:rsidRPr="00742A04">
        <w:t xml:space="preserve">,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="009B122F" w:rsidRPr="00742A04">
        <w:t>ha establecido</w:t>
      </w:r>
      <w:r w:rsidR="00545D1B" w:rsidRPr="00742A04">
        <w:t xml:space="preserve"> </w:t>
      </w:r>
      <w:r w:rsidR="005D0AB0" w:rsidRPr="00742A04">
        <w:t>un</w:t>
      </w:r>
      <w:r w:rsidR="00545D1B" w:rsidRPr="00742A04">
        <w:t xml:space="preserve"> </w:t>
      </w:r>
      <w:r w:rsidR="005D0AB0" w:rsidRPr="00742A04">
        <w:t xml:space="preserve">servicio </w:t>
      </w:r>
      <w:r w:rsidR="00E574AD" w:rsidRPr="00742A04">
        <w:t>especial</w:t>
      </w:r>
      <w:r w:rsidR="00545D1B" w:rsidRPr="00742A04">
        <w:t xml:space="preserve"> </w:t>
      </w:r>
      <w:r w:rsidR="005D0AB0" w:rsidRPr="00742A04">
        <w:t xml:space="preserve">de </w:t>
      </w:r>
      <w:r w:rsidR="008B63DF" w:rsidRPr="00742A04">
        <w:t>asistencia jurídica</w:t>
      </w:r>
      <w:r w:rsidR="00545D1B" w:rsidRPr="00742A04">
        <w:t xml:space="preserve"> </w:t>
      </w:r>
      <w:r w:rsidR="005D0AB0" w:rsidRPr="00742A04">
        <w:t>para prestar asistencia a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E2883" w:rsidRPr="00742A04">
        <w:t>abuso doméstico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B035F">
        <w:t xml:space="preserve">la </w:t>
      </w:r>
      <w:r w:rsidR="005D0AB0" w:rsidRPr="00742A04">
        <w:t>denuncia del delito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FC59C5" w:rsidRPr="00742A04">
        <w:t>policía</w:t>
      </w:r>
      <w:r w:rsidR="00545D1B" w:rsidRPr="00742A04">
        <w:t xml:space="preserve">, </w:t>
      </w:r>
      <w:r w:rsidR="005D0AB0" w:rsidRPr="00742A04">
        <w:t xml:space="preserve">las entrevistas </w:t>
      </w:r>
      <w:r w:rsidR="00ED4DF1" w:rsidRPr="00742A04">
        <w:t>polic</w:t>
      </w:r>
      <w:r w:rsidR="005D0AB0" w:rsidRPr="00742A04">
        <w:t>iales</w:t>
      </w:r>
      <w:r w:rsidR="00545D1B" w:rsidRPr="00742A04">
        <w:t xml:space="preserve">, etc. </w:t>
      </w:r>
      <w:r w:rsidR="005D0AB0" w:rsidRPr="00742A04">
        <w:t>Dicho</w:t>
      </w:r>
      <w:r w:rsidR="00545D1B" w:rsidRPr="00742A04">
        <w:t xml:space="preserve"> </w:t>
      </w:r>
      <w:r w:rsidR="009C08FB" w:rsidRPr="00742A04">
        <w:t>servicio</w:t>
      </w:r>
      <w:r w:rsidR="00545D1B" w:rsidRPr="00742A04">
        <w:t xml:space="preserve"> </w:t>
      </w:r>
      <w:r w:rsidR="005D0AB0" w:rsidRPr="00742A04">
        <w:t>comprende la</w:t>
      </w:r>
      <w:r w:rsidR="00545D1B" w:rsidRPr="00742A04">
        <w:t xml:space="preserve"> </w:t>
      </w:r>
      <w:r w:rsidR="00502E16" w:rsidRPr="00742A04">
        <w:t>asistencia</w:t>
      </w:r>
      <w:r w:rsidR="00FD7D4E" w:rsidRPr="00742A04">
        <w:t xml:space="preserve"> de </w:t>
      </w:r>
      <w:r w:rsidR="005D0AB0" w:rsidRPr="00742A04">
        <w:t>abogado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82A08" w:rsidRPr="00742A04">
        <w:t>personas</w:t>
      </w:r>
      <w:r w:rsidR="00545D1B" w:rsidRPr="00742A04">
        <w:t xml:space="preserve"> </w:t>
      </w:r>
      <w:r w:rsidR="00AD0883" w:rsidRPr="00742A04">
        <w:t>t</w:t>
      </w:r>
      <w:r w:rsidR="00AD0883" w:rsidRPr="00742A04">
        <w:t>a</w:t>
      </w:r>
      <w:r w:rsidR="00AD0883" w:rsidRPr="00742A04">
        <w:t>les como</w:t>
      </w:r>
      <w:r w:rsidR="00545D1B" w:rsidRPr="00742A04">
        <w:t xml:space="preserve"> </w:t>
      </w:r>
      <w:r w:rsidR="005D0AB0" w:rsidRPr="00742A04">
        <w:t xml:space="preserve">las </w:t>
      </w:r>
      <w:r w:rsidR="00BA0349" w:rsidRPr="00742A04">
        <w:t>prostituta</w:t>
      </w:r>
      <w:r w:rsidR="00545D1B" w:rsidRPr="00742A04">
        <w:t xml:space="preserve">s </w:t>
      </w:r>
      <w:r w:rsidR="003E5775" w:rsidRPr="00742A04">
        <w:t>que</w:t>
      </w:r>
      <w:r w:rsidR="00545D1B" w:rsidRPr="00742A04">
        <w:t xml:space="preserve"> </w:t>
      </w:r>
      <w:r w:rsidR="00D479CA" w:rsidRPr="00742A04">
        <w:t>han estado sometidas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, </w:t>
      </w:r>
      <w:r w:rsidR="00311327" w:rsidRPr="00742A04">
        <w:t>amenazas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coerc</w:t>
      </w:r>
      <w:r w:rsidR="005E6919" w:rsidRPr="00742A04">
        <w:t xml:space="preserve">ión </w:t>
      </w:r>
      <w:r w:rsidR="001167D2" w:rsidRPr="00742A04">
        <w:t>por</w:t>
      </w:r>
      <w:r w:rsidR="00545D1B" w:rsidRPr="00742A04">
        <w:t xml:space="preserve"> </w:t>
      </w:r>
      <w:r w:rsidR="005D0AB0" w:rsidRPr="00742A04">
        <w:t>parte de clientes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5D0AB0" w:rsidRPr="00742A04">
        <w:t>proxenetas</w:t>
      </w:r>
      <w:r w:rsidR="00545D1B" w:rsidRPr="00742A04">
        <w:t>.</w:t>
      </w:r>
    </w:p>
    <w:p w:rsidR="00545D1B" w:rsidRPr="00742A04" w:rsidRDefault="005D0AB0" w:rsidP="002C4922">
      <w:pPr>
        <w:pStyle w:val="SingleTxt"/>
        <w:rPr>
          <w:i/>
        </w:rPr>
      </w:pPr>
      <w:r w:rsidRPr="00742A04">
        <w:rPr>
          <w:i/>
        </w:rPr>
        <w:t>Dependencia de</w:t>
      </w:r>
      <w:r w:rsidR="00545D1B" w:rsidRPr="00742A04">
        <w:rPr>
          <w:i/>
        </w:rPr>
        <w:t xml:space="preserve"> coordina</w:t>
      </w:r>
      <w:r w:rsidR="00C14BFF" w:rsidRPr="00742A04">
        <w:rPr>
          <w:i/>
        </w:rPr>
        <w:t xml:space="preserve">ción </w:t>
      </w:r>
      <w:r w:rsidRPr="00742A04">
        <w:rPr>
          <w:i/>
        </w:rPr>
        <w:t xml:space="preserve">nacional </w:t>
      </w:r>
      <w:r w:rsidR="004A0730" w:rsidRPr="00742A04">
        <w:rPr>
          <w:i/>
        </w:rPr>
        <w:t>de</w:t>
      </w:r>
      <w:r w:rsidR="00545D1B" w:rsidRPr="00742A04">
        <w:rPr>
          <w:i/>
        </w:rPr>
        <w:t xml:space="preserve"> </w:t>
      </w:r>
      <w:r w:rsidRPr="00742A04">
        <w:rPr>
          <w:i/>
        </w:rPr>
        <w:t xml:space="preserve">la </w:t>
      </w:r>
      <w:r w:rsidR="00502E16" w:rsidRPr="00742A04">
        <w:rPr>
          <w:i/>
        </w:rPr>
        <w:t>asistencia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Pr="00742A04">
        <w:rPr>
          <w:i/>
        </w:rPr>
        <w:t xml:space="preserve"> la</w:t>
      </w:r>
      <w:r w:rsidR="00545D1B" w:rsidRPr="00742A04">
        <w:rPr>
          <w:i/>
        </w:rPr>
        <w:t xml:space="preserve"> protec</w:t>
      </w:r>
      <w:r w:rsidRPr="00742A04">
        <w:rPr>
          <w:i/>
        </w:rPr>
        <w:t>ció</w:t>
      </w:r>
      <w:r w:rsidR="00545D1B" w:rsidRPr="00742A04">
        <w:rPr>
          <w:i/>
        </w:rPr>
        <w:t>n</w:t>
      </w:r>
    </w:p>
    <w:p w:rsidR="00545D1B" w:rsidRPr="00742A04" w:rsidRDefault="00B77758" w:rsidP="00D42876">
      <w:pPr>
        <w:pStyle w:val="SingleTxt"/>
        <w:ind w:firstLine="475"/>
      </w:pPr>
      <w:r w:rsidRPr="00742A04">
        <w:t>Se establecerá un</w:t>
      </w:r>
      <w:r w:rsidR="00545D1B" w:rsidRPr="00742A04">
        <w:t xml:space="preserve"> </w:t>
      </w:r>
      <w:r w:rsidR="009B122F" w:rsidRPr="00742A04">
        <w:t>proyecto piloto</w:t>
      </w:r>
      <w:r w:rsidR="00545D1B" w:rsidRPr="00742A04">
        <w:t xml:space="preserve"> </w:t>
      </w:r>
      <w:r w:rsidRPr="00742A04">
        <w:t xml:space="preserve">intersectorial </w:t>
      </w:r>
      <w:r w:rsidR="004A0730" w:rsidRPr="00742A04">
        <w:t>con</w:t>
      </w:r>
      <w:r w:rsidR="00545D1B" w:rsidRPr="00742A04">
        <w:t xml:space="preserve"> </w:t>
      </w:r>
      <w:r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5364F" w:rsidRPr="00742A04">
        <w:t>asegurar</w:t>
      </w:r>
      <w:r w:rsidR="00811B7C" w:rsidRPr="00742A04">
        <w:t xml:space="preserve"> que</w:t>
      </w:r>
      <w:r w:rsidR="00545D1B" w:rsidRPr="00742A04">
        <w:t xml:space="preserve"> </w:t>
      </w:r>
      <w:r w:rsidR="00811B7C" w:rsidRPr="00742A04">
        <w:t xml:space="preserve">dentro </w:t>
      </w:r>
      <w:r w:rsidR="00EF5B12" w:rsidRPr="00742A04">
        <w:t>de los servicios públicos y no gubernamentales o voluntarios</w:t>
      </w:r>
      <w:r w:rsidR="00811B7C" w:rsidRPr="00742A04">
        <w:t xml:space="preserve"> existentes se pongan en marcha</w:t>
      </w:r>
      <w:r w:rsidR="00545D1B" w:rsidRPr="00742A04">
        <w:t xml:space="preserve"> </w:t>
      </w:r>
      <w:r w:rsidR="00B31D97" w:rsidRPr="00742A04">
        <w:t>los servicios</w:t>
      </w:r>
      <w:r w:rsidR="00545D1B" w:rsidRPr="00742A04">
        <w:t xml:space="preserve"> </w:t>
      </w:r>
      <w:r w:rsidR="00811B7C" w:rsidRPr="00742A04">
        <w:t xml:space="preserve">pertinentes </w:t>
      </w:r>
      <w:r w:rsidR="002B035F">
        <w:t>de</w:t>
      </w:r>
      <w:r w:rsidR="00146C41" w:rsidRPr="00742A04">
        <w:t xml:space="preserve"> </w:t>
      </w:r>
      <w:r w:rsidR="007D406D" w:rsidRPr="00742A04">
        <w:t xml:space="preserve">prestación </w:t>
      </w:r>
      <w:r w:rsidR="002B035F">
        <w:t>de</w:t>
      </w:r>
      <w:r w:rsidR="00811B7C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prote</w:t>
      </w:r>
      <w:r w:rsidR="00545D1B" w:rsidRPr="00742A04">
        <w:t>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811B7C"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. </w:t>
      </w:r>
      <w:r w:rsidR="004F2F8A" w:rsidRPr="00742A04">
        <w:t>Este tipo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prote</w:t>
      </w:r>
      <w:r w:rsidR="00545D1B" w:rsidRPr="00742A04">
        <w:t>c</w:t>
      </w:r>
      <w:r w:rsidR="00C14BFF" w:rsidRPr="00742A04">
        <w:t xml:space="preserve">ción </w:t>
      </w:r>
      <w:r w:rsidR="00BB4DB1" w:rsidRPr="00742A04">
        <w:t>es</w:t>
      </w:r>
      <w:r w:rsidR="00545D1B" w:rsidRPr="00742A04">
        <w:t xml:space="preserve"> </w:t>
      </w:r>
      <w:r w:rsidR="007E0DFE" w:rsidRPr="00742A04">
        <w:t>esencial</w:t>
      </w:r>
      <w:r w:rsidR="00545D1B" w:rsidRPr="00742A04">
        <w:t xml:space="preserve"> </w:t>
      </w:r>
      <w:r w:rsidR="00811B7C" w:rsidRPr="00742A04">
        <w:t>para que las</w:t>
      </w:r>
      <w:r w:rsidR="00545D1B" w:rsidRPr="00742A04">
        <w:t xml:space="preserve"> </w:t>
      </w:r>
      <w:r w:rsidR="00502E16" w:rsidRPr="00742A04">
        <w:t>víctimas</w:t>
      </w:r>
      <w:r w:rsidR="00545D1B" w:rsidRPr="00742A04">
        <w:t xml:space="preserve"> </w:t>
      </w:r>
      <w:r w:rsidR="00811B7C" w:rsidRPr="00742A04">
        <w:t>se manifiesten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11B7C" w:rsidRPr="00742A04">
        <w:t>declaren como testigos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811B7C" w:rsidRPr="00742A04">
        <w:t>los organizadores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. </w:t>
      </w:r>
      <w:r w:rsidR="00811B7C" w:rsidRPr="00742A04">
        <w:t>Mediante e</w:t>
      </w:r>
      <w:r w:rsidR="002213CF" w:rsidRPr="00742A04">
        <w:t>l proyecto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811B7C" w:rsidRPr="00742A04">
        <w:t>se elaborarán</w:t>
      </w:r>
      <w:r w:rsidR="00545D1B" w:rsidRPr="00742A04">
        <w:t xml:space="preserve"> </w:t>
      </w:r>
      <w:r w:rsidR="00811B7C" w:rsidRPr="00742A04">
        <w:t>nuevos</w:t>
      </w:r>
      <w:r w:rsidR="00545D1B" w:rsidRPr="00742A04">
        <w:t xml:space="preserve"> </w:t>
      </w:r>
      <w:r w:rsidR="00811B7C" w:rsidRPr="00742A04">
        <w:t>instrumentos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167D2" w:rsidRPr="00742A04">
        <w:t>sistema</w:t>
      </w:r>
      <w:r w:rsidR="00545D1B" w:rsidRPr="00742A04">
        <w:t xml:space="preserve">s </w:t>
      </w:r>
      <w:r w:rsidR="00F43124" w:rsidRPr="00742A04">
        <w:t>para</w:t>
      </w:r>
      <w:r w:rsidR="00545D1B" w:rsidRPr="00742A04">
        <w:t xml:space="preserve"> </w:t>
      </w:r>
      <w:r w:rsidR="00811B7C" w:rsidRPr="00742A04">
        <w:t>cumplir</w:t>
      </w:r>
      <w:r w:rsidR="00545D1B" w:rsidRPr="00742A04">
        <w:t xml:space="preserve"> </w:t>
      </w:r>
      <w:r w:rsidR="00811B7C" w:rsidRPr="00742A04">
        <w:t xml:space="preserve">las obligaciones </w:t>
      </w:r>
      <w:r w:rsidR="00F13355" w:rsidRPr="00742A04">
        <w:t>nacion</w:t>
      </w:r>
      <w:r w:rsidR="00F13355" w:rsidRPr="00742A04">
        <w:t>a</w:t>
      </w:r>
      <w:r w:rsidR="00F13355" w:rsidRPr="00742A04">
        <w:t>l</w:t>
      </w:r>
      <w:r w:rsidR="00811B7C" w:rsidRPr="00742A04">
        <w:t>es</w:t>
      </w:r>
      <w:r w:rsidR="002E5047" w:rsidRPr="00742A04">
        <w:t xml:space="preserve"> e i</w:t>
      </w:r>
      <w:r w:rsidR="001167D2" w:rsidRPr="00742A04">
        <w:t>nternacional</w:t>
      </w:r>
      <w:r w:rsidR="00811B7C" w:rsidRPr="00742A04">
        <w:t>es</w:t>
      </w:r>
      <w:r w:rsidR="00545D1B" w:rsidRPr="00742A04">
        <w:t xml:space="preserve"> </w:t>
      </w:r>
      <w:r w:rsidR="00811B7C" w:rsidRPr="00742A04">
        <w:t>de Noruega e</w:t>
      </w:r>
      <w:r w:rsidR="004B0EC3" w:rsidRPr="00742A04">
        <w:t>n lo tocante a</w:t>
      </w:r>
      <w:r w:rsidR="00545D1B" w:rsidRPr="00742A04">
        <w:t xml:space="preserve"> </w:t>
      </w:r>
      <w:r w:rsidR="002B035F">
        <w:t>la prestación de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protec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811B7C"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. </w:t>
      </w:r>
      <w:r w:rsidR="00811B7C" w:rsidRPr="00742A04">
        <w:t xml:space="preserve">Se deberá </w:t>
      </w:r>
      <w:r w:rsidR="00EF5B12">
        <w:t>design</w:t>
      </w:r>
      <w:r w:rsidR="00EF5B12" w:rsidRPr="00742A04">
        <w:t>ar</w:t>
      </w:r>
      <w:r w:rsidR="00811B7C" w:rsidRPr="00742A04">
        <w:t xml:space="preserve"> u</w:t>
      </w:r>
      <w:r w:rsidR="0077058E" w:rsidRPr="00742A04">
        <w:t xml:space="preserve">n </w:t>
      </w:r>
      <w:r w:rsidR="00811B7C" w:rsidRPr="00742A04">
        <w:t xml:space="preserve">director </w:t>
      </w:r>
      <w:r w:rsidR="00F43124" w:rsidRPr="00742A04">
        <w:t>para</w:t>
      </w:r>
      <w:r w:rsidR="00545D1B" w:rsidRPr="00742A04">
        <w:t xml:space="preserve"> </w:t>
      </w:r>
      <w:r w:rsidR="002213CF" w:rsidRPr="00742A04">
        <w:t>e</w:t>
      </w:r>
      <w:r w:rsidR="00811B7C" w:rsidRPr="00742A04">
        <w:t>se</w:t>
      </w:r>
      <w:r w:rsidR="002213CF" w:rsidRPr="00742A04">
        <w:t xml:space="preserve"> proyecto</w:t>
      </w:r>
      <w:r w:rsidR="00811B7C" w:rsidRPr="00742A04">
        <w:t>,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811B7C" w:rsidRPr="00742A04">
        <w:t>será</w:t>
      </w:r>
      <w:r w:rsidR="00545D1B" w:rsidRPr="00742A04">
        <w:t xml:space="preserve"> fi</w:t>
      </w:r>
      <w:r w:rsidR="00811B7C" w:rsidRPr="00742A04">
        <w:t>nanciado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A60159" w:rsidRPr="00742A04">
        <w:t>cuatro</w:t>
      </w:r>
      <w:r w:rsidR="00545D1B" w:rsidRPr="00742A04">
        <w:t xml:space="preserve"> </w:t>
      </w:r>
      <w:r w:rsidR="00603216" w:rsidRPr="00742A04">
        <w:t>minist</w:t>
      </w:r>
      <w:r w:rsidR="00603216" w:rsidRPr="00742A04">
        <w:t>e</w:t>
      </w:r>
      <w:r w:rsidR="00603216" w:rsidRPr="00742A04">
        <w:t>rios</w:t>
      </w:r>
      <w:r w:rsidR="00545D1B" w:rsidRPr="00742A04">
        <w:t>.</w:t>
      </w:r>
    </w:p>
    <w:p w:rsidR="00545D1B" w:rsidRPr="00742A04" w:rsidRDefault="00935A90" w:rsidP="002C4922">
      <w:pPr>
        <w:pStyle w:val="SingleTxt"/>
        <w:rPr>
          <w:i/>
        </w:rPr>
      </w:pPr>
      <w:r w:rsidRPr="00742A04">
        <w:rPr>
          <w:i/>
        </w:rPr>
        <w:t>Colab</w:t>
      </w:r>
      <w:r w:rsidR="00545D1B" w:rsidRPr="00742A04">
        <w:rPr>
          <w:i/>
        </w:rPr>
        <w:t>ora</w:t>
      </w:r>
      <w:r w:rsidR="00C14BFF" w:rsidRPr="00742A04">
        <w:rPr>
          <w:i/>
        </w:rPr>
        <w:t xml:space="preserve">ción </w:t>
      </w:r>
      <w:r w:rsidR="007D66F2" w:rsidRPr="00742A04">
        <w:rPr>
          <w:i/>
        </w:rPr>
        <w:t>entre</w:t>
      </w:r>
      <w:r w:rsidR="00545D1B" w:rsidRPr="00742A04">
        <w:rPr>
          <w:i/>
        </w:rPr>
        <w:t xml:space="preserve"> </w:t>
      </w:r>
      <w:r w:rsidR="00BB4DB1" w:rsidRPr="00742A04">
        <w:rPr>
          <w:i/>
        </w:rPr>
        <w:t>las autoridades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2B035F">
        <w:rPr>
          <w:i/>
        </w:rPr>
        <w:t xml:space="preserve"> las</w:t>
      </w:r>
      <w:r w:rsidR="00545D1B" w:rsidRPr="00742A04">
        <w:rPr>
          <w:i/>
        </w:rPr>
        <w:t xml:space="preserve"> </w:t>
      </w:r>
      <w:r w:rsidR="00FB5EDF" w:rsidRPr="00742A04">
        <w:rPr>
          <w:i/>
        </w:rPr>
        <w:t>organizaciones</w:t>
      </w:r>
    </w:p>
    <w:p w:rsidR="00545D1B" w:rsidRPr="00742A04" w:rsidRDefault="007A4A10" w:rsidP="00D42876">
      <w:pPr>
        <w:pStyle w:val="SingleTxt"/>
        <w:ind w:firstLine="475"/>
      </w:pPr>
      <w:r w:rsidRPr="00742A04">
        <w:t>S</w:t>
      </w:r>
      <w:r w:rsidR="00AE655D" w:rsidRPr="00742A04">
        <w:t>e han establecido</w:t>
      </w:r>
      <w:r w:rsidR="00545D1B" w:rsidRPr="00742A04">
        <w:t xml:space="preserve"> </w:t>
      </w:r>
      <w:r w:rsidRPr="00742A04">
        <w:t xml:space="preserve">varios </w:t>
      </w:r>
      <w:r w:rsidR="00EF5B12" w:rsidRPr="00742A04">
        <w:t>foros conjuntos</w:t>
      </w:r>
      <w:r w:rsidRPr="00742A04">
        <w:t xml:space="preserve"> para </w:t>
      </w:r>
      <w:r w:rsidR="00CF2F77" w:rsidRPr="00742A04">
        <w:t>asegurar</w:t>
      </w:r>
      <w:r w:rsidR="00545D1B" w:rsidRPr="00742A04">
        <w:t xml:space="preserve"> </w:t>
      </w:r>
      <w:r w:rsidRPr="00742A04">
        <w:t xml:space="preserve">la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="007D66F2" w:rsidRPr="00742A04">
        <w:t>entre</w:t>
      </w:r>
      <w:r w:rsidR="00545D1B" w:rsidRPr="00742A04">
        <w:t xml:space="preserve"> </w:t>
      </w:r>
      <w:r w:rsidR="0030626A" w:rsidRPr="00742A04">
        <w:t xml:space="preserve">el </w:t>
      </w:r>
      <w:r w:rsidR="004A0730" w:rsidRPr="00742A04">
        <w:t>Ministerio</w:t>
      </w:r>
      <w:r w:rsidR="00545D1B" w:rsidRPr="00742A04">
        <w:t xml:space="preserve">, </w:t>
      </w:r>
      <w:r w:rsidRPr="00742A04">
        <w:t>los organismos subordinados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las </w:t>
      </w:r>
      <w:r w:rsidR="00FB5EDF" w:rsidRPr="00742A04">
        <w:t>organizaciones</w:t>
      </w:r>
      <w:r w:rsidR="00545D1B" w:rsidRPr="00742A04">
        <w:t xml:space="preserve"> </w:t>
      </w:r>
      <w:r w:rsidRPr="00742A04">
        <w:t xml:space="preserve">que participan </w:t>
      </w:r>
      <w:r w:rsidR="00C14BFF" w:rsidRPr="00742A04">
        <w:t>en</w:t>
      </w:r>
      <w:r w:rsidR="00545D1B" w:rsidRPr="00742A04">
        <w:t xml:space="preserve"> </w:t>
      </w:r>
      <w:r w:rsidR="00502E16" w:rsidRPr="00742A04">
        <w:t>los esfuerzos</w:t>
      </w:r>
      <w:r w:rsidR="00545D1B" w:rsidRPr="00742A04">
        <w:t xml:space="preserve"> </w:t>
      </w:r>
      <w:r w:rsidR="00072AD7" w:rsidRPr="00742A04">
        <w:t>re</w:t>
      </w:r>
      <w:r w:rsidRPr="00742A04">
        <w:t>lativos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D515FC" w:rsidRPr="00742A04">
        <w:t>trata de seres humanos</w:t>
      </w:r>
      <w:r w:rsidRPr="00742A04">
        <w:t xml:space="preserve"> y la coordinación de sus respect</w:t>
      </w:r>
      <w:r w:rsidRPr="00742A04">
        <w:t>i</w:t>
      </w:r>
      <w:r w:rsidRPr="00742A04">
        <w:t>vas actividades</w:t>
      </w:r>
      <w:r w:rsidR="00545D1B" w:rsidRPr="00742A04">
        <w:t xml:space="preserve">. </w:t>
      </w:r>
      <w:r w:rsidRPr="00742A04">
        <w:t>Se ha formado una</w:t>
      </w:r>
      <w:r w:rsidR="00545D1B" w:rsidRPr="00742A04">
        <w:t xml:space="preserve"> </w:t>
      </w:r>
      <w:r w:rsidRPr="00742A04">
        <w:t>r</w:t>
      </w:r>
      <w:r w:rsidR="00FB34C1" w:rsidRPr="00742A04">
        <w:t>ed</w:t>
      </w:r>
      <w:r w:rsidR="00545D1B" w:rsidRPr="00742A04">
        <w:t xml:space="preserve"> </w:t>
      </w:r>
      <w:r w:rsidRPr="00742A04">
        <w:t xml:space="preserve">nacional </w:t>
      </w:r>
      <w:r w:rsidR="004A0730" w:rsidRPr="00742A04">
        <w:t>de</w:t>
      </w:r>
      <w:r w:rsidR="00545D1B" w:rsidRPr="00742A04">
        <w:t xml:space="preserve"> </w:t>
      </w:r>
      <w:r w:rsidRPr="00742A04">
        <w:t>contactos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Pr="00742A04">
        <w:t>que se recurre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Pr="00742A04">
        <w:t xml:space="preserve">las </w:t>
      </w:r>
      <w:r w:rsidR="00502E16" w:rsidRPr="00742A04">
        <w:t>víctimas</w:t>
      </w:r>
      <w:r w:rsidR="00545D1B" w:rsidRPr="00742A04">
        <w:t xml:space="preserve"> </w:t>
      </w:r>
      <w:r w:rsidR="00F43124" w:rsidRPr="00742A04">
        <w:t xml:space="preserve">de la </w:t>
      </w:r>
      <w:r w:rsidR="00D515FC" w:rsidRPr="00742A04">
        <w:t>trata de seres humanos</w:t>
      </w:r>
      <w:r w:rsidR="00545D1B" w:rsidRPr="00742A04">
        <w:t xml:space="preserve"> </w:t>
      </w:r>
      <w:r w:rsidRPr="00742A04">
        <w:t>no reciben</w:t>
      </w:r>
      <w:r w:rsidR="00545D1B" w:rsidRPr="00742A04">
        <w:t xml:space="preserve"> </w:t>
      </w:r>
      <w:r w:rsidR="00056EF1" w:rsidRPr="00742A04">
        <w:t>suficiente</w:t>
      </w:r>
      <w:r w:rsidR="00545D1B" w:rsidRPr="00742A04">
        <w:t xml:space="preserve"> </w:t>
      </w:r>
      <w:r w:rsidR="00CE7870" w:rsidRPr="00742A04">
        <w:t>ayuda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Pr="00742A04">
        <w:t>los</w:t>
      </w:r>
      <w:r w:rsidR="00311327" w:rsidRPr="00742A04">
        <w:t xml:space="preserve"> servicios </w:t>
      </w:r>
      <w:r w:rsidRPr="00742A04">
        <w:t xml:space="preserve">público </w:t>
      </w:r>
      <w:r w:rsidR="00311327" w:rsidRPr="00742A04">
        <w:t>de apoyo</w:t>
      </w:r>
      <w:r w:rsidRPr="00742A04">
        <w:t xml:space="preserve"> existentes</w:t>
      </w:r>
      <w:r w:rsidR="00545D1B" w:rsidRPr="00742A04">
        <w:t xml:space="preserve">. </w:t>
      </w:r>
      <w:r w:rsidRPr="00742A04">
        <w:t>La r</w:t>
      </w:r>
      <w:r w:rsidR="00FB34C1" w:rsidRPr="00742A04">
        <w:t>ed</w:t>
      </w:r>
      <w:r w:rsidR="00545D1B" w:rsidRPr="00742A04">
        <w:t xml:space="preserve"> </w:t>
      </w:r>
      <w:r w:rsidRPr="00742A04">
        <w:t>funciona desde ab</w:t>
      </w:r>
      <w:r w:rsidR="00545D1B" w:rsidRPr="00742A04">
        <w:t>ril</w:t>
      </w:r>
      <w:r w:rsidRPr="00742A04">
        <w:t xml:space="preserve"> de</w:t>
      </w:r>
      <w:r w:rsidR="00545D1B" w:rsidRPr="00742A04">
        <w:t xml:space="preserve"> 2004 </w:t>
      </w:r>
      <w:r w:rsidR="00877AA0" w:rsidRPr="00742A04">
        <w:t>y</w:t>
      </w:r>
      <w:r w:rsidR="00545D1B" w:rsidRPr="00742A04">
        <w:t xml:space="preserve"> </w:t>
      </w:r>
      <w:r w:rsidRPr="00742A04">
        <w:t>ha t</w:t>
      </w:r>
      <w:r w:rsidRPr="00742A04">
        <w:t>o</w:t>
      </w:r>
      <w:r w:rsidRPr="00742A04">
        <w:t>mado</w:t>
      </w:r>
      <w:r w:rsidR="00545D1B" w:rsidRPr="00742A04">
        <w:t xml:space="preserve"> </w:t>
      </w:r>
      <w:r w:rsidRPr="00742A04">
        <w:t>medidas</w:t>
      </w:r>
      <w:r w:rsidR="00C14BFF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Pr="00742A04">
        <w:t xml:space="preserve">ello fue </w:t>
      </w:r>
      <w:r w:rsidR="00417824" w:rsidRPr="00742A04">
        <w:t>necesario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F07A7" w:rsidRPr="00742A04">
        <w:t>casos i</w:t>
      </w:r>
      <w:r w:rsidR="004F07A7" w:rsidRPr="00742A04">
        <w:t>n</w:t>
      </w:r>
      <w:r w:rsidR="004F07A7" w:rsidRPr="00742A04">
        <w:t>dividuales</w:t>
      </w:r>
      <w:r w:rsidR="00545D1B" w:rsidRPr="00742A04">
        <w:t>.</w:t>
      </w:r>
    </w:p>
    <w:p w:rsidR="00545D1B" w:rsidRPr="00742A04" w:rsidRDefault="007A4A10" w:rsidP="00D42876">
      <w:pPr>
        <w:pStyle w:val="SingleTxt"/>
        <w:ind w:firstLine="475"/>
      </w:pPr>
      <w:r w:rsidRPr="00742A04">
        <w:t>Por iniciativa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B4DB1" w:rsidRPr="00742A04">
        <w:t>las autoridades</w:t>
      </w:r>
      <w:r w:rsidR="00545D1B" w:rsidRPr="00742A04">
        <w:t xml:space="preserve">, </w:t>
      </w:r>
      <w:r w:rsidRPr="00742A04">
        <w:t>se ha establecido en Oslo un</w:t>
      </w:r>
      <w:r w:rsidR="00545D1B" w:rsidRPr="00742A04">
        <w:t xml:space="preserve"> </w:t>
      </w:r>
      <w:r w:rsidRPr="00742A04">
        <w:t xml:space="preserve">foro conjunto </w:t>
      </w:r>
      <w:r w:rsidR="00064906" w:rsidRPr="00742A04">
        <w:t>intersectorial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46C41" w:rsidRPr="00742A04">
        <w:t xml:space="preserve">la </w:t>
      </w:r>
      <w:r w:rsidR="007D406D" w:rsidRPr="00742A04">
        <w:t xml:space="preserve">prestación </w:t>
      </w:r>
      <w:r w:rsidR="002B035F">
        <w:t>de</w:t>
      </w:r>
      <w:r w:rsidR="00811B7C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protec</w:t>
      </w:r>
      <w:r w:rsidR="00C14BFF" w:rsidRPr="00742A04">
        <w:t>ción</w:t>
      </w:r>
      <w:r w:rsidR="00545D1B" w:rsidRPr="00742A04">
        <w:t xml:space="preserve">. </w:t>
      </w:r>
      <w:r w:rsidRPr="00742A04">
        <w:t>El</w:t>
      </w:r>
      <w:r w:rsidR="00545D1B" w:rsidRPr="00742A04">
        <w:t xml:space="preserve"> “</w:t>
      </w:r>
      <w:r w:rsidRPr="00742A04">
        <w:t>Piloto Oslo</w:t>
      </w:r>
      <w:r w:rsidR="00545D1B" w:rsidRPr="00742A04">
        <w:t xml:space="preserve">” </w:t>
      </w:r>
      <w:r w:rsidRPr="00742A04">
        <w:t>co</w:t>
      </w:r>
      <w:r w:rsidRPr="00742A04">
        <w:t>m</w:t>
      </w:r>
      <w:r w:rsidRPr="00742A04">
        <w:t>prende</w:t>
      </w:r>
      <w:r w:rsidR="00545D1B" w:rsidRPr="00742A04">
        <w:t xml:space="preserve"> </w:t>
      </w:r>
      <w:r w:rsidRPr="00742A04">
        <w:t>representantes</w:t>
      </w:r>
      <w:r w:rsidR="00545D1B" w:rsidRPr="00742A04">
        <w:t xml:space="preserve"> </w:t>
      </w:r>
      <w:r w:rsidR="00F43124" w:rsidRPr="00742A04">
        <w:t xml:space="preserve">de la </w:t>
      </w:r>
      <w:r w:rsidR="00FC59C5" w:rsidRPr="00742A04">
        <w:t>policía</w:t>
      </w:r>
      <w:r w:rsidR="00545D1B" w:rsidRPr="00742A04">
        <w:t xml:space="preserve">, </w:t>
      </w:r>
      <w:r w:rsidRPr="00742A04">
        <w:t>las autoridades sociales</w:t>
      </w:r>
      <w:r w:rsidR="00545D1B" w:rsidRPr="00742A04">
        <w:t xml:space="preserve">, </w:t>
      </w:r>
      <w:r w:rsidR="0051344E" w:rsidRPr="00742A04">
        <w:t xml:space="preserve">los servicios </w:t>
      </w:r>
      <w:r w:rsidRPr="00742A04">
        <w:t xml:space="preserve">sociales y </w:t>
      </w:r>
      <w:r w:rsidR="0051344E" w:rsidRPr="00742A04">
        <w:t>de salud</w:t>
      </w:r>
      <w:r w:rsidR="00545D1B" w:rsidRPr="00742A04">
        <w:t xml:space="preserve">, </w:t>
      </w:r>
      <w:r w:rsidR="006D7D2F" w:rsidRPr="00742A04">
        <w:t>los servicios de bienestar infantil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las </w:t>
      </w:r>
      <w:r w:rsidR="00FB5EDF" w:rsidRPr="00742A04">
        <w:t>organizaciones</w:t>
      </w:r>
      <w:r w:rsidRPr="00742A04">
        <w:t xml:space="preserve"> pertinentes</w:t>
      </w:r>
      <w:r w:rsidR="00545D1B" w:rsidRPr="00742A04">
        <w:t xml:space="preserve">. </w:t>
      </w:r>
      <w:r w:rsidRPr="00742A04">
        <w:t>El foro</w:t>
      </w:r>
      <w:r w:rsidR="00545D1B" w:rsidRPr="00742A04">
        <w:t xml:space="preserve"> </w:t>
      </w:r>
      <w:r w:rsidRPr="00742A04">
        <w:t>se reúne cada seis</w:t>
      </w:r>
      <w:r w:rsidR="00545D1B" w:rsidRPr="00742A04">
        <w:t xml:space="preserve"> </w:t>
      </w:r>
      <w:r w:rsidR="00AD5494" w:rsidRPr="00742A04">
        <w:t>meses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ha contribuido a</w:t>
      </w:r>
      <w:r w:rsidR="00E542AA" w:rsidRPr="00742A04">
        <w:t>l incremento de</w:t>
      </w:r>
      <w:r w:rsidR="00545D1B" w:rsidRPr="00742A04">
        <w:t xml:space="preserve"> </w:t>
      </w:r>
      <w:r w:rsidRPr="00742A04">
        <w:t>la</w:t>
      </w:r>
      <w:r w:rsidR="00242371" w:rsidRPr="00742A04">
        <w:t xml:space="preserve"> capaci</w:t>
      </w:r>
      <w:r w:rsidRPr="00742A04">
        <w:t>tación</w:t>
      </w:r>
      <w:r w:rsidR="00545D1B" w:rsidRPr="00742A04">
        <w:t xml:space="preserve"> </w:t>
      </w:r>
      <w:r w:rsidR="00E32F34" w:rsidRPr="00742A04">
        <w:t xml:space="preserve">sobre </w:t>
      </w:r>
      <w:r w:rsidR="00D515FC" w:rsidRPr="00742A04">
        <w:t>la trata de seres humanos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34740" w:rsidRPr="00742A04">
        <w:t>al fortalecimiento de la</w:t>
      </w:r>
      <w:r w:rsidR="00545D1B" w:rsidRPr="00742A04">
        <w:t xml:space="preserve">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="007D66F2" w:rsidRPr="00742A04">
        <w:t>entre</w:t>
      </w:r>
      <w:r w:rsidR="00545D1B" w:rsidRPr="00742A04">
        <w:t xml:space="preserve"> </w:t>
      </w:r>
      <w:r w:rsidR="00BB4DB1" w:rsidRPr="00742A04">
        <w:t>las autoridades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B5EDF" w:rsidRPr="00742A04">
        <w:t>organizaciones</w:t>
      </w:r>
      <w:r w:rsidR="00545D1B" w:rsidRPr="00742A04">
        <w:t xml:space="preserve">. </w:t>
      </w:r>
      <w:r w:rsidR="00EF5B12" w:rsidRPr="00742A04">
        <w:t xml:space="preserve">Otras ciudades están en vías de establecer redes de cooperación análogas. </w:t>
      </w:r>
      <w:r w:rsidR="00177E2E" w:rsidRPr="00742A04">
        <w:t>También se ha establecido un foro</w:t>
      </w:r>
      <w:r w:rsidR="00545D1B" w:rsidRPr="00742A04">
        <w:t xml:space="preserve"> urban</w:t>
      </w:r>
      <w:r w:rsidRPr="00742A04">
        <w:t>o</w:t>
      </w:r>
      <w:r w:rsidR="00545D1B" w:rsidRPr="00742A04">
        <w:t xml:space="preserve"> </w:t>
      </w:r>
      <w:r w:rsidR="00177E2E" w:rsidRPr="00742A04">
        <w:t>sobre la</w:t>
      </w:r>
      <w:r w:rsidR="00545D1B" w:rsidRPr="00742A04">
        <w:t xml:space="preserve"> </w:t>
      </w:r>
      <w:r w:rsidR="00A05847" w:rsidRPr="00742A04">
        <w:t>prostitución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15FC" w:rsidRPr="00742A04">
        <w:t>la trata de seres humanos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="00177E2E" w:rsidRPr="00742A04">
        <w:t>participantes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177E2E" w:rsidRPr="00742A04">
        <w:t>las seis ciudades más grandes de Noruega</w:t>
      </w:r>
      <w:r w:rsidR="00545D1B" w:rsidRPr="00742A04">
        <w:t xml:space="preserve">. </w:t>
      </w:r>
      <w:r w:rsidR="006B65CD"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77E2E" w:rsidRPr="00742A04">
        <w:t>este</w:t>
      </w:r>
      <w:r w:rsidR="00545D1B" w:rsidRPr="00742A04">
        <w:t xml:space="preserve"> </w:t>
      </w:r>
      <w:r w:rsidRPr="00742A04">
        <w:t>foro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177E2E" w:rsidRPr="00742A04">
        <w:t>permitir que</w:t>
      </w:r>
      <w:r w:rsidR="00545D1B" w:rsidRPr="00742A04">
        <w:t xml:space="preserve"> </w:t>
      </w:r>
      <w:r w:rsidRPr="00742A04">
        <w:t>representantes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177E2E" w:rsidRPr="00742A04">
        <w:t xml:space="preserve">los organismos </w:t>
      </w:r>
      <w:r w:rsidR="00545D1B" w:rsidRPr="00742A04">
        <w:t>municip</w:t>
      </w:r>
      <w:r w:rsidR="00545D1B" w:rsidRPr="00742A04">
        <w:t>a</w:t>
      </w:r>
      <w:r w:rsidR="00545D1B" w:rsidRPr="00742A04">
        <w:t xml:space="preserve">les, </w:t>
      </w:r>
      <w:r w:rsidR="00FC59C5" w:rsidRPr="00742A04">
        <w:t>la policía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77E2E" w:rsidRPr="00742A04">
        <w:t>las organizaciones pertinentes</w:t>
      </w:r>
      <w:r w:rsidR="00545D1B" w:rsidRPr="00742A04">
        <w:t xml:space="preserve"> </w:t>
      </w:r>
      <w:r w:rsidR="00177E2E" w:rsidRPr="00742A04">
        <w:t>de las</w:t>
      </w:r>
      <w:r w:rsidR="00545D1B" w:rsidRPr="00742A04">
        <w:t xml:space="preserve"> </w:t>
      </w:r>
      <w:r w:rsidR="00177E2E" w:rsidRPr="00742A04">
        <w:t>diversa</w:t>
      </w:r>
      <w:r w:rsidR="00587443" w:rsidRPr="00742A04">
        <w:t>s</w:t>
      </w:r>
      <w:r w:rsidR="00545D1B" w:rsidRPr="00742A04">
        <w:t xml:space="preserve"> </w:t>
      </w:r>
      <w:r w:rsidR="00177E2E" w:rsidRPr="00742A04">
        <w:t>ciudades</w:t>
      </w:r>
      <w:r w:rsidR="00545D1B" w:rsidRPr="00742A04">
        <w:t xml:space="preserve"> </w:t>
      </w:r>
      <w:r w:rsidR="00177E2E" w:rsidRPr="00742A04">
        <w:t>i</w:t>
      </w:r>
      <w:r w:rsidR="00177E2E" w:rsidRPr="00742A04">
        <w:t>n</w:t>
      </w:r>
      <w:r w:rsidR="00177E2E" w:rsidRPr="00742A04">
        <w:t>tercambien</w:t>
      </w:r>
      <w:r w:rsidR="00545D1B" w:rsidRPr="00742A04">
        <w:t xml:space="preserve"> </w:t>
      </w:r>
      <w:r w:rsidR="00D82E9E" w:rsidRPr="00742A04">
        <w:t>información sobre las enseñanzas obtenidas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82E9E" w:rsidRPr="00742A04">
        <w:t xml:space="preserve">las </w:t>
      </w:r>
      <w:r w:rsidR="00545D1B" w:rsidRPr="00742A04">
        <w:t>solu</w:t>
      </w:r>
      <w:r w:rsidR="008907B8" w:rsidRPr="00742A04">
        <w:t>ciones</w:t>
      </w:r>
      <w:r w:rsidR="00545D1B" w:rsidRPr="00742A04">
        <w:t xml:space="preserve"> </w:t>
      </w:r>
      <w:r w:rsidR="00D82E9E" w:rsidRPr="00742A04">
        <w:t xml:space="preserve">eficaces </w:t>
      </w:r>
      <w:r w:rsidR="00154FBB" w:rsidRPr="00742A04">
        <w:t>relacionada</w:t>
      </w:r>
      <w:r w:rsidR="00D82E9E" w:rsidRPr="00742A04">
        <w:t>s</w:t>
      </w:r>
      <w:r w:rsidR="00154FBB" w:rsidRPr="00742A04">
        <w:t xml:space="preserve"> con</w:t>
      </w:r>
      <w:r w:rsidR="00545D1B" w:rsidRPr="00742A04">
        <w:t xml:space="preserve"> </w:t>
      </w:r>
      <w:r w:rsidR="003E4840" w:rsidRPr="00742A04">
        <w:t>sus</w:t>
      </w:r>
      <w:r w:rsidR="00502E16" w:rsidRPr="00742A04">
        <w:t xml:space="preserve"> esfuerzos</w:t>
      </w:r>
      <w:r w:rsidR="00545D1B" w:rsidRPr="00742A04">
        <w:t xml:space="preserve"> </w:t>
      </w:r>
      <w:r w:rsidR="007C341F" w:rsidRPr="00742A04">
        <w:t>de lucha contra la</w:t>
      </w:r>
      <w:r w:rsidR="00545D1B" w:rsidRPr="00742A04">
        <w:t xml:space="preserve"> </w:t>
      </w:r>
      <w:r w:rsidR="00A05847" w:rsidRPr="00742A04">
        <w:t>prostitución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15FC" w:rsidRPr="00742A04">
        <w:t>la trata de seres hum</w:t>
      </w:r>
      <w:r w:rsidR="00D515FC" w:rsidRPr="00742A04">
        <w:t>a</w:t>
      </w:r>
      <w:r w:rsidR="00D515FC" w:rsidRPr="00742A04">
        <w:t>nos</w:t>
      </w:r>
      <w:r w:rsidR="00545D1B" w:rsidRPr="00742A04">
        <w:t xml:space="preserve">. </w:t>
      </w:r>
      <w:r w:rsidR="00D82E9E" w:rsidRPr="00742A04">
        <w:t>La</w:t>
      </w:r>
      <w:r w:rsidR="00545D1B" w:rsidRPr="00742A04">
        <w:t xml:space="preserve"> confer</w:t>
      </w:r>
      <w:r w:rsidR="00FF575F" w:rsidRPr="00742A04">
        <w:t xml:space="preserve">encia </w:t>
      </w:r>
      <w:r w:rsidR="00D82E9E" w:rsidRPr="00742A04">
        <w:t>urbana se organiza</w:t>
      </w:r>
      <w:r w:rsidR="00545D1B" w:rsidRPr="00742A04">
        <w:t xml:space="preserve"> </w:t>
      </w:r>
      <w:r w:rsidR="00D82E9E" w:rsidRPr="00742A04">
        <w:t>cada seis</w:t>
      </w:r>
      <w:r w:rsidR="00545D1B" w:rsidRPr="00742A04">
        <w:t xml:space="preserve"> </w:t>
      </w:r>
      <w:r w:rsidR="00AD5494" w:rsidRPr="00742A04">
        <w:t>meses</w:t>
      </w:r>
      <w:r w:rsidR="00545D1B" w:rsidRPr="00742A04">
        <w:t>.</w:t>
      </w:r>
    </w:p>
    <w:p w:rsidR="00545D1B" w:rsidRPr="00742A04" w:rsidRDefault="00545D1B" w:rsidP="00D82E9E">
      <w:pPr>
        <w:pStyle w:val="SingleTxt"/>
        <w:jc w:val="left"/>
        <w:rPr>
          <w:i/>
        </w:rPr>
      </w:pPr>
      <w:r w:rsidRPr="00742A04">
        <w:rPr>
          <w:i/>
        </w:rPr>
        <w:t>A</w:t>
      </w:r>
      <w:r w:rsidR="00177E2E" w:rsidRPr="00742A04">
        <w:rPr>
          <w:i/>
        </w:rPr>
        <w:t>d</w:t>
      </w:r>
      <w:r w:rsidRPr="00742A04">
        <w:rPr>
          <w:i/>
        </w:rPr>
        <w:t>quir</w:t>
      </w:r>
      <w:r w:rsidR="00177E2E" w:rsidRPr="00742A04">
        <w:rPr>
          <w:i/>
        </w:rPr>
        <w:t>ir</w:t>
      </w:r>
      <w:r w:rsidRPr="00742A04">
        <w:rPr>
          <w:i/>
        </w:rPr>
        <w:t xml:space="preserve"> </w:t>
      </w:r>
      <w:r w:rsidR="00D82E9E" w:rsidRPr="00742A04">
        <w:rPr>
          <w:i/>
        </w:rPr>
        <w:t>un mayor grado de</w:t>
      </w:r>
      <w:r w:rsidRPr="00742A04">
        <w:rPr>
          <w:i/>
        </w:rPr>
        <w:t xml:space="preserve"> </w:t>
      </w:r>
      <w:r w:rsidR="003E5775" w:rsidRPr="00742A04">
        <w:rPr>
          <w:i/>
        </w:rPr>
        <w:t>conocimiento</w:t>
      </w:r>
      <w:r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995F3E">
        <w:rPr>
          <w:i/>
        </w:rPr>
        <w:br/>
      </w:r>
      <w:r w:rsidR="00615664" w:rsidRPr="00742A04">
        <w:rPr>
          <w:i/>
        </w:rPr>
        <w:t>comprensión</w:t>
      </w:r>
      <w:r w:rsidRPr="00742A04">
        <w:rPr>
          <w:i/>
        </w:rPr>
        <w:t xml:space="preserve"> </w:t>
      </w:r>
      <w:r w:rsidR="00D82E9E" w:rsidRPr="00742A04">
        <w:rPr>
          <w:i/>
        </w:rPr>
        <w:t>de</w:t>
      </w:r>
      <w:r w:rsidR="00995F3E">
        <w:rPr>
          <w:i/>
        </w:rPr>
        <w:t xml:space="preserve"> </w:t>
      </w:r>
      <w:r w:rsidR="00F43124" w:rsidRPr="00742A04">
        <w:rPr>
          <w:i/>
        </w:rPr>
        <w:t xml:space="preserve">la </w:t>
      </w:r>
      <w:r w:rsidR="00D515FC" w:rsidRPr="00742A04">
        <w:rPr>
          <w:i/>
        </w:rPr>
        <w:t>trata de seres hum</w:t>
      </w:r>
      <w:r w:rsidR="00D515FC" w:rsidRPr="00742A04">
        <w:rPr>
          <w:i/>
        </w:rPr>
        <w:t>a</w:t>
      </w:r>
      <w:r w:rsidR="00D515FC" w:rsidRPr="00742A04">
        <w:rPr>
          <w:i/>
        </w:rPr>
        <w:t>nos</w:t>
      </w:r>
    </w:p>
    <w:p w:rsidR="00545D1B" w:rsidRPr="00742A04" w:rsidRDefault="00EF5B12" w:rsidP="00D42876">
      <w:pPr>
        <w:pStyle w:val="SingleTxt"/>
        <w:ind w:firstLine="475"/>
      </w:pPr>
      <w:r w:rsidRPr="00742A04">
        <w:t>Las autoridades ha</w:t>
      </w:r>
      <w:r>
        <w:t>n prestado</w:t>
      </w:r>
      <w:r w:rsidRPr="00742A04">
        <w:t xml:space="preserve"> apoyo para varios </w:t>
      </w:r>
      <w:r w:rsidR="00995F3E" w:rsidRPr="00742A04">
        <w:t xml:space="preserve">proyectos </w:t>
      </w:r>
      <w:r w:rsidR="00995F3E">
        <w:t>de</w:t>
      </w:r>
      <w:r w:rsidRPr="00742A04">
        <w:t xml:space="preserve"> investigación e</w:t>
      </w:r>
      <w:r w:rsidRPr="00742A04">
        <w:t>n</w:t>
      </w:r>
      <w:r w:rsidR="00995F3E">
        <w:t>caminado</w:t>
      </w:r>
      <w:r w:rsidRPr="00742A04">
        <w:t xml:space="preserve">s a </w:t>
      </w:r>
      <w:r>
        <w:t>actualizar el</w:t>
      </w:r>
      <w:r w:rsidRPr="00742A04">
        <w:t xml:space="preserve"> conocimiento y</w:t>
      </w:r>
      <w:r>
        <w:t xml:space="preserve"> la</w:t>
      </w:r>
      <w:r w:rsidRPr="00742A04">
        <w:t xml:space="preserve"> comprensión de la trata de seres hum</w:t>
      </w:r>
      <w:r w:rsidRPr="00742A04">
        <w:t>a</w:t>
      </w:r>
      <w:r w:rsidRPr="00742A04">
        <w:t xml:space="preserve">nos y </w:t>
      </w:r>
      <w:r w:rsidR="00995F3E">
        <w:t xml:space="preserve">los </w:t>
      </w:r>
      <w:r w:rsidR="00995F3E" w:rsidRPr="00742A04">
        <w:t xml:space="preserve">desarrollos </w:t>
      </w:r>
      <w:r w:rsidRPr="00742A04">
        <w:t>nacional</w:t>
      </w:r>
      <w:r w:rsidR="00995F3E">
        <w:t>es</w:t>
      </w:r>
      <w:r w:rsidRPr="00742A04">
        <w:t xml:space="preserve"> e internacional</w:t>
      </w:r>
      <w:r w:rsidR="00995F3E">
        <w:t>es</w:t>
      </w:r>
      <w:r w:rsidRPr="00742A04">
        <w:t xml:space="preserve"> en esta esfera. </w:t>
      </w:r>
      <w:r>
        <w:t>Mediante</w:t>
      </w:r>
      <w:r w:rsidR="00545D1B" w:rsidRPr="00742A04">
        <w:t xml:space="preserve"> </w:t>
      </w:r>
      <w:r w:rsidR="00AC1BF5" w:rsidRPr="00742A04">
        <w:t>el est</w:t>
      </w:r>
      <w:r w:rsidR="00AC1BF5" w:rsidRPr="00742A04">
        <w:t>a</w:t>
      </w:r>
      <w:r w:rsidR="00AC1BF5" w:rsidRPr="00742A04">
        <w:t>blecimiento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95F3E" w:rsidRPr="00742A04">
        <w:t xml:space="preserve">foros </w:t>
      </w:r>
      <w:r w:rsidR="00064906" w:rsidRPr="00742A04">
        <w:t>intersectorial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7A4A10" w:rsidRPr="00742A04">
        <w:t>el</w:t>
      </w:r>
      <w:r w:rsidR="00545D1B" w:rsidRPr="00742A04">
        <w:t xml:space="preserve"> </w:t>
      </w:r>
      <w:r w:rsidR="007A4A10" w:rsidRPr="00742A04">
        <w:t>Piloto Oslo</w:t>
      </w:r>
      <w:r w:rsidR="00545D1B" w:rsidRPr="00742A04">
        <w:t xml:space="preserve">, </w:t>
      </w:r>
      <w:r w:rsidR="00995F3E">
        <w:t>los organismos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B5EDF" w:rsidRPr="00742A04">
        <w:t>o</w:t>
      </w:r>
      <w:r w:rsidR="00FB5EDF" w:rsidRPr="00742A04">
        <w:t>r</w:t>
      </w:r>
      <w:r w:rsidR="00FB5EDF" w:rsidRPr="00742A04">
        <w:t>ganizaciones</w:t>
      </w:r>
      <w:r w:rsidR="00545D1B" w:rsidRPr="00742A04">
        <w:t xml:space="preserve"> </w:t>
      </w:r>
      <w:r>
        <w:t>que participan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16976" w:rsidRPr="00742A04">
        <w:t>el trabajo</w:t>
      </w:r>
      <w:r w:rsidR="00545D1B" w:rsidRPr="00742A04">
        <w:t xml:space="preserve"> </w:t>
      </w:r>
      <w:r w:rsidR="00995F3E">
        <w:t>relativo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D515FC" w:rsidRPr="00742A04">
        <w:t>trata de seres humanos</w:t>
      </w:r>
      <w:r w:rsidR="00545D1B" w:rsidRPr="00742A04">
        <w:t xml:space="preserve"> ha</w:t>
      </w:r>
      <w:r w:rsidR="00177E2E" w:rsidRPr="00742A04">
        <w:t>n ad</w:t>
      </w:r>
      <w:r w:rsidR="00545D1B" w:rsidRPr="00742A04">
        <w:t>quir</w:t>
      </w:r>
      <w:r w:rsidR="00177E2E" w:rsidRPr="00742A04">
        <w:t>ido</w:t>
      </w:r>
      <w:r w:rsidR="00545D1B" w:rsidRPr="00742A04">
        <w:t xml:space="preserve"> </w:t>
      </w:r>
      <w:r w:rsidR="003E5775" w:rsidRPr="00742A04">
        <w:t>conocimiento</w:t>
      </w:r>
      <w:r w:rsidR="00995F3E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42371" w:rsidRPr="00742A04">
        <w:t>capacidades especializadas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. </w:t>
      </w:r>
      <w:r>
        <w:t>A</w:t>
      </w:r>
      <w:r w:rsidRPr="00742A04">
        <w:t xml:space="preserve">ctualmente </w:t>
      </w:r>
      <w:r>
        <w:t>se están planificando e iniciando v</w:t>
      </w:r>
      <w:r w:rsidR="004D313C" w:rsidRPr="00742A04">
        <w:t>arios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s </w:t>
      </w:r>
      <w:r>
        <w:t>encaminados a perfeccionar</w:t>
      </w:r>
      <w:r w:rsidR="00545D1B" w:rsidRPr="00742A04">
        <w:t xml:space="preserve"> </w:t>
      </w:r>
      <w:r w:rsidR="00242371" w:rsidRPr="00742A04">
        <w:t>las capacidades especializadas</w:t>
      </w:r>
      <w:r w:rsidR="00545D1B" w:rsidRPr="00742A04">
        <w:t xml:space="preserve">. </w:t>
      </w:r>
      <w:r w:rsidRPr="00742A04">
        <w:t xml:space="preserve">La Dirección de inmigración ha </w:t>
      </w:r>
      <w:r>
        <w:t>organizado la primera de un</w:t>
      </w:r>
      <w:r w:rsidRPr="00742A04">
        <w:t xml:space="preserve"> total de cinco conferencias regionales p</w:t>
      </w:r>
      <w:r w:rsidR="00995F3E">
        <w:t>ara</w:t>
      </w:r>
      <w:r w:rsidRPr="00742A04">
        <w:t xml:space="preserve"> promover </w:t>
      </w:r>
      <w:r>
        <w:t xml:space="preserve">la </w:t>
      </w:r>
      <w:r w:rsidRPr="00742A04">
        <w:t xml:space="preserve">cooperación </w:t>
      </w:r>
      <w:r w:rsidRPr="00400F81">
        <w:t>interse</w:t>
      </w:r>
      <w:r w:rsidRPr="00400F81">
        <w:t>c</w:t>
      </w:r>
      <w:r w:rsidRPr="00400F81">
        <w:t xml:space="preserve">torial </w:t>
      </w:r>
      <w:r>
        <w:t>e</w:t>
      </w:r>
      <w:r w:rsidRPr="00742A04">
        <w:t xml:space="preserve">n la lucha contra la trata de seres humanos con particular concentración en </w:t>
      </w:r>
      <w:r w:rsidR="00995F3E" w:rsidRPr="00742A04">
        <w:t xml:space="preserve">los servicios </w:t>
      </w:r>
      <w:r w:rsidR="00995F3E">
        <w:t xml:space="preserve">de </w:t>
      </w:r>
      <w:r w:rsidRPr="00742A04">
        <w:t xml:space="preserve">recepción. </w:t>
      </w:r>
      <w:r w:rsidR="00BC1D22" w:rsidRPr="00742A04">
        <w:t>El Ministerio de Trabajo e Integración Social encargó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D82E9E" w:rsidRPr="00742A04">
        <w:t xml:space="preserve">fundación de </w:t>
      </w:r>
      <w:r w:rsidR="00844FDB" w:rsidRPr="00742A04">
        <w:t>investiga</w:t>
      </w:r>
      <w:r w:rsidR="00D82E9E" w:rsidRPr="00742A04">
        <w:t>ciones</w:t>
      </w:r>
      <w:r w:rsidR="00545D1B" w:rsidRPr="00742A04">
        <w:t xml:space="preserve"> </w:t>
      </w:r>
      <w:r w:rsidR="00D82E9E" w:rsidRPr="00742A04">
        <w:t xml:space="preserve">FAFO </w:t>
      </w:r>
      <w:r w:rsidR="00877AA0" w:rsidRPr="00742A04">
        <w:t>y</w:t>
      </w:r>
      <w:r w:rsidR="00545D1B" w:rsidRPr="00742A04">
        <w:t xml:space="preserve"> </w:t>
      </w:r>
      <w:r w:rsidR="00BC1D22" w:rsidRPr="00742A04">
        <w:t>a</w:t>
      </w:r>
      <w:r w:rsidR="00D82E9E" w:rsidRPr="00742A04">
        <w:t>l</w:t>
      </w:r>
      <w:r w:rsidR="00545D1B" w:rsidRPr="00742A04">
        <w:t xml:space="preserve"> </w:t>
      </w:r>
      <w:r w:rsidR="00D82E9E" w:rsidRPr="00742A04">
        <w:t xml:space="preserve">Colegio Universitario </w:t>
      </w:r>
      <w:r w:rsidR="00545D1B" w:rsidRPr="00742A04">
        <w:t xml:space="preserve">Sør-Trøndelag </w:t>
      </w:r>
      <w:r w:rsidR="00BC1D22" w:rsidRPr="00742A04">
        <w:t>que elaboraran</w:t>
      </w:r>
      <w:r w:rsidR="00545D1B" w:rsidRPr="00742A04">
        <w:t xml:space="preserve"> </w:t>
      </w:r>
      <w:r w:rsidR="00BC1D22" w:rsidRPr="00742A04">
        <w:t>módulos</w:t>
      </w:r>
      <w:r w:rsidR="00545D1B" w:rsidRPr="00742A04">
        <w:t xml:space="preserve"> </w:t>
      </w:r>
      <w:r w:rsidR="00BC1D22" w:rsidRPr="00742A04">
        <w:t>de enseñanza sobre</w:t>
      </w:r>
      <w:r w:rsidR="00545D1B" w:rsidRPr="00742A04">
        <w:t xml:space="preserve"> </w:t>
      </w:r>
      <w:r w:rsidR="00D515FC" w:rsidRPr="00742A04">
        <w:t>la trata de seres humanos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general </w:t>
      </w:r>
      <w:r w:rsidR="00877AA0" w:rsidRPr="00742A04">
        <w:t>y</w:t>
      </w:r>
      <w:r w:rsidR="00545D1B" w:rsidRPr="00742A04">
        <w:t xml:space="preserve"> </w:t>
      </w:r>
      <w:r w:rsidR="00E32F2A" w:rsidRPr="00742A04">
        <w:t>la trata de</w:t>
      </w:r>
      <w:r w:rsidR="00545D1B" w:rsidRPr="00742A04">
        <w:t xml:space="preserve"> </w:t>
      </w:r>
      <w:r w:rsidR="002F3238" w:rsidRPr="00742A04">
        <w:t>niños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partic</w:t>
      </w:r>
      <w:r w:rsidR="00545D1B" w:rsidRPr="00742A04">
        <w:t>u</w:t>
      </w:r>
      <w:r w:rsidR="00545D1B" w:rsidRPr="00742A04">
        <w:t>lar.</w:t>
      </w:r>
    </w:p>
    <w:p w:rsidR="00545D1B" w:rsidRPr="00742A04" w:rsidRDefault="00EF5B12" w:rsidP="00D42876">
      <w:pPr>
        <w:pStyle w:val="SingleTxt"/>
        <w:ind w:firstLine="475"/>
      </w:pPr>
      <w:r w:rsidRPr="00742A04">
        <w:t>La Dirección de Policía y el Distrito Policial de Oslo han organizado semin</w:t>
      </w:r>
      <w:r w:rsidRPr="00742A04">
        <w:t>a</w:t>
      </w:r>
      <w:r w:rsidRPr="00742A04">
        <w:t>rios para mejorar el conocimiento de la trata de seres humanos por parte de la pol</w:t>
      </w:r>
      <w:r w:rsidRPr="00742A04">
        <w:t>i</w:t>
      </w:r>
      <w:r w:rsidRPr="00742A04">
        <w:t>cía, y la Dirección y</w:t>
      </w:r>
      <w:r>
        <w:t xml:space="preserve"> el</w:t>
      </w:r>
      <w:r w:rsidRPr="00742A04">
        <w:t xml:space="preserve"> Director del Ministerio Público organizarán conjuntamente una serie de seminarios para perfeccionar la capacitación especializada de la policía y el ministerio público. </w:t>
      </w:r>
      <w:r w:rsidR="003E1370" w:rsidRPr="00742A04">
        <w:t>La trata de seres humanos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E1370" w:rsidRPr="00742A04">
        <w:t>se</w:t>
      </w:r>
      <w:r w:rsidR="003C25BF" w:rsidRPr="00742A04">
        <w:t xml:space="preserve"> incorpora</w:t>
      </w:r>
      <w:r w:rsidR="003E1370" w:rsidRPr="00742A04">
        <w:t>rá</w:t>
      </w:r>
      <w:r w:rsidR="003C25BF" w:rsidRPr="00742A04">
        <w:t xml:space="preserve"> a</w:t>
      </w:r>
      <w:r w:rsidR="003E1370" w:rsidRPr="00742A04">
        <w:t>l</w:t>
      </w:r>
      <w:r w:rsidR="00545D1B" w:rsidRPr="00742A04">
        <w:t xml:space="preserve"> </w:t>
      </w:r>
      <w:r w:rsidR="003E1370" w:rsidRPr="00742A04">
        <w:t>plan de estudi</w:t>
      </w:r>
      <w:r w:rsidR="008E5231" w:rsidRPr="00742A04">
        <w:t>o</w:t>
      </w:r>
      <w:r w:rsidR="00545D1B" w:rsidRPr="00742A04">
        <w:t xml:space="preserve"> </w:t>
      </w:r>
      <w:r w:rsidR="00F43124" w:rsidRPr="00742A04">
        <w:t xml:space="preserve">de la </w:t>
      </w:r>
      <w:r w:rsidR="00545D1B" w:rsidRPr="00742A04">
        <w:t>Academ</w:t>
      </w:r>
      <w:r w:rsidR="003E1370" w:rsidRPr="00742A04">
        <w:t>ia de Policía</w:t>
      </w:r>
      <w:r w:rsidR="00545D1B" w:rsidRPr="00742A04">
        <w:t xml:space="preserve">. </w:t>
      </w:r>
      <w:r w:rsidR="008E5231" w:rsidRPr="00742A04">
        <w:t>Se han elaborado tarjetas e</w:t>
      </w:r>
      <w:r w:rsidR="00E574AD" w:rsidRPr="00742A04">
        <w:t>special</w:t>
      </w:r>
      <w:r w:rsidR="008E5231" w:rsidRPr="00742A04">
        <w:t>es para agentes de policía en las que se</w:t>
      </w:r>
      <w:r w:rsidR="00545D1B" w:rsidRPr="00742A04">
        <w:t xml:space="preserve"> </w:t>
      </w:r>
      <w:r w:rsidR="00C923A8" w:rsidRPr="00742A04">
        <w:t>detall</w:t>
      </w:r>
      <w:r w:rsidR="008E5231" w:rsidRPr="00742A04">
        <w:t>an las</w:t>
      </w:r>
      <w:r w:rsidR="00545D1B" w:rsidRPr="00742A04">
        <w:t xml:space="preserve"> </w:t>
      </w:r>
      <w:r w:rsidR="008E5231" w:rsidRPr="00742A04">
        <w:t>medidas aplicables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896BCB" w:rsidRPr="00742A04">
        <w:t>l</w:t>
      </w:r>
      <w:r w:rsidR="005D2D07" w:rsidRPr="00742A04">
        <w:t>a Dirección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D4DF1" w:rsidRPr="00742A04">
        <w:t>Policía</w:t>
      </w:r>
      <w:r w:rsidR="00545D1B" w:rsidRPr="00742A04">
        <w:t xml:space="preserve"> </w:t>
      </w:r>
      <w:r w:rsidR="005D2D07" w:rsidRPr="00742A04">
        <w:t>ha elaborado</w:t>
      </w:r>
      <w:r w:rsidR="00545D1B" w:rsidRPr="00742A04">
        <w:t xml:space="preserve"> </w:t>
      </w:r>
      <w:r w:rsidR="005D2D07" w:rsidRPr="00742A04">
        <w:t>un manual</w:t>
      </w:r>
      <w:r w:rsidR="00545D1B" w:rsidRPr="00742A04">
        <w:t xml:space="preserve"> </w:t>
      </w:r>
      <w:r w:rsidR="00BD7410" w:rsidRPr="00742A04">
        <w:t>de</w:t>
      </w:r>
      <w:r w:rsidR="00545D1B" w:rsidRPr="00742A04">
        <w:t xml:space="preserve"> investiga</w:t>
      </w:r>
      <w:r w:rsidR="00C14BFF" w:rsidRPr="00742A04">
        <w:t xml:space="preserve">ción </w:t>
      </w:r>
      <w:r w:rsidR="00F43124" w:rsidRPr="00742A04">
        <w:t>de l</w:t>
      </w:r>
      <w:r w:rsidR="00BD7410" w:rsidRPr="00742A04">
        <w:t>os</w:t>
      </w:r>
      <w:r w:rsidR="00F43124" w:rsidRPr="00742A04">
        <w:t xml:space="preserve"> </w:t>
      </w:r>
      <w:r w:rsidR="00BD7410" w:rsidRPr="00742A04">
        <w:t xml:space="preserve">casos de </w:t>
      </w:r>
      <w:r w:rsidR="00D515FC" w:rsidRPr="00742A04">
        <w:t>trata de seres humanos</w:t>
      </w:r>
      <w:r w:rsidR="00545D1B" w:rsidRPr="00742A04">
        <w:t xml:space="preserve">. </w:t>
      </w:r>
      <w:r>
        <w:t>T</w:t>
      </w:r>
      <w:r w:rsidRPr="00400F81">
        <w:t>a</w:t>
      </w:r>
      <w:r w:rsidRPr="00400F81">
        <w:t>m</w:t>
      </w:r>
      <w:r w:rsidRPr="00400F81">
        <w:t xml:space="preserve">bién </w:t>
      </w:r>
      <w:r>
        <w:t>se han iniciado</w:t>
      </w:r>
      <w:r w:rsidRPr="00742A04">
        <w:t xml:space="preserve"> esfuerzos </w:t>
      </w:r>
      <w:r>
        <w:t>por</w:t>
      </w:r>
      <w:r w:rsidRPr="00742A04">
        <w:t xml:space="preserve"> aplicar medidas </w:t>
      </w:r>
      <w:r>
        <w:t xml:space="preserve">encaminadas </w:t>
      </w:r>
      <w:r w:rsidRPr="00742A04">
        <w:t xml:space="preserve">a incrementar las capacidades especializadas de </w:t>
      </w:r>
      <w:r>
        <w:t>los tribunales</w:t>
      </w:r>
      <w:r w:rsidRPr="00742A04">
        <w:t xml:space="preserve"> en </w:t>
      </w:r>
      <w:r w:rsidR="00995F3E">
        <w:t>materia</w:t>
      </w:r>
      <w:r w:rsidRPr="00742A04">
        <w:t xml:space="preserve"> de trata de seres hum</w:t>
      </w:r>
      <w:r w:rsidRPr="00742A04">
        <w:t>a</w:t>
      </w:r>
      <w:r w:rsidRPr="00742A04">
        <w:t>nos.</w:t>
      </w:r>
    </w:p>
    <w:p w:rsidR="00545D1B" w:rsidRPr="00742A04" w:rsidRDefault="008E5231" w:rsidP="002C4922">
      <w:pPr>
        <w:pStyle w:val="SingleTxt"/>
        <w:rPr>
          <w:i/>
        </w:rPr>
      </w:pPr>
      <w:r w:rsidRPr="00742A04">
        <w:rPr>
          <w:i/>
        </w:rPr>
        <w:t>Campaña de información</w:t>
      </w:r>
      <w:r w:rsidR="0059357E" w:rsidRPr="00742A04">
        <w:rPr>
          <w:i/>
        </w:rPr>
        <w:t xml:space="preserve"> </w:t>
      </w:r>
      <w:r w:rsidR="004118CA" w:rsidRPr="00742A04">
        <w:rPr>
          <w:i/>
        </w:rPr>
        <w:t xml:space="preserve">para </w:t>
      </w:r>
      <w:r w:rsidR="0059357E" w:rsidRPr="00742A04">
        <w:rPr>
          <w:i/>
        </w:rPr>
        <w:t>reducir la captación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</w:t>
      </w:r>
      <w:r w:rsidR="00064906" w:rsidRPr="00742A04">
        <w:rPr>
          <w:i/>
        </w:rPr>
        <w:t>la demanda</w:t>
      </w:r>
    </w:p>
    <w:p w:rsidR="00545D1B" w:rsidRPr="00742A04" w:rsidRDefault="004118CA" w:rsidP="00D42876">
      <w:pPr>
        <w:pStyle w:val="SingleTxt"/>
        <w:ind w:firstLine="475"/>
      </w:pPr>
      <w:r w:rsidRPr="00742A04">
        <w:t>Se está lanzando una</w:t>
      </w:r>
      <w:r w:rsidR="00545D1B" w:rsidRPr="00742A04">
        <w:t xml:space="preserve"> </w:t>
      </w:r>
      <w:r w:rsidR="008E5231" w:rsidRPr="00742A04">
        <w:t xml:space="preserve">campaña </w:t>
      </w:r>
      <w:r w:rsidRPr="00742A04">
        <w:t xml:space="preserve">trienal </w:t>
      </w:r>
      <w:r w:rsidR="008E5231" w:rsidRPr="00742A04">
        <w:t>de información</w:t>
      </w:r>
      <w:r w:rsidR="00545D1B" w:rsidRPr="00742A04">
        <w:t xml:space="preserve"> </w:t>
      </w:r>
      <w:r w:rsidR="00230F13" w:rsidRPr="00742A04">
        <w:t xml:space="preserve">con miras </w:t>
      </w:r>
      <w:r w:rsidR="0059357E" w:rsidRPr="00742A04">
        <w:t>a reducir</w:t>
      </w:r>
      <w:r w:rsidR="00545D1B" w:rsidRPr="00742A04">
        <w:t xml:space="preserve"> </w:t>
      </w:r>
      <w:r w:rsidR="00064906" w:rsidRPr="00742A04">
        <w:t xml:space="preserve">la </w:t>
      </w:r>
      <w:r w:rsidRPr="00742A04">
        <w:t>demanda de</w:t>
      </w:r>
      <w:r w:rsidR="00545D1B" w:rsidRPr="00742A04">
        <w:t xml:space="preserve"> </w:t>
      </w:r>
      <w:r w:rsidR="00E32F2A" w:rsidRPr="00742A04">
        <w:t>servicios sexuales</w:t>
      </w:r>
      <w:r w:rsidR="00545D1B" w:rsidRPr="00742A04">
        <w:t xml:space="preserve">. </w:t>
      </w:r>
      <w:r w:rsidRPr="00742A04">
        <w:t>La</w:t>
      </w:r>
      <w:r w:rsidR="00545D1B" w:rsidRPr="00742A04">
        <w:t xml:space="preserve"> </w:t>
      </w:r>
      <w:r w:rsidR="0058540F" w:rsidRPr="00742A04">
        <w:t>campaña</w:t>
      </w:r>
      <w:r w:rsidR="00545D1B" w:rsidRPr="00742A04">
        <w:t xml:space="preserve"> </w:t>
      </w:r>
      <w:r w:rsidRPr="00742A04">
        <w:t>tiene la finalidad de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3E5775" w:rsidRPr="00742A04">
        <w:t>c</w:t>
      </w:r>
      <w:r w:rsidR="003E5775" w:rsidRPr="00742A04">
        <w:t>o</w:t>
      </w:r>
      <w:r w:rsidR="003E5775" w:rsidRPr="00742A04">
        <w:t>nocimiento</w:t>
      </w:r>
      <w:r w:rsidR="00545D1B" w:rsidRPr="00742A04">
        <w:t xml:space="preserve"> </w:t>
      </w:r>
      <w:r w:rsidR="00BD7410" w:rsidRPr="00742A04">
        <w:t>del público en general</w:t>
      </w:r>
      <w:r w:rsidR="00545D1B" w:rsidRPr="00742A04">
        <w:t xml:space="preserve"> </w:t>
      </w:r>
      <w:r w:rsidRPr="00742A04">
        <w:t xml:space="preserve">acerca </w:t>
      </w:r>
      <w:r w:rsidR="004A0730" w:rsidRPr="00742A04">
        <w:t>de</w:t>
      </w:r>
      <w:r w:rsidR="00545D1B" w:rsidRPr="00742A04">
        <w:t xml:space="preserve"> </w:t>
      </w:r>
      <w:r w:rsidRPr="00742A04">
        <w:t>este</w:t>
      </w:r>
      <w:r w:rsidR="00545D1B" w:rsidRPr="00742A04">
        <w:t xml:space="preserve"> </w:t>
      </w:r>
      <w:r w:rsidR="00507A11" w:rsidRPr="00742A04">
        <w:t>fenómeno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07ED9" w:rsidRPr="00742A04">
        <w:t>elevar el nivel de conciencia acerca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64906" w:rsidRPr="00742A04">
        <w:t xml:space="preserve">la </w:t>
      </w:r>
      <w:r w:rsidRPr="00742A04">
        <w:t>demanda de</w:t>
      </w:r>
      <w:r w:rsidR="00545D1B" w:rsidRPr="00742A04">
        <w:t xml:space="preserve"> </w:t>
      </w:r>
      <w:r w:rsidR="00E32F2A" w:rsidRPr="00742A04">
        <w:t>servicios sexuales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trata de mujeres y niños</w:t>
      </w:r>
      <w:r w:rsidR="00545D1B" w:rsidRPr="00742A04">
        <w:t xml:space="preserve">. </w:t>
      </w:r>
      <w:r w:rsidRPr="00742A04">
        <w:t>La</w:t>
      </w:r>
      <w:r w:rsidR="00545D1B" w:rsidRPr="00742A04">
        <w:t xml:space="preserve"> </w:t>
      </w:r>
      <w:r w:rsidR="0058540F" w:rsidRPr="00742A04">
        <w:t>campaña</w:t>
      </w:r>
      <w:r w:rsidR="00545D1B" w:rsidRPr="00742A04">
        <w:t xml:space="preserve"> </w:t>
      </w:r>
      <w:r w:rsidRPr="00742A04">
        <w:t>se dirige a los</w:t>
      </w:r>
      <w:r w:rsidR="00545D1B" w:rsidRPr="00742A04">
        <w:t xml:space="preserve"> </w:t>
      </w:r>
      <w:r w:rsidRPr="00742A04">
        <w:t>hombres jóvenes</w:t>
      </w:r>
      <w:r w:rsidR="00545D1B" w:rsidRPr="00742A04">
        <w:t xml:space="preserve">, </w:t>
      </w:r>
      <w:r w:rsidR="005D2D07" w:rsidRPr="00742A04">
        <w:t>potencial</w:t>
      </w:r>
      <w:r w:rsidRPr="00742A04">
        <w:t>es</w:t>
      </w:r>
      <w:r w:rsidR="00545D1B" w:rsidRPr="00742A04">
        <w:t xml:space="preserve"> </w:t>
      </w:r>
      <w:r w:rsidRPr="00742A04">
        <w:t>compr</w:t>
      </w:r>
      <w:r w:rsidRPr="00742A04">
        <w:t>a</w:t>
      </w:r>
      <w:r w:rsidRPr="00742A04">
        <w:t>dores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D0AB0" w:rsidRPr="00742A04">
        <w:t>clientes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 servicios de prostitutas</w:t>
      </w:r>
      <w:r w:rsidR="00545D1B" w:rsidRPr="00742A04">
        <w:t xml:space="preserve">, </w:t>
      </w:r>
      <w:r w:rsidR="005E6919" w:rsidRPr="00742A04">
        <w:t>concentra</w:t>
      </w:r>
      <w:r w:rsidRPr="00742A04">
        <w:t>ndo la aten</w:t>
      </w:r>
      <w:r w:rsidR="005E6919" w:rsidRPr="00742A04">
        <w:t>ción en</w:t>
      </w:r>
      <w:r w:rsidRPr="00742A04">
        <w:t xml:space="preserve"> la</w:t>
      </w:r>
      <w:r w:rsidR="00545D1B" w:rsidRPr="00742A04">
        <w:t xml:space="preserve"> </w:t>
      </w:r>
      <w:r w:rsidRPr="00742A04">
        <w:t>re</w:t>
      </w:r>
      <w:r w:rsidRPr="00742A04">
        <w:t>s</w:t>
      </w:r>
      <w:r w:rsidRPr="00742A04">
        <w:t>ponsab</w:t>
      </w:r>
      <w:r w:rsidRPr="00742A04">
        <w:t>i</w:t>
      </w:r>
      <w:r w:rsidRPr="00742A04">
        <w:t xml:space="preserve">lidad </w:t>
      </w:r>
      <w:r w:rsidR="00C076F2" w:rsidRPr="00742A04">
        <w:t xml:space="preserve">de los </w:t>
      </w:r>
      <w:r w:rsidR="007E0DFE" w:rsidRPr="00742A04">
        <w:t>hombres</w:t>
      </w:r>
      <w:r w:rsidR="00545D1B" w:rsidRPr="00742A04">
        <w:t xml:space="preserve"> </w:t>
      </w:r>
      <w:r w:rsidRPr="00742A04">
        <w:t>de abstenerse de procurar</w:t>
      </w:r>
      <w:r w:rsidR="00545D1B" w:rsidRPr="00742A04">
        <w:t xml:space="preserve"> </w:t>
      </w:r>
      <w:r w:rsidR="00E32F2A" w:rsidRPr="00742A04">
        <w:t>servicios sexuales</w:t>
      </w:r>
      <w:r w:rsidR="00545D1B" w:rsidRPr="00742A04">
        <w:t>.</w:t>
      </w:r>
    </w:p>
    <w:p w:rsidR="00545D1B" w:rsidRPr="00742A04" w:rsidRDefault="004118CA" w:rsidP="00D42876">
      <w:pPr>
        <w:pStyle w:val="SingleTxt"/>
        <w:ind w:firstLine="475"/>
      </w:pPr>
      <w:r w:rsidRPr="00742A04">
        <w:t>Se ha comenzado a trabajar en el</w:t>
      </w:r>
      <w:r w:rsidR="00545D1B" w:rsidRPr="00742A04">
        <w:t xml:space="preserve"> </w:t>
      </w:r>
      <w:r w:rsidR="00242371" w:rsidRPr="00742A04">
        <w:t>proceso</w:t>
      </w:r>
      <w:r w:rsidR="00545D1B" w:rsidRPr="00742A04">
        <w:t xml:space="preserve"> </w:t>
      </w:r>
      <w:r w:rsidRPr="00742A04">
        <w:t xml:space="preserve">comprensivo </w:t>
      </w:r>
      <w:r w:rsidR="004A0730" w:rsidRPr="00742A04">
        <w:t>de</w:t>
      </w:r>
      <w:r w:rsidR="00545D1B" w:rsidRPr="00742A04">
        <w:t xml:space="preserve"> identif</w:t>
      </w:r>
      <w:r w:rsidRPr="00742A04">
        <w:t>icación del</w:t>
      </w:r>
      <w:r w:rsidR="00545D1B" w:rsidRPr="00742A04">
        <w:t xml:space="preserve"> </w:t>
      </w:r>
      <w:r w:rsidRPr="00742A04">
        <w:t>grupo destinatario</w:t>
      </w:r>
      <w:r w:rsidR="00545D1B" w:rsidRPr="00742A04">
        <w:t xml:space="preserve"> </w:t>
      </w:r>
      <w:r w:rsidRPr="00742A04">
        <w:t>para poder entablar un</w:t>
      </w:r>
      <w:r w:rsidR="00545D1B" w:rsidRPr="00742A04">
        <w:t xml:space="preserve"> </w:t>
      </w:r>
      <w:r w:rsidR="0030350D" w:rsidRPr="00742A04">
        <w:t>diálogo</w:t>
      </w:r>
      <w:r w:rsidRPr="00742A04">
        <w:t xml:space="preserve"> directo con él</w:t>
      </w:r>
      <w:r w:rsidR="00545D1B" w:rsidRPr="00742A04">
        <w:t xml:space="preserve">. </w:t>
      </w:r>
      <w:r w:rsidRPr="00742A04">
        <w:t xml:space="preserve">Entre los grupos </w:t>
      </w:r>
      <w:r w:rsidR="00EF5B12" w:rsidRPr="00742A04">
        <w:t>particularmente</w:t>
      </w:r>
      <w:r w:rsidRPr="00742A04">
        <w:t xml:space="preserve"> pertinentes figuran los estudiantes adolescentes</w:t>
      </w:r>
      <w:r w:rsidR="00545D1B" w:rsidRPr="00742A04">
        <w:t>,</w:t>
      </w:r>
      <w:r w:rsidRPr="00742A04">
        <w:t xml:space="preserve"> los</w:t>
      </w:r>
      <w:r w:rsidR="00545D1B" w:rsidRPr="00742A04">
        <w:t xml:space="preserve"> sold</w:t>
      </w:r>
      <w:r w:rsidRPr="00742A04">
        <w:t>ados</w:t>
      </w:r>
      <w:r w:rsidR="00545D1B" w:rsidRPr="00742A04">
        <w:t xml:space="preserve">, </w:t>
      </w:r>
      <w:r w:rsidRPr="00742A04">
        <w:t>los t</w:t>
      </w:r>
      <w:r w:rsidR="00545D1B" w:rsidRPr="00742A04">
        <w:t>urist</w:t>
      </w:r>
      <w:r w:rsidRPr="00742A04">
        <w:t>a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Pr="00742A04">
        <w:t>los hombres de negocios</w:t>
      </w:r>
      <w:r w:rsidR="00545D1B" w:rsidRPr="00742A04">
        <w:t>. S</w:t>
      </w:r>
      <w:r w:rsidRPr="00742A04">
        <w:t>e proyecta aplicar medidas es</w:t>
      </w:r>
      <w:r w:rsidR="00545D1B" w:rsidRPr="00742A04">
        <w:t>pecia</w:t>
      </w:r>
      <w:r w:rsidR="005F7B32" w:rsidRPr="00742A04">
        <w:t xml:space="preserve">lmente </w:t>
      </w:r>
      <w:r w:rsidR="00545D1B" w:rsidRPr="00742A04">
        <w:t>d</w:t>
      </w:r>
      <w:r w:rsidRPr="00742A04">
        <w:t>is</w:t>
      </w:r>
      <w:r w:rsidRPr="00742A04">
        <w:t>e</w:t>
      </w:r>
      <w:r w:rsidRPr="00742A04">
        <w:t>ñadas</w:t>
      </w:r>
      <w:r w:rsidR="00545D1B" w:rsidRPr="00742A04">
        <w:t xml:space="preserve"> </w:t>
      </w:r>
      <w:r w:rsidR="00230F13" w:rsidRPr="00742A04">
        <w:t>con miras a</w:t>
      </w:r>
      <w:r w:rsidR="00545D1B" w:rsidRPr="00742A04">
        <w:t xml:space="preserve"> </w:t>
      </w:r>
      <w:r w:rsidR="00587443" w:rsidRPr="00742A04">
        <w:t>comun</w:t>
      </w:r>
      <w:r w:rsidR="00545D1B" w:rsidRPr="00742A04">
        <w:t>ica</w:t>
      </w:r>
      <w:r w:rsidRPr="00742A04">
        <w:t>rse</w:t>
      </w:r>
      <w:r w:rsidR="00545D1B" w:rsidRPr="00742A04">
        <w:t xml:space="preserve"> </w:t>
      </w:r>
      <w:r w:rsidR="004B58E9" w:rsidRPr="00742A04">
        <w:t>directamente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los grupos destinatarios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lugares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situa</w:t>
      </w:r>
      <w:r w:rsidR="008907B8" w:rsidRPr="00742A04">
        <w:t>cion</w:t>
      </w:r>
      <w:r w:rsidR="0081178E" w:rsidRPr="00742A04">
        <w:t xml:space="preserve">es </w:t>
      </w:r>
      <w:r w:rsidRPr="00742A04">
        <w:t>propicias para un</w:t>
      </w:r>
      <w:r w:rsidR="00545D1B" w:rsidRPr="00742A04">
        <w:t xml:space="preserve"> </w:t>
      </w:r>
      <w:r w:rsidR="00935A90" w:rsidRPr="00742A04">
        <w:t>comportamiento</w:t>
      </w:r>
      <w:r w:rsidRPr="00742A04">
        <w:t xml:space="preserve"> indeseable</w:t>
      </w:r>
      <w:r w:rsidR="00545D1B" w:rsidRPr="00742A04">
        <w:t xml:space="preserve">, </w:t>
      </w:r>
      <w:r w:rsidRPr="00742A04">
        <w:t>ya sea en la escuela</w:t>
      </w:r>
      <w:r w:rsidR="00545D1B" w:rsidRPr="00742A04">
        <w:t xml:space="preserve">, </w:t>
      </w:r>
      <w:r w:rsidR="00EF5B12" w:rsidRPr="00742A04">
        <w:t>en</w:t>
      </w:r>
      <w:r w:rsidR="00545D1B" w:rsidRPr="00742A04">
        <w:t xml:space="preserve"> </w:t>
      </w:r>
      <w:r w:rsidR="00116976" w:rsidRPr="00742A04">
        <w:t>el trabajo</w:t>
      </w:r>
      <w:r w:rsidR="007D4688" w:rsidRPr="00742A04">
        <w:t xml:space="preserve"> </w:t>
      </w:r>
      <w:r w:rsidRPr="00742A04">
        <w:t>o durante las</w:t>
      </w:r>
      <w:r w:rsidR="00545D1B" w:rsidRPr="00742A04">
        <w:t xml:space="preserve"> v</w:t>
      </w:r>
      <w:r w:rsidR="00545D1B" w:rsidRPr="00742A04">
        <w:t>a</w:t>
      </w:r>
      <w:r w:rsidR="00545D1B" w:rsidRPr="00742A04">
        <w:t>ca</w:t>
      </w:r>
      <w:r w:rsidR="00C27C42" w:rsidRPr="00742A04">
        <w:t>ci</w:t>
      </w:r>
      <w:r w:rsidRPr="00742A04">
        <w:t>o</w:t>
      </w:r>
      <w:r w:rsidR="00C14BFF" w:rsidRPr="00742A04">
        <w:t>n</w:t>
      </w:r>
      <w:r w:rsidRPr="00742A04">
        <w:t>es</w:t>
      </w:r>
      <w:r w:rsidR="00C27C42" w:rsidRPr="00742A04">
        <w:t>.</w:t>
      </w:r>
    </w:p>
    <w:p w:rsidR="00545D1B" w:rsidRPr="00742A04" w:rsidRDefault="004118CA" w:rsidP="00D42876">
      <w:pPr>
        <w:pStyle w:val="SingleTxt"/>
        <w:ind w:firstLine="475"/>
      </w:pPr>
      <w:r w:rsidRPr="00742A04">
        <w:t>El Ministerio de la Infancia y Asuntos de Familia ha encargado al</w:t>
      </w:r>
      <w:r w:rsidR="00545D1B" w:rsidRPr="00742A04">
        <w:t xml:space="preserve"> </w:t>
      </w:r>
      <w:r w:rsidR="001A3EBF" w:rsidRPr="00742A04">
        <w:t xml:space="preserve">Centro de Recursos para </w:t>
      </w:r>
      <w:r w:rsidRPr="00742A04">
        <w:t>los H</w:t>
      </w:r>
      <w:r w:rsidR="005C6D40" w:rsidRPr="00742A04">
        <w:t>ombres</w:t>
      </w:r>
      <w:r w:rsidR="00545D1B" w:rsidRPr="00742A04">
        <w:t xml:space="preserve"> </w:t>
      </w:r>
      <w:r w:rsidRPr="00742A04">
        <w:t>REFORM que cree y administre el sitio Web</w:t>
      </w:r>
      <w:r w:rsidR="00545D1B" w:rsidRPr="00742A04">
        <w:t xml:space="preserve"> </w:t>
      </w:r>
      <w:hyperlink r:id="rId16" w:history="1">
        <w:r w:rsidR="00545D1B" w:rsidRPr="00742A04">
          <w:rPr>
            <w:rStyle w:val="Hyperlink"/>
          </w:rPr>
          <w:t>www.sexhandel.no</w:t>
        </w:r>
      </w:hyperlink>
      <w:r w:rsidR="00545D1B" w:rsidRPr="00742A04">
        <w:t xml:space="preserve">. </w:t>
      </w:r>
      <w:r w:rsidRPr="00742A04">
        <w:t>Dicho sitio</w:t>
      </w:r>
      <w:r w:rsidR="00545D1B" w:rsidRPr="00742A04">
        <w:t xml:space="preserve"> </w:t>
      </w:r>
      <w:r w:rsidR="005E2D7A" w:rsidRPr="00742A04">
        <w:t>contiene</w:t>
      </w:r>
      <w:r w:rsidR="00545D1B" w:rsidRPr="00742A04">
        <w:t xml:space="preserve"> informa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Pr="00742A04">
        <w:t>hechos sobre la</w:t>
      </w:r>
      <w:r w:rsidR="00545D1B" w:rsidRPr="00742A04">
        <w:t xml:space="preserve"> </w:t>
      </w:r>
      <w:r w:rsidR="00A05847" w:rsidRPr="00742A04">
        <w:t>prostitución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15FC" w:rsidRPr="00742A04">
        <w:t>la trata de seres humanos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9B3BF1" w:rsidRPr="00742A04">
        <w:t>un foro de</w:t>
      </w:r>
      <w:r w:rsidR="00545D1B" w:rsidRPr="00742A04">
        <w:t xml:space="preserve"> </w:t>
      </w:r>
      <w:r w:rsidR="009B3BF1" w:rsidRPr="00742A04">
        <w:t>debates</w:t>
      </w:r>
      <w:r w:rsidR="00545D1B" w:rsidRPr="00742A04">
        <w:t xml:space="preserve">. </w:t>
      </w:r>
      <w:r w:rsidR="009B3BF1" w:rsidRPr="00742A04">
        <w:t xml:space="preserve">El Centro </w:t>
      </w:r>
      <w:r w:rsidR="00545D1B" w:rsidRPr="00742A04">
        <w:t xml:space="preserve">REFORM </w:t>
      </w:r>
      <w:r w:rsidR="0030626A" w:rsidRPr="00742A04">
        <w:t>también</w:t>
      </w:r>
      <w:r w:rsidR="00545D1B" w:rsidRPr="00742A04">
        <w:t xml:space="preserve"> </w:t>
      </w:r>
      <w:r w:rsidR="009B3BF1" w:rsidRPr="00742A04">
        <w:t>está encargado</w:t>
      </w:r>
      <w:r w:rsidR="00545D1B" w:rsidRPr="00742A04">
        <w:t xml:space="preserve"> </w:t>
      </w:r>
      <w:r w:rsidR="009B3BF1" w:rsidRPr="00742A04">
        <w:t>de operar un servicio de</w:t>
      </w:r>
      <w:r w:rsidR="00545D1B" w:rsidRPr="00742A04">
        <w:t xml:space="preserve"> </w:t>
      </w:r>
      <w:r w:rsidR="000A5430" w:rsidRPr="00742A04">
        <w:t>teléfono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B3BF1" w:rsidRPr="00742A04">
        <w:t xml:space="preserve">asesoramiento en </w:t>
      </w:r>
      <w:r w:rsidR="00545D1B" w:rsidRPr="00742A04">
        <w:t>l</w:t>
      </w:r>
      <w:r w:rsidR="009B3BF1" w:rsidRPr="00742A04">
        <w:t>í</w:t>
      </w:r>
      <w:r w:rsidR="00545D1B" w:rsidRPr="00742A04">
        <w:t>nea.</w:t>
      </w:r>
    </w:p>
    <w:p w:rsidR="00545D1B" w:rsidRPr="00742A04" w:rsidRDefault="009B3BF1" w:rsidP="00D42876">
      <w:pPr>
        <w:pStyle w:val="SingleTxt"/>
        <w:ind w:firstLine="475"/>
      </w:pPr>
      <w:r w:rsidRPr="00742A04">
        <w:t xml:space="preserve">Otro medio </w:t>
      </w:r>
      <w:r w:rsidR="00AE7B93" w:rsidRPr="00742A04">
        <w:t>importante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reduci</w:t>
      </w:r>
      <w:r w:rsidRPr="00742A04">
        <w:t>r</w:t>
      </w:r>
      <w:r w:rsidR="00545D1B" w:rsidRPr="00742A04">
        <w:t xml:space="preserve"> </w:t>
      </w:r>
      <w:r w:rsidR="0059357E" w:rsidRPr="00742A04">
        <w:t>la captación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64906" w:rsidRPr="00742A04">
        <w:t>la demanda</w:t>
      </w:r>
      <w:r w:rsidR="00545D1B" w:rsidRPr="00742A04">
        <w:t xml:space="preserve"> </w:t>
      </w:r>
      <w:r w:rsidRPr="00742A04">
        <w:t>consiste en</w:t>
      </w:r>
      <w:r w:rsidR="00545D1B" w:rsidRPr="00742A04">
        <w:t xml:space="preserve"> est</w:t>
      </w:r>
      <w:r w:rsidR="00545D1B" w:rsidRPr="00742A04">
        <w:t>a</w:t>
      </w:r>
      <w:r w:rsidR="00545D1B" w:rsidRPr="00742A04">
        <w:t>bl</w:t>
      </w:r>
      <w:r w:rsidRPr="00742A04">
        <w:t>ecer</w:t>
      </w:r>
      <w:r w:rsidR="00545D1B" w:rsidRPr="00742A04">
        <w:t xml:space="preserve"> “</w:t>
      </w:r>
      <w:r w:rsidR="006D079E" w:rsidRPr="00742A04">
        <w:t>directrices éticas</w:t>
      </w:r>
      <w:r w:rsidR="00545D1B" w:rsidRPr="00742A04">
        <w:t xml:space="preserve">”. </w:t>
      </w:r>
      <w:r w:rsidR="004A0730" w:rsidRPr="00742A04">
        <w:t>En</w:t>
      </w:r>
      <w:r w:rsidR="00545D1B" w:rsidRPr="00742A04">
        <w:t xml:space="preserve"> </w:t>
      </w:r>
      <w:r w:rsidR="00130F7F" w:rsidRPr="00742A04">
        <w:t>el Informe</w:t>
      </w:r>
      <w:r w:rsidR="001167D2" w:rsidRPr="00742A04">
        <w:t xml:space="preserve"> N° </w:t>
      </w:r>
      <w:r w:rsidR="00545D1B" w:rsidRPr="00742A04">
        <w:t xml:space="preserve">28 </w:t>
      </w:r>
      <w:r w:rsidRPr="00742A04">
        <w:t>sobre</w:t>
      </w:r>
      <w:r w:rsidR="00545D1B" w:rsidRPr="00742A04">
        <w:t xml:space="preserve"> </w:t>
      </w:r>
      <w:r w:rsidR="00552048" w:rsidRPr="00742A04">
        <w:t>Política</w:t>
      </w:r>
      <w:r w:rsidRPr="00742A04">
        <w:t xml:space="preserve"> de Personal</w:t>
      </w:r>
      <w:r w:rsidR="00545D1B" w:rsidRPr="00742A04">
        <w:t xml:space="preserve">, </w:t>
      </w:r>
      <w:r w:rsidRPr="00742A04">
        <w:t>se dec</w:t>
      </w:r>
      <w:r w:rsidRPr="00742A04">
        <w:t>i</w:t>
      </w:r>
      <w:r w:rsidRPr="00742A04">
        <w:t>dió</w:t>
      </w:r>
      <w:r w:rsidR="00545D1B" w:rsidRPr="00742A04">
        <w:t xml:space="preserve"> </w:t>
      </w:r>
      <w:r w:rsidRPr="00742A04">
        <w:t>implantar</w:t>
      </w:r>
      <w:r w:rsidR="00545D1B" w:rsidRPr="00742A04">
        <w:t xml:space="preserve"> </w:t>
      </w:r>
      <w:r w:rsidR="006D079E" w:rsidRPr="00742A04">
        <w:t>directrices éticas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los funcionarios públicos</w:t>
      </w:r>
      <w:r w:rsidR="00545D1B" w:rsidRPr="00742A04">
        <w:t xml:space="preserve"> prohibi</w:t>
      </w:r>
      <w:r w:rsidRPr="00742A04">
        <w:t>endo</w:t>
      </w:r>
      <w:r w:rsidR="00545D1B" w:rsidRPr="00742A04">
        <w:t xml:space="preserve"> </w:t>
      </w:r>
      <w:r w:rsidR="00E32F2A" w:rsidRPr="00742A04">
        <w:t>la compra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acepta</w:t>
      </w:r>
      <w:r w:rsidRPr="00742A04">
        <w:t>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32F2A" w:rsidRPr="00742A04">
        <w:t>servicios sexuales</w:t>
      </w:r>
      <w:r w:rsidR="00545D1B" w:rsidRPr="00742A04">
        <w:t xml:space="preserve">. </w:t>
      </w:r>
      <w:r w:rsidRPr="00742A04">
        <w:t>Posteriormente esa</w:t>
      </w:r>
      <w:r w:rsidR="00545D1B" w:rsidRPr="00742A04">
        <w:t xml:space="preserve"> </w:t>
      </w:r>
      <w:r w:rsidR="00614C7D" w:rsidRPr="00742A04">
        <w:t>iniciativa</w:t>
      </w:r>
      <w:r w:rsidR="00545D1B" w:rsidRPr="00742A04">
        <w:t xml:space="preserve"> </w:t>
      </w:r>
      <w:r w:rsidRPr="00742A04">
        <w:t xml:space="preserve">se </w:t>
      </w:r>
      <w:r w:rsidR="00545D1B" w:rsidRPr="00742A04">
        <w:t>ha</w:t>
      </w:r>
      <w:r w:rsidRPr="00742A04">
        <w:t xml:space="preserve"> difundido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Pr="00742A04">
        <w:t>otras</w:t>
      </w:r>
      <w:r w:rsidR="00545D1B" w:rsidRPr="00742A04">
        <w:t xml:space="preserve"> </w:t>
      </w:r>
      <w:r w:rsidR="00FB5EDF" w:rsidRPr="00742A04">
        <w:t>organizaci</w:t>
      </w:r>
      <w:r w:rsidR="00FB5EDF" w:rsidRPr="00742A04">
        <w:t>o</w:t>
      </w:r>
      <w:r w:rsidR="00FB5EDF" w:rsidRPr="00742A04">
        <w:t>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grande</w:t>
      </w:r>
      <w:r w:rsidR="00AD0883" w:rsidRPr="00742A04">
        <w:t>s empleadores</w:t>
      </w:r>
      <w:r w:rsidR="00545D1B" w:rsidRPr="00742A04">
        <w:t xml:space="preserve"> ha</w:t>
      </w:r>
      <w:r w:rsidRPr="00742A04">
        <w:t>n</w:t>
      </w:r>
      <w:r w:rsidR="00545D1B" w:rsidRPr="00742A04">
        <w:t xml:space="preserve"> establ</w:t>
      </w:r>
      <w:r w:rsidRPr="00742A04">
        <w:t>ecido</w:t>
      </w:r>
      <w:r w:rsidR="00545D1B" w:rsidRPr="00742A04">
        <w:t xml:space="preserve"> </w:t>
      </w:r>
      <w:r w:rsidR="00802868" w:rsidRPr="00742A04">
        <w:t>normas</w:t>
      </w:r>
      <w:r w:rsidRPr="00742A04">
        <w:t xml:space="preserve"> análogas</w:t>
      </w:r>
      <w:r w:rsidR="00545D1B" w:rsidRPr="00742A04">
        <w:t>.</w:t>
      </w:r>
    </w:p>
    <w:p w:rsidR="00545D1B" w:rsidRPr="00742A04" w:rsidRDefault="00A826CB" w:rsidP="00D42876">
      <w:pPr>
        <w:pStyle w:val="SingleTxt"/>
        <w:ind w:firstLine="475"/>
      </w:pPr>
      <w:r w:rsidRPr="00742A04">
        <w:t>Antes de</w:t>
      </w:r>
      <w:r w:rsidR="00545D1B" w:rsidRPr="00742A04">
        <w:t xml:space="preserve"> </w:t>
      </w:r>
      <w:r w:rsidR="009B3BF1" w:rsidRPr="00742A04">
        <w:t>ser</w:t>
      </w:r>
      <w:r w:rsidR="00545D1B" w:rsidRPr="00742A04">
        <w:t xml:space="preserve"> </w:t>
      </w:r>
      <w:r w:rsidR="009B3BF1" w:rsidRPr="00742A04">
        <w:t>desplegado e</w:t>
      </w:r>
      <w:r w:rsidR="00545D1B" w:rsidRPr="00742A04">
        <w:t xml:space="preserve">n </w:t>
      </w:r>
      <w:r w:rsidR="009B3BF1" w:rsidRPr="00742A04">
        <w:t>operaciones internacionales</w:t>
      </w:r>
      <w:r w:rsidR="00545D1B" w:rsidRPr="00742A04">
        <w:t xml:space="preserve">, </w:t>
      </w:r>
      <w:r w:rsidR="009B3BF1" w:rsidRPr="00742A04">
        <w:t xml:space="preserve">el </w:t>
      </w:r>
      <w:r w:rsidR="00E573DD" w:rsidRPr="00742A04">
        <w:t>personal</w:t>
      </w:r>
      <w:r w:rsidR="00545D1B" w:rsidRPr="00742A04">
        <w:t xml:space="preserve"> </w:t>
      </w:r>
      <w:r w:rsidR="009B3BF1" w:rsidRPr="00742A04">
        <w:t>de Noru</w:t>
      </w:r>
      <w:r w:rsidR="009B3BF1" w:rsidRPr="00742A04">
        <w:t>e</w:t>
      </w:r>
      <w:r w:rsidR="009B3BF1" w:rsidRPr="00742A04">
        <w:t xml:space="preserve">ga </w:t>
      </w:r>
      <w:r w:rsidR="0020526A" w:rsidRPr="00742A04">
        <w:t xml:space="preserve">debe </w:t>
      </w:r>
      <w:r w:rsidR="009B3BF1" w:rsidRPr="00742A04">
        <w:t>recibir</w:t>
      </w:r>
      <w:r w:rsidR="00545D1B" w:rsidRPr="00742A04">
        <w:t xml:space="preserve"> instruc</w:t>
      </w:r>
      <w:r w:rsidR="00C14BFF" w:rsidRPr="00742A04">
        <w:t xml:space="preserve">ción </w:t>
      </w:r>
      <w:r w:rsidR="009B3BF1" w:rsidRPr="00742A04">
        <w:t>sobre</w:t>
      </w:r>
      <w:r w:rsidR="00545D1B" w:rsidRPr="00742A04">
        <w:t xml:space="preserve"> </w:t>
      </w:r>
      <w:r w:rsidR="00502E16" w:rsidRPr="00742A04">
        <w:t>los desafíos</w:t>
      </w:r>
      <w:r w:rsidR="00545D1B" w:rsidRPr="00742A04">
        <w:t xml:space="preserve"> </w:t>
      </w:r>
      <w:r w:rsidR="009B3BF1" w:rsidRPr="00742A04">
        <w:t>que se pueden plantear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situa</w:t>
      </w:r>
      <w:r w:rsidR="008907B8" w:rsidRPr="00742A04">
        <w:t>ci</w:t>
      </w:r>
      <w:r w:rsidR="008907B8" w:rsidRPr="00742A04">
        <w:t>o</w:t>
      </w:r>
      <w:r w:rsidR="008907B8" w:rsidRPr="00742A04">
        <w:t>nes</w:t>
      </w:r>
      <w:r w:rsidR="00545D1B" w:rsidRPr="00742A04">
        <w:t xml:space="preserve"> </w:t>
      </w:r>
      <w:r w:rsidR="009B3BF1" w:rsidRPr="00742A04">
        <w:t>concretas a las que se enfrentarán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B3BF1" w:rsidRPr="00742A04">
        <w:t>el</w:t>
      </w:r>
      <w:r w:rsidR="00545D1B" w:rsidRPr="00742A04">
        <w:t xml:space="preserve"> </w:t>
      </w:r>
      <w:r w:rsidR="00893DF9" w:rsidRPr="00742A04">
        <w:t>país</w:t>
      </w:r>
      <w:r w:rsidR="00545D1B" w:rsidRPr="00742A04">
        <w:t xml:space="preserve"> </w:t>
      </w:r>
      <w:r w:rsidR="009B3BF1" w:rsidRPr="00742A04">
        <w:t>de que se trate y deben ser equipados para hacer frente a dichos desafíos</w:t>
      </w:r>
      <w:r w:rsidR="00545D1B" w:rsidRPr="00742A04">
        <w:t>.</w:t>
      </w:r>
      <w:r w:rsidR="001167D2" w:rsidRPr="00742A04">
        <w:t xml:space="preserve"> </w:t>
      </w:r>
      <w:r w:rsidR="009B3BF1" w:rsidRPr="00742A04">
        <w:t>E</w:t>
      </w:r>
      <w:r w:rsidR="001167D2" w:rsidRPr="00742A04">
        <w:t>l</w:t>
      </w:r>
      <w:r w:rsidR="009B3BF1" w:rsidRPr="00742A04">
        <w:t xml:space="preserve">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515FC" w:rsidRPr="00742A04">
        <w:t>Defensa</w:t>
      </w:r>
      <w:r w:rsidR="00545D1B" w:rsidRPr="00742A04">
        <w:t xml:space="preserve"> </w:t>
      </w:r>
      <w:r w:rsidR="00BB4DB1" w:rsidRPr="00742A04">
        <w:t xml:space="preserve">y 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Ju</w:t>
      </w:r>
      <w:r w:rsidR="007C341F" w:rsidRPr="00742A04">
        <w:t>s</w:t>
      </w:r>
      <w:r w:rsidR="007C341F" w:rsidRPr="00742A04">
        <w:t>ticia</w:t>
      </w:r>
      <w:r w:rsidR="00545D1B" w:rsidRPr="00742A04">
        <w:t xml:space="preserve"> </w:t>
      </w:r>
      <w:r w:rsidR="009B3BF1" w:rsidRPr="00742A04">
        <w:t>serán</w:t>
      </w:r>
      <w:r w:rsidR="00545D1B" w:rsidRPr="00742A04">
        <w:t xml:space="preserve"> </w:t>
      </w:r>
      <w:r w:rsidR="004F2F8A" w:rsidRPr="00742A04">
        <w:t>responsables</w:t>
      </w:r>
      <w:r w:rsidR="00545D1B" w:rsidRPr="00742A04">
        <w:t xml:space="preserve"> </w:t>
      </w:r>
      <w:r w:rsidR="009B3BF1" w:rsidRPr="00742A04">
        <w:t>de</w:t>
      </w:r>
      <w:r w:rsidR="00545D1B" w:rsidRPr="00742A04">
        <w:t xml:space="preserve"> </w:t>
      </w:r>
      <w:r w:rsidR="00A5364F" w:rsidRPr="00742A04">
        <w:t>asegurar</w:t>
      </w:r>
      <w:r w:rsidR="00545D1B" w:rsidRPr="00742A04">
        <w:t xml:space="preserve"> </w:t>
      </w:r>
      <w:r w:rsidR="009B3BF1" w:rsidRPr="00742A04">
        <w:t>que ese</w:t>
      </w:r>
      <w:r w:rsidR="00545D1B" w:rsidRPr="00742A04">
        <w:t xml:space="preserve"> </w:t>
      </w:r>
      <w:r w:rsidR="00E573DD" w:rsidRPr="00742A04">
        <w:t>personal</w:t>
      </w:r>
      <w:r w:rsidR="00545D1B" w:rsidRPr="00742A04">
        <w:t xml:space="preserve"> rec</w:t>
      </w:r>
      <w:r w:rsidR="009B3BF1" w:rsidRPr="00742A04">
        <w:t>iba la</w:t>
      </w:r>
      <w:r w:rsidR="00545D1B" w:rsidRPr="00742A04">
        <w:t xml:space="preserve"> </w:t>
      </w:r>
      <w:r w:rsidR="00F43124" w:rsidRPr="00742A04">
        <w:t>capacitación</w:t>
      </w:r>
      <w:r w:rsidR="009B3BF1" w:rsidRPr="00742A04">
        <w:t xml:space="preserve"> neces</w:t>
      </w:r>
      <w:r w:rsidR="009B3BF1" w:rsidRPr="00742A04">
        <w:t>a</w:t>
      </w:r>
      <w:r w:rsidR="009B3BF1" w:rsidRPr="00742A04">
        <w:t>ria</w:t>
      </w:r>
      <w:r w:rsidR="00545D1B" w:rsidRPr="00742A04">
        <w:t xml:space="preserve">. </w:t>
      </w:r>
      <w:r w:rsidR="009B3BF1" w:rsidRPr="00742A04">
        <w:t>La i</w:t>
      </w:r>
      <w:r w:rsidR="00545D1B" w:rsidRPr="00742A04">
        <w:t>nstruc</w:t>
      </w:r>
      <w:r w:rsidR="00C14BFF" w:rsidRPr="00742A04">
        <w:t xml:space="preserve">ción </w:t>
      </w:r>
      <w:r w:rsidR="007D4688" w:rsidRPr="00742A04">
        <w:t>debe</w:t>
      </w:r>
      <w:r w:rsidR="00545D1B" w:rsidRPr="00742A04">
        <w:t xml:space="preserve"> </w:t>
      </w:r>
      <w:r w:rsidR="009B3BF1" w:rsidRPr="00742A04">
        <w:t>comprender una</w:t>
      </w:r>
      <w:r w:rsidR="00545D1B" w:rsidRPr="00742A04">
        <w:t xml:space="preserve"> </w:t>
      </w:r>
      <w:r w:rsidR="00D165B5" w:rsidRPr="00742A04">
        <w:t>Introducción</w:t>
      </w:r>
      <w:r w:rsidR="00545D1B" w:rsidRPr="00742A04">
        <w:t xml:space="preserve"> </w:t>
      </w:r>
      <w:r w:rsidR="0030626A" w:rsidRPr="00742A04">
        <w:t>a</w:t>
      </w:r>
      <w:r w:rsidR="009B3BF1" w:rsidRPr="00742A04">
        <w:t>l</w:t>
      </w:r>
      <w:r w:rsidR="00545D1B" w:rsidRPr="00742A04">
        <w:t xml:space="preserve"> </w:t>
      </w:r>
      <w:r w:rsidR="008907B8" w:rsidRPr="00742A04">
        <w:t>Código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Conducta</w:t>
      </w:r>
      <w:r w:rsidR="00545D1B" w:rsidRPr="00742A04">
        <w:t xml:space="preserve"> </w:t>
      </w:r>
      <w:r w:rsidR="007F6C30" w:rsidRPr="00742A04">
        <w:t xml:space="preserve">de las Naciones Unidas </w:t>
      </w:r>
      <w:r w:rsidR="008907B8" w:rsidRPr="00742A04">
        <w:t>para el Comportamiento Personal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B3BF1" w:rsidRPr="00742A04">
        <w:t xml:space="preserve">a </w:t>
      </w:r>
      <w:r w:rsidR="008907B8" w:rsidRPr="00742A04">
        <w:t xml:space="preserve">las Directrices </w:t>
      </w:r>
      <w:r w:rsidR="00F43124" w:rsidRPr="00742A04">
        <w:t xml:space="preserve">de la </w:t>
      </w:r>
      <w:r w:rsidR="00D515FC" w:rsidRPr="00742A04">
        <w:t>OTAN</w:t>
      </w:r>
      <w:r w:rsidR="00545D1B" w:rsidRPr="00742A04">
        <w:t xml:space="preserve"> </w:t>
      </w:r>
      <w:r w:rsidR="008907B8" w:rsidRPr="00742A04">
        <w:t>sobre la lucha contra la trata de seres humanos</w:t>
      </w:r>
      <w:r w:rsidR="00545D1B" w:rsidRPr="00742A04">
        <w:t xml:space="preserve"> </w:t>
      </w:r>
      <w:r w:rsidR="008907B8" w:rsidRPr="00742A04">
        <w:t>por las fuerzas militares</w:t>
      </w:r>
      <w:r w:rsidR="00545D1B" w:rsidRPr="00742A04">
        <w:t xml:space="preserve"> </w:t>
      </w:r>
      <w:r w:rsidR="00BB4DB1" w:rsidRPr="00742A04">
        <w:t xml:space="preserve">y el </w:t>
      </w:r>
      <w:r w:rsidR="008907B8" w:rsidRPr="00742A04">
        <w:t>personal civil</w:t>
      </w:r>
      <w:r w:rsidR="00545D1B" w:rsidRPr="00742A04">
        <w:t xml:space="preserve"> de</w:t>
      </w:r>
      <w:r w:rsidR="008907B8" w:rsidRPr="00742A04">
        <w:t>s</w:t>
      </w:r>
      <w:r w:rsidR="00545D1B" w:rsidRPr="00742A04">
        <w:t>pl</w:t>
      </w:r>
      <w:r w:rsidR="008907B8" w:rsidRPr="00742A04">
        <w:t>egados en</w:t>
      </w:r>
      <w:r w:rsidR="00545D1B" w:rsidRPr="00742A04">
        <w:t xml:space="preserve"> opera</w:t>
      </w:r>
      <w:r w:rsidR="008907B8" w:rsidRPr="00742A04">
        <w:t xml:space="preserve">ciones dirigidas </w:t>
      </w:r>
      <w:r w:rsidR="00614C7D" w:rsidRPr="00742A04">
        <w:t xml:space="preserve">por la </w:t>
      </w:r>
      <w:r w:rsidR="008907B8" w:rsidRPr="00742A04">
        <w:t>OTAN</w:t>
      </w:r>
      <w:r w:rsidR="00545D1B" w:rsidRPr="00742A04">
        <w:t xml:space="preserve">. </w:t>
      </w:r>
      <w:r w:rsidR="009B3BF1" w:rsidRPr="00742A04">
        <w:t>Todo el</w:t>
      </w:r>
      <w:r w:rsidR="00545D1B" w:rsidRPr="00742A04">
        <w:t xml:space="preserve"> </w:t>
      </w:r>
      <w:r w:rsidR="00E573DD" w:rsidRPr="00742A04">
        <w:t>personal</w:t>
      </w:r>
      <w:r w:rsidR="00545D1B" w:rsidRPr="00742A04">
        <w:t xml:space="preserve"> </w:t>
      </w:r>
      <w:r w:rsidR="009B3BF1" w:rsidRPr="00742A04">
        <w:t>de N</w:t>
      </w:r>
      <w:r w:rsidR="009B3BF1" w:rsidRPr="00742A04">
        <w:t>o</w:t>
      </w:r>
      <w:r w:rsidR="009B3BF1" w:rsidRPr="00742A04">
        <w:t xml:space="preserve">ruega </w:t>
      </w:r>
      <w:r w:rsidR="000F0ACC" w:rsidRPr="00742A04">
        <w:t>también</w:t>
      </w:r>
      <w:r w:rsidR="000A5430" w:rsidRPr="00742A04">
        <w:t xml:space="preserve"> debe</w:t>
      </w:r>
      <w:r w:rsidR="00545D1B" w:rsidRPr="00742A04">
        <w:t xml:space="preserve"> </w:t>
      </w:r>
      <w:r w:rsidR="009B3BF1" w:rsidRPr="00742A04">
        <w:t>tener</w:t>
      </w:r>
      <w:r w:rsidR="00545D1B" w:rsidRPr="00742A04">
        <w:t xml:space="preserve"> </w:t>
      </w:r>
      <w:r w:rsidR="00F43124" w:rsidRPr="00742A04">
        <w:t>capacitación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30F7F" w:rsidRPr="00742A04">
        <w:t>derecho internacional</w:t>
      </w:r>
      <w:r w:rsidR="00545D1B" w:rsidRPr="00742A04">
        <w:t xml:space="preserve">, </w:t>
      </w:r>
      <w:r w:rsidR="00230F13" w:rsidRPr="00742A04">
        <w:t>en particular</w:t>
      </w:r>
      <w:r w:rsidR="00545D1B" w:rsidRPr="00742A04">
        <w:t xml:space="preserve"> </w:t>
      </w:r>
      <w:r w:rsidR="00ED182B">
        <w:t>en</w:t>
      </w:r>
      <w:r w:rsidR="009B3BF1" w:rsidRPr="00742A04">
        <w:t xml:space="preserve"> d</w:t>
      </w:r>
      <w:r w:rsidR="009B3BF1" w:rsidRPr="00742A04">
        <w:t>e</w:t>
      </w:r>
      <w:r w:rsidR="009B3BF1" w:rsidRPr="00742A04">
        <w:t xml:space="preserve">recho </w:t>
      </w:r>
      <w:r w:rsidR="00EF5B12">
        <w:t>humanitario</w:t>
      </w:r>
      <w:r w:rsidR="00545D1B" w:rsidRPr="00742A04">
        <w:t xml:space="preserve"> </w:t>
      </w:r>
      <w:r w:rsidR="009B3BF1" w:rsidRPr="00742A04">
        <w:t>y derecho</w:t>
      </w:r>
      <w:r w:rsidR="002E5047" w:rsidRPr="00742A04">
        <w:t xml:space="preserve"> i</w:t>
      </w:r>
      <w:r w:rsidR="001167D2" w:rsidRPr="00742A04">
        <w:t>nternacional</w:t>
      </w:r>
      <w:r w:rsidR="00545D1B" w:rsidRPr="00742A04">
        <w:t xml:space="preserve"> </w:t>
      </w:r>
      <w:r w:rsidR="009B3BF1" w:rsidRPr="00742A04">
        <w:t xml:space="preserve">de los </w:t>
      </w:r>
      <w:r w:rsidR="00A05847" w:rsidRPr="00742A04">
        <w:t>derechos humanos</w:t>
      </w:r>
      <w:r w:rsidR="00545D1B" w:rsidRPr="00742A04">
        <w:t xml:space="preserve">, </w:t>
      </w:r>
      <w:r w:rsidR="009B3BF1" w:rsidRPr="00742A04">
        <w:t>incluidas las</w:t>
      </w:r>
      <w:r w:rsidR="00545D1B" w:rsidRPr="00742A04">
        <w:t xml:space="preserve"> </w:t>
      </w:r>
      <w:r w:rsidR="00802868" w:rsidRPr="00742A04">
        <w:t>normas relativas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657260" w:rsidRPr="00742A04">
        <w:t>viole</w:t>
      </w:r>
      <w:r w:rsidR="00657260" w:rsidRPr="00742A04">
        <w:t>n</w:t>
      </w:r>
      <w:r w:rsidR="00657260" w:rsidRPr="00742A04">
        <w:t>cia sexual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15FC" w:rsidRPr="00742A04">
        <w:t>la trata de seres humanos</w:t>
      </w:r>
      <w:r w:rsidR="00545D1B" w:rsidRPr="00742A04">
        <w:t>.</w:t>
      </w:r>
    </w:p>
    <w:p w:rsidR="00B85C95" w:rsidRPr="00742A04" w:rsidRDefault="00B85C95" w:rsidP="00B85C95">
      <w:pPr>
        <w:pStyle w:val="H23"/>
        <w:spacing w:line="120" w:lineRule="exact"/>
        <w:ind w:left="1267"/>
        <w:rPr>
          <w:bCs/>
          <w:sz w:val="10"/>
        </w:rPr>
      </w:pPr>
    </w:p>
    <w:p w:rsidR="00545D1B" w:rsidRPr="00742A04" w:rsidRDefault="00D42876" w:rsidP="00D42876">
      <w:pPr>
        <w:pStyle w:val="HCh"/>
        <w:spacing w:line="240" w:lineRule="auto"/>
        <w:ind w:left="1267" w:right="1267" w:hanging="547"/>
        <w:rPr>
          <w:bCs/>
        </w:rPr>
      </w:pPr>
      <w:r w:rsidRPr="00742A04">
        <w:rPr>
          <w:bCs/>
        </w:rPr>
        <w:br w:type="page"/>
      </w:r>
      <w:r w:rsidR="00B85C95" w:rsidRPr="00742A04">
        <w:rPr>
          <w:bCs/>
        </w:rPr>
        <w:t>Segunda parte</w:t>
      </w:r>
    </w:p>
    <w:p w:rsidR="00B85C95" w:rsidRPr="00742A04" w:rsidRDefault="00B85C95" w:rsidP="00B85C95">
      <w:pPr>
        <w:pStyle w:val="H23"/>
        <w:spacing w:line="120" w:lineRule="exact"/>
        <w:ind w:left="1267"/>
        <w:rPr>
          <w:bCs/>
          <w:sz w:val="10"/>
        </w:rPr>
      </w:pPr>
      <w:bookmarkStart w:id="25" w:name="_Toc131924673"/>
      <w:bookmarkStart w:id="26" w:name="_Toc147129462"/>
    </w:p>
    <w:p w:rsidR="00B85C95" w:rsidRPr="00742A04" w:rsidRDefault="00814B5D" w:rsidP="00381B36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B85C95" w:rsidRPr="00742A04">
        <w:rPr>
          <w:bCs/>
        </w:rPr>
        <w:t xml:space="preserve"> 7</w:t>
      </w:r>
    </w:p>
    <w:p w:rsidR="00545D1B" w:rsidRPr="00742A04" w:rsidRDefault="00A05847" w:rsidP="00381B36">
      <w:pPr>
        <w:pStyle w:val="H1"/>
        <w:ind w:left="1267"/>
        <w:rPr>
          <w:bCs/>
        </w:rPr>
      </w:pPr>
      <w:r w:rsidRPr="00742A04">
        <w:rPr>
          <w:bCs/>
        </w:rPr>
        <w:t>Participación política</w:t>
      </w:r>
      <w:bookmarkEnd w:id="25"/>
      <w:bookmarkEnd w:id="26"/>
      <w:r w:rsidR="00545D1B" w:rsidRPr="00742A04">
        <w:rPr>
          <w:bCs/>
        </w:rPr>
        <w:t xml:space="preserve"> </w:t>
      </w:r>
    </w:p>
    <w:p w:rsidR="00B85C95" w:rsidRPr="00742A04" w:rsidRDefault="00B85C95" w:rsidP="00381B36">
      <w:pPr>
        <w:pStyle w:val="H1"/>
        <w:ind w:left="1267"/>
        <w:rPr>
          <w:bCs/>
          <w:sz w:val="10"/>
        </w:rPr>
      </w:pPr>
      <w:bookmarkStart w:id="27" w:name="_Toc131924674"/>
      <w:bookmarkStart w:id="28" w:name="_Toc147129463"/>
    </w:p>
    <w:p w:rsidR="00B85C95" w:rsidRPr="00742A04" w:rsidRDefault="00814B5D" w:rsidP="009B3BF1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381B36" w:rsidRPr="00742A04">
        <w:rPr>
          <w:bCs/>
        </w:rPr>
        <w:t xml:space="preserve"> 7 </w:t>
      </w:r>
      <w:r w:rsidR="00381B36" w:rsidRPr="00742A04">
        <w:rPr>
          <w:bCs/>
          <w:i/>
        </w:rPr>
        <w:t>a</w:t>
      </w:r>
    </w:p>
    <w:p w:rsidR="00545D1B" w:rsidRPr="00742A04" w:rsidRDefault="00A05847" w:rsidP="009B3BF1">
      <w:pPr>
        <w:pStyle w:val="H23"/>
        <w:ind w:left="1267"/>
        <w:rPr>
          <w:bCs/>
        </w:rPr>
      </w:pPr>
      <w:r w:rsidRPr="00742A04">
        <w:rPr>
          <w:bCs/>
        </w:rPr>
        <w:t>Elecciones y órganos electivos</w:t>
      </w:r>
      <w:bookmarkEnd w:id="27"/>
      <w:bookmarkEnd w:id="28"/>
    </w:p>
    <w:p w:rsidR="00B85C95" w:rsidRPr="00742A04" w:rsidRDefault="00B85C95" w:rsidP="00B85C95">
      <w:pPr>
        <w:pStyle w:val="SingleTxt"/>
        <w:spacing w:after="0" w:line="120" w:lineRule="exact"/>
        <w:rPr>
          <w:sz w:val="10"/>
        </w:rPr>
      </w:pPr>
    </w:p>
    <w:p w:rsidR="00545D1B" w:rsidRPr="00742A04" w:rsidRDefault="005C6D40" w:rsidP="005F6769">
      <w:pPr>
        <w:pStyle w:val="SingleTxt"/>
        <w:ind w:firstLine="475"/>
      </w:pPr>
      <w:r w:rsidRPr="00742A04">
        <w:t>Los 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D182B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A3C01" w:rsidRPr="00742A04">
        <w:t>tienen evidentemente</w:t>
      </w:r>
      <w:r w:rsidR="00545D1B" w:rsidRPr="00742A04">
        <w:t xml:space="preserve"> </w:t>
      </w:r>
      <w:r w:rsidR="008A3C01" w:rsidRPr="00742A04">
        <w:t xml:space="preserve">un </w:t>
      </w:r>
      <w:r w:rsidR="00581775" w:rsidRPr="00742A04">
        <w:t>igual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participa</w:t>
      </w:r>
      <w:r w:rsidR="008A3C01" w:rsidRPr="00742A04">
        <w:t>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A3C01" w:rsidRPr="00742A04">
        <w:t>las funciones democráticas básicas</w:t>
      </w:r>
      <w:r w:rsidR="00545D1B" w:rsidRPr="00742A04">
        <w:t xml:space="preserve">. </w:t>
      </w:r>
      <w:r w:rsidR="00831293" w:rsidRPr="00742A04">
        <w:t>Por consiguiente,</w:t>
      </w:r>
      <w:r w:rsidR="00975FBB">
        <w:t xml:space="preserve"> desde el </w:t>
      </w:r>
      <w:r w:rsidR="008A3C01" w:rsidRPr="00742A04">
        <w:t>punto de vista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A3C01" w:rsidRPr="00742A04">
        <w:t xml:space="preserve">los </w:t>
      </w:r>
      <w:r w:rsidR="00B83FEB" w:rsidRPr="00742A04">
        <w:t>derecho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831293" w:rsidRPr="00742A04">
        <w:t xml:space="preserve">la </w:t>
      </w:r>
      <w:r w:rsidR="00545D1B" w:rsidRPr="00742A04">
        <w:t>equ</w:t>
      </w:r>
      <w:r w:rsidR="00502E16" w:rsidRPr="00742A04">
        <w:t>idad</w:t>
      </w:r>
      <w:r w:rsidR="00545D1B" w:rsidRPr="00742A04">
        <w:t xml:space="preserve">, </w:t>
      </w:r>
      <w:r w:rsidR="00BD47D3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831293" w:rsidRPr="00742A04">
        <w:t>hacer hincapié en un</w:t>
      </w:r>
      <w:r w:rsidR="00545D1B" w:rsidRPr="00742A04">
        <w:t xml:space="preserve"> </w:t>
      </w:r>
      <w:r w:rsidR="00831293" w:rsidRPr="00742A04">
        <w:t>razonable</w:t>
      </w:r>
      <w:r w:rsidR="00545D1B" w:rsidRPr="00742A04">
        <w:t xml:space="preserve"> </w:t>
      </w:r>
      <w:r w:rsidR="00831293" w:rsidRPr="00742A04">
        <w:t>equilibrio de género</w:t>
      </w:r>
      <w:r w:rsidR="00545D1B" w:rsidRPr="00742A04">
        <w:t xml:space="preserve"> </w:t>
      </w:r>
      <w:r w:rsidR="00831293" w:rsidRPr="00742A04">
        <w:t>tanto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31293" w:rsidRPr="00742A04">
        <w:t xml:space="preserve">la </w:t>
      </w:r>
      <w:r w:rsidR="00545D1B" w:rsidRPr="00742A04">
        <w:t>participa</w:t>
      </w:r>
      <w:r w:rsidR="00C14BFF" w:rsidRPr="00742A04">
        <w:t>ción</w:t>
      </w:r>
      <w:r w:rsidR="00831293" w:rsidRPr="00742A04">
        <w:t xml:space="preserve"> electoral</w:t>
      </w:r>
      <w:r w:rsidR="00C14BFF" w:rsidRPr="00742A04">
        <w:t xml:space="preserve"> </w:t>
      </w:r>
      <w:r w:rsidR="00831293" w:rsidRPr="00742A04">
        <w:t>como en los cargos</w:t>
      </w:r>
      <w:r w:rsidR="00545D1B" w:rsidRPr="00742A04">
        <w:t xml:space="preserve"> </w:t>
      </w:r>
      <w:r w:rsidR="00A836A1" w:rsidRPr="00742A04">
        <w:t>ele</w:t>
      </w:r>
      <w:r w:rsidR="00831293" w:rsidRPr="00742A04">
        <w:t>ct</w:t>
      </w:r>
      <w:r w:rsidR="00A836A1" w:rsidRPr="00742A04">
        <w:t>i</w:t>
      </w:r>
      <w:r w:rsidR="00831293" w:rsidRPr="00742A04">
        <w:t>v</w:t>
      </w:r>
      <w:r w:rsidR="00A836A1" w:rsidRPr="00742A04">
        <w:t>os</w:t>
      </w:r>
      <w:r w:rsidR="00545D1B" w:rsidRPr="00742A04">
        <w:t xml:space="preserve">. </w:t>
      </w:r>
      <w:r w:rsidR="008F0C8E" w:rsidRPr="00742A04">
        <w:t>De</w:t>
      </w:r>
      <w:r w:rsidR="00831293" w:rsidRPr="00742A04">
        <w:t>sde la</w:t>
      </w:r>
      <w:r w:rsidR="00545D1B" w:rsidRPr="00742A04">
        <w:t xml:space="preserve"> </w:t>
      </w:r>
      <w:r w:rsidR="00032AA7" w:rsidRPr="00742A04">
        <w:t>perspectiva</w:t>
      </w:r>
      <w:r w:rsidR="00545D1B" w:rsidRPr="00742A04">
        <w:t xml:space="preserve"> </w:t>
      </w:r>
      <w:r w:rsidR="004A0730" w:rsidRPr="00742A04">
        <w:t>de</w:t>
      </w:r>
      <w:r w:rsidR="00831293" w:rsidRPr="00742A04">
        <w:t>l</w:t>
      </w:r>
      <w:r w:rsidR="00545D1B" w:rsidRPr="00742A04">
        <w:t xml:space="preserve"> </w:t>
      </w:r>
      <w:r w:rsidR="000220D6" w:rsidRPr="00742A04">
        <w:t>poder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31293" w:rsidRPr="00742A04">
        <w:t xml:space="preserve">la </w:t>
      </w:r>
      <w:r w:rsidR="006C1297" w:rsidRPr="00742A04">
        <w:t>democracia</w:t>
      </w:r>
      <w:r w:rsidR="00545D1B" w:rsidRPr="00742A04">
        <w:t xml:space="preserve">, </w:t>
      </w:r>
      <w:r w:rsidR="00831293" w:rsidRPr="00742A04">
        <w:t xml:space="preserve">la </w:t>
      </w:r>
      <w:r w:rsidR="00545D1B" w:rsidRPr="00742A04">
        <w:t>considera</w:t>
      </w:r>
      <w:r w:rsidR="00C14BFF" w:rsidRPr="00742A04">
        <w:t xml:space="preserve">ción </w:t>
      </w:r>
      <w:r w:rsidR="00F43124" w:rsidRPr="00742A04">
        <w:t>p</w:t>
      </w:r>
      <w:r w:rsidR="00831293" w:rsidRPr="00742A04">
        <w:t>or los</w:t>
      </w:r>
      <w:r w:rsidR="00545D1B" w:rsidRPr="00742A04">
        <w:t xml:space="preserve"> </w:t>
      </w:r>
      <w:r w:rsidR="00A05847" w:rsidRPr="00742A04">
        <w:t>derechos humanos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natura</w:t>
      </w:r>
      <w:r w:rsidR="005F7B32" w:rsidRPr="00742A04">
        <w:t xml:space="preserve">lmente </w:t>
      </w:r>
      <w:r w:rsidR="00831293" w:rsidRPr="00742A04">
        <w:t>el</w:t>
      </w:r>
      <w:r w:rsidR="00545D1B" w:rsidRPr="00742A04">
        <w:t xml:space="preserve"> </w:t>
      </w:r>
      <w:r w:rsidR="00EF5B12" w:rsidRPr="00742A04">
        <w:t>argumento</w:t>
      </w:r>
      <w:r w:rsidR="00545D1B" w:rsidRPr="00742A04">
        <w:t xml:space="preserve"> </w:t>
      </w:r>
      <w:r w:rsidR="00831293" w:rsidRPr="00742A04">
        <w:t>decisivo en</w:t>
      </w:r>
      <w:r w:rsidR="00130F7F" w:rsidRPr="00742A04">
        <w:t xml:space="preserve"> favor</w:t>
      </w:r>
      <w:r w:rsidR="00545D1B" w:rsidRPr="00742A04">
        <w:t xml:space="preserve"> </w:t>
      </w:r>
      <w:r w:rsidR="004A0730" w:rsidRPr="00742A04">
        <w:t>de</w:t>
      </w:r>
      <w:r w:rsidR="00831293" w:rsidRPr="00742A04">
        <w:t xml:space="preserve"> la</w:t>
      </w:r>
      <w:r w:rsidR="00545D1B" w:rsidRPr="00742A04">
        <w:t xml:space="preserve"> </w:t>
      </w:r>
      <w:r w:rsidR="00581775" w:rsidRPr="00742A04">
        <w:t>igual</w:t>
      </w:r>
      <w:r w:rsidR="00831293" w:rsidRPr="00742A04">
        <w:t>dad de</w:t>
      </w:r>
      <w:r w:rsidR="00545D1B" w:rsidRPr="00742A04">
        <w:t xml:space="preserve"> particip</w:t>
      </w:r>
      <w:r w:rsidR="00545D1B" w:rsidRPr="00742A04">
        <w:t>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</w:p>
    <w:p w:rsidR="00545D1B" w:rsidRPr="00742A04" w:rsidRDefault="00545D1B" w:rsidP="005F6769">
      <w:pPr>
        <w:pStyle w:val="SingleTxt"/>
        <w:ind w:firstLine="475"/>
      </w:pPr>
      <w:r w:rsidRPr="00742A04">
        <w:t xml:space="preserve"> </w:t>
      </w:r>
      <w:r w:rsidR="00CB0483" w:rsidRPr="00742A04">
        <w:t>Sin embargo</w:t>
      </w:r>
      <w:r w:rsidRPr="00742A04">
        <w:t xml:space="preserve">, </w:t>
      </w:r>
      <w:r w:rsidR="00831293" w:rsidRPr="00742A04">
        <w:t>una equilibrada</w:t>
      </w:r>
      <w:r w:rsidRPr="00742A04">
        <w:t xml:space="preserve"> </w:t>
      </w:r>
      <w:r w:rsidR="00FA1C50" w:rsidRPr="00742A04">
        <w:t>representación de género</w:t>
      </w:r>
      <w:r w:rsidR="00C14BFF" w:rsidRPr="00742A04">
        <w:t xml:space="preserve"> en</w:t>
      </w:r>
      <w:r w:rsidRPr="00742A04">
        <w:t xml:space="preserve"> </w:t>
      </w:r>
      <w:r w:rsidR="00831293" w:rsidRPr="00742A04">
        <w:t>los órganos elect</w:t>
      </w:r>
      <w:r w:rsidR="00831293" w:rsidRPr="00742A04">
        <w:t>i</w:t>
      </w:r>
      <w:r w:rsidR="00831293" w:rsidRPr="00742A04">
        <w:t>vos</w:t>
      </w:r>
      <w:r w:rsidRPr="00742A04">
        <w:t xml:space="preserve"> </w:t>
      </w:r>
      <w:r w:rsidR="0030626A" w:rsidRPr="00742A04">
        <w:t>también</w:t>
      </w:r>
      <w:r w:rsidRPr="00742A04">
        <w:t xml:space="preserve"> </w:t>
      </w:r>
      <w:r w:rsidR="00CD1860" w:rsidRPr="00742A04">
        <w:t xml:space="preserve">es </w:t>
      </w:r>
      <w:r w:rsidR="00AE7B93" w:rsidRPr="00742A04">
        <w:t>importante</w:t>
      </w:r>
      <w:r w:rsidR="00975FBB">
        <w:t xml:space="preserve"> desde el </w:t>
      </w:r>
      <w:r w:rsidR="008A3C01" w:rsidRPr="00742A04">
        <w:t>punto de vista</w:t>
      </w:r>
      <w:r w:rsidRPr="00742A04">
        <w:t xml:space="preserve"> </w:t>
      </w:r>
      <w:r w:rsidR="004A0730" w:rsidRPr="00742A04">
        <w:t>de</w:t>
      </w:r>
      <w:r w:rsidR="00CD1860" w:rsidRPr="00742A04">
        <w:t>l</w:t>
      </w:r>
      <w:r w:rsidRPr="00742A04">
        <w:t xml:space="preserve"> talent</w:t>
      </w:r>
      <w:r w:rsidR="00CD1860" w:rsidRPr="00742A04">
        <w:t>o</w:t>
      </w:r>
      <w:r w:rsidRPr="00742A04">
        <w:t xml:space="preserve"> </w:t>
      </w:r>
      <w:r w:rsidR="00877AA0" w:rsidRPr="00742A04">
        <w:t>y</w:t>
      </w:r>
      <w:r w:rsidRPr="00742A04">
        <w:t xml:space="preserve"> </w:t>
      </w:r>
      <w:r w:rsidR="00502E16" w:rsidRPr="00742A04">
        <w:t>los recursos</w:t>
      </w:r>
      <w:r w:rsidRPr="00742A04">
        <w:t xml:space="preserve">. </w:t>
      </w:r>
      <w:r w:rsidR="00CD1860" w:rsidRPr="00742A04">
        <w:t>La d</w:t>
      </w:r>
      <w:r w:rsidR="006C1297" w:rsidRPr="00742A04">
        <w:t>e</w:t>
      </w:r>
      <w:r w:rsidR="006C1297" w:rsidRPr="00742A04">
        <w:t>mocracia</w:t>
      </w:r>
      <w:r w:rsidRPr="00742A04">
        <w:t xml:space="preserve"> </w:t>
      </w:r>
      <w:r w:rsidR="00CD1860" w:rsidRPr="00742A04">
        <w:t>resulta</w:t>
      </w:r>
      <w:r w:rsidRPr="00742A04">
        <w:t xml:space="preserve"> </w:t>
      </w:r>
      <w:r w:rsidR="00032136" w:rsidRPr="00742A04">
        <w:t>claramente</w:t>
      </w:r>
      <w:r w:rsidRPr="00742A04">
        <w:t xml:space="preserve"> </w:t>
      </w:r>
      <w:r w:rsidR="006137EC" w:rsidRPr="00742A04">
        <w:t>fortalec</w:t>
      </w:r>
      <w:r w:rsidR="00CD1860" w:rsidRPr="00742A04">
        <w:t>ida</w:t>
      </w:r>
      <w:r w:rsidRPr="00742A04">
        <w:t xml:space="preserve"> </w:t>
      </w:r>
      <w:r w:rsidR="003C25BF" w:rsidRPr="00742A04">
        <w:t>cuando</w:t>
      </w:r>
      <w:r w:rsidRPr="00742A04">
        <w:t xml:space="preserve"> </w:t>
      </w:r>
      <w:r w:rsidR="00CD1860" w:rsidRPr="00742A04">
        <w:t xml:space="preserve">los </w:t>
      </w:r>
      <w:r w:rsidR="007A4A10" w:rsidRPr="00742A04">
        <w:t>representantes</w:t>
      </w:r>
      <w:r w:rsidRPr="00742A04">
        <w:t xml:space="preserve"> </w:t>
      </w:r>
      <w:r w:rsidR="00CD1860" w:rsidRPr="00742A04">
        <w:t xml:space="preserve">políticos </w:t>
      </w:r>
      <w:r w:rsidR="006137EC" w:rsidRPr="00742A04">
        <w:t>son</w:t>
      </w:r>
      <w:r w:rsidRPr="00742A04">
        <w:t xml:space="preserve"> s</w:t>
      </w:r>
      <w:r w:rsidR="00A836A1" w:rsidRPr="00742A04">
        <w:t>e</w:t>
      </w:r>
      <w:r w:rsidR="00A836A1" w:rsidRPr="00742A04">
        <w:t>le</w:t>
      </w:r>
      <w:r w:rsidR="00CD1860" w:rsidRPr="00742A04">
        <w:t>cc</w:t>
      </w:r>
      <w:r w:rsidR="00A836A1" w:rsidRPr="00742A04">
        <w:t>i</w:t>
      </w:r>
      <w:r w:rsidR="00CD1860" w:rsidRPr="00742A04">
        <w:t>ona</w:t>
      </w:r>
      <w:r w:rsidR="00A836A1" w:rsidRPr="00742A04">
        <w:t>dos</w:t>
      </w:r>
      <w:r w:rsidRPr="00742A04">
        <w:t xml:space="preserve"> </w:t>
      </w:r>
      <w:r w:rsidR="00CD1860" w:rsidRPr="00742A04">
        <w:t>teniendo en cuenta a toda la</w:t>
      </w:r>
      <w:r w:rsidRPr="00742A04">
        <w:t xml:space="preserve"> po</w:t>
      </w:r>
      <w:r w:rsidR="00CD1860" w:rsidRPr="00742A04">
        <w:t>b</w:t>
      </w:r>
      <w:r w:rsidRPr="00742A04">
        <w:t>la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Pr="00742A04">
        <w:t xml:space="preserve"> </w:t>
      </w:r>
      <w:r w:rsidR="00CD1860" w:rsidRPr="00742A04">
        <w:t>T</w:t>
      </w:r>
      <w:r w:rsidR="0030626A" w:rsidRPr="00742A04">
        <w:t>ambién</w:t>
      </w:r>
      <w:r w:rsidR="00CD1860" w:rsidRPr="00742A04">
        <w:t xml:space="preserve"> es posible </w:t>
      </w:r>
      <w:r w:rsidRPr="00742A04">
        <w:t>argu</w:t>
      </w:r>
      <w:r w:rsidR="00CD1860" w:rsidRPr="00742A04">
        <w:t>mentar que</w:t>
      </w:r>
      <w:r w:rsidRPr="00742A04">
        <w:t xml:space="preserve"> </w:t>
      </w:r>
      <w:r w:rsidR="00CD1860" w:rsidRPr="00742A04">
        <w:t xml:space="preserve">las </w:t>
      </w:r>
      <w:r w:rsidR="00072AD7" w:rsidRPr="00742A04">
        <w:t>mujeres</w:t>
      </w:r>
      <w:r w:rsidRPr="00742A04">
        <w:t xml:space="preserve"> </w:t>
      </w:r>
      <w:r w:rsidR="00877AA0" w:rsidRPr="00742A04">
        <w:t>y</w:t>
      </w:r>
      <w:r w:rsidRPr="00742A04">
        <w:t xml:space="preserve"> </w:t>
      </w:r>
      <w:r w:rsidR="00CD1860" w:rsidRPr="00742A04">
        <w:t xml:space="preserve">los </w:t>
      </w:r>
      <w:r w:rsidR="00072AD7" w:rsidRPr="00742A04">
        <w:t>hombres</w:t>
      </w:r>
      <w:r w:rsidRPr="00742A04">
        <w:t xml:space="preserve"> </w:t>
      </w:r>
      <w:r w:rsidR="00CD1860" w:rsidRPr="00742A04">
        <w:t>pueden tener</w:t>
      </w:r>
      <w:r w:rsidRPr="00742A04">
        <w:t xml:space="preserve"> </w:t>
      </w:r>
      <w:r w:rsidR="00242371" w:rsidRPr="00742A04">
        <w:t>diferente</w:t>
      </w:r>
      <w:r w:rsidR="00CD1860" w:rsidRPr="00742A04">
        <w:t>s</w:t>
      </w:r>
      <w:r w:rsidRPr="00742A04">
        <w:t xml:space="preserve"> </w:t>
      </w:r>
      <w:r w:rsidR="008F0C8E" w:rsidRPr="00742A04">
        <w:t>experiencia</w:t>
      </w:r>
      <w:r w:rsidRPr="00742A04">
        <w:t xml:space="preserve">s, </w:t>
      </w:r>
      <w:r w:rsidR="009C08FB" w:rsidRPr="00742A04">
        <w:t>necesidades</w:t>
      </w:r>
      <w:r w:rsidR="002E5047" w:rsidRPr="00742A04">
        <w:t xml:space="preserve"> e </w:t>
      </w:r>
      <w:r w:rsidR="00FF39FE" w:rsidRPr="00742A04">
        <w:t>intereses</w:t>
      </w:r>
      <w:r w:rsidR="00CD1860" w:rsidRPr="00742A04">
        <w:t>,</w:t>
      </w:r>
      <w:r w:rsidRPr="00742A04">
        <w:t xml:space="preserve"> </w:t>
      </w:r>
      <w:r w:rsidR="00024DBC" w:rsidRPr="00742A04">
        <w:t>y que</w:t>
      </w:r>
      <w:r w:rsidRPr="00742A04">
        <w:t xml:space="preserve"> </w:t>
      </w:r>
      <w:r w:rsidR="00CD1860" w:rsidRPr="00742A04">
        <w:t>la igualdad de participación</w:t>
      </w:r>
      <w:r w:rsidR="00C14BFF" w:rsidRPr="00742A04">
        <w:t xml:space="preserve"> </w:t>
      </w:r>
      <w:r w:rsidR="004D313C" w:rsidRPr="00742A04">
        <w:t>de las mujeres</w:t>
      </w:r>
      <w:r w:rsidRPr="00742A04">
        <w:t xml:space="preserve"> </w:t>
      </w:r>
      <w:r w:rsidR="00BB4DB1" w:rsidRPr="00742A04">
        <w:t>es</w:t>
      </w:r>
      <w:r w:rsidRPr="00742A04">
        <w:t xml:space="preserve"> </w:t>
      </w:r>
      <w:r w:rsidR="00417824" w:rsidRPr="00742A04">
        <w:t>necesari</w:t>
      </w:r>
      <w:r w:rsidR="00CD1860" w:rsidRPr="00742A04">
        <w:t>a para</w:t>
      </w:r>
      <w:r w:rsidRPr="00742A04">
        <w:t xml:space="preserve"> </w:t>
      </w:r>
      <w:r w:rsidR="00CF2F77" w:rsidRPr="00742A04">
        <w:t>aseg</w:t>
      </w:r>
      <w:r w:rsidR="00CF2F77" w:rsidRPr="00742A04">
        <w:t>u</w:t>
      </w:r>
      <w:r w:rsidR="00CF2F77" w:rsidRPr="00742A04">
        <w:t>rar</w:t>
      </w:r>
      <w:r w:rsidRPr="00742A04">
        <w:t xml:space="preserve"> </w:t>
      </w:r>
      <w:r w:rsidR="00CD1860" w:rsidRPr="00742A04">
        <w:t>que esa</w:t>
      </w:r>
      <w:r w:rsidRPr="00742A04">
        <w:t xml:space="preserve"> divers</w:t>
      </w:r>
      <w:r w:rsidR="00502E16" w:rsidRPr="00742A04">
        <w:t>idad</w:t>
      </w:r>
      <w:r w:rsidRPr="00742A04">
        <w:t xml:space="preserve"> </w:t>
      </w:r>
      <w:r w:rsidR="00CD1860" w:rsidRPr="00742A04">
        <w:t>se refleje</w:t>
      </w:r>
      <w:r w:rsidRPr="00742A04">
        <w:t xml:space="preserve"> </w:t>
      </w:r>
      <w:r w:rsidR="00C14BFF" w:rsidRPr="00742A04">
        <w:t>en</w:t>
      </w:r>
      <w:r w:rsidRPr="00742A04">
        <w:t xml:space="preserve"> </w:t>
      </w:r>
      <w:r w:rsidR="005E6919" w:rsidRPr="00742A04">
        <w:t xml:space="preserve">los procesos </w:t>
      </w:r>
      <w:r w:rsidR="00CD1860" w:rsidRPr="00742A04">
        <w:t xml:space="preserve">políticos </w:t>
      </w:r>
      <w:r w:rsidR="005E6919" w:rsidRPr="00742A04">
        <w:t>de adopción de decisi</w:t>
      </w:r>
      <w:r w:rsidR="005E6919" w:rsidRPr="00742A04">
        <w:t>o</w:t>
      </w:r>
      <w:r w:rsidR="005E6919" w:rsidRPr="00742A04">
        <w:t>nes</w:t>
      </w:r>
      <w:r w:rsidRPr="00742A04">
        <w:t>.</w:t>
      </w:r>
    </w:p>
    <w:p w:rsidR="00545D1B" w:rsidRPr="00742A04" w:rsidRDefault="00CD1860" w:rsidP="005F6769">
      <w:pPr>
        <w:pStyle w:val="SingleTxt"/>
        <w:ind w:firstLine="475"/>
      </w:pPr>
      <w:r w:rsidRPr="00742A04">
        <w:t>A</w:t>
      </w:r>
      <w:r w:rsidR="004B1620" w:rsidRPr="00742A04">
        <w:t>ctual</w:t>
      </w:r>
      <w:r w:rsidRPr="00742A04">
        <w:t>mente</w:t>
      </w:r>
      <w:r w:rsidR="00545D1B" w:rsidRPr="00742A04">
        <w:t xml:space="preserve">, </w:t>
      </w:r>
      <w:r w:rsidRPr="00742A04">
        <w:t xml:space="preserve">el órgano </w:t>
      </w:r>
      <w:r w:rsidR="00ED182B">
        <w:t>político</w:t>
      </w:r>
      <w:r w:rsidR="00545D1B" w:rsidRPr="00742A04">
        <w:t xml:space="preserve"> </w:t>
      </w:r>
      <w:r w:rsidRPr="00742A04">
        <w:t>en el que hay una mayor</w:t>
      </w:r>
      <w:r w:rsidR="00545D1B" w:rsidRPr="00742A04">
        <w:t xml:space="preserve"> propor</w:t>
      </w:r>
      <w:r w:rsidR="00C14BFF" w:rsidRPr="00742A04">
        <w:t xml:space="preserve">ción </w:t>
      </w:r>
      <w:r w:rsidR="004D313C" w:rsidRPr="00742A04">
        <w:t>de muj</w:t>
      </w:r>
      <w:r w:rsidR="004D313C" w:rsidRPr="00742A04">
        <w:t>e</w:t>
      </w:r>
      <w:r w:rsidR="004D313C" w:rsidRPr="00742A04">
        <w:t>res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8F0C8E" w:rsidRPr="00742A04">
        <w:t xml:space="preserve">el </w:t>
      </w:r>
      <w:r w:rsidR="008A3C01" w:rsidRPr="00742A04">
        <w:t>Gobierno.</w:t>
      </w:r>
      <w:r w:rsidR="00545D1B" w:rsidRPr="00742A04">
        <w:t xml:space="preserve"> </w:t>
      </w:r>
      <w:r w:rsidR="00403211" w:rsidRPr="00742A04">
        <w:t>La actual coalición de gobierno</w:t>
      </w:r>
      <w:r w:rsidR="00C14BFF" w:rsidRPr="00742A04">
        <w:t xml:space="preserve"> </w:t>
      </w:r>
      <w:r w:rsidR="00403211" w:rsidRPr="00742A04">
        <w:t xml:space="preserve">está integrada por </w:t>
      </w:r>
      <w:r w:rsidR="00C07ED9" w:rsidRPr="00742A04">
        <w:t xml:space="preserve">el </w:t>
      </w:r>
      <w:r w:rsidR="00130F7F" w:rsidRPr="00742A04">
        <w:t>Partido L</w:t>
      </w:r>
      <w:r w:rsidR="00130F7F" w:rsidRPr="00742A04">
        <w:t>a</w:t>
      </w:r>
      <w:r w:rsidR="00130F7F" w:rsidRPr="00742A04">
        <w:t>borista</w:t>
      </w:r>
      <w:r w:rsidR="00545D1B" w:rsidRPr="00742A04">
        <w:t xml:space="preserve">, </w:t>
      </w:r>
      <w:r w:rsidR="00403211" w:rsidRPr="00742A04">
        <w:t>el Partido Socialista de Izquierda</w:t>
      </w:r>
      <w:r w:rsidR="00545D1B" w:rsidRPr="00742A04">
        <w:t xml:space="preserve"> </w:t>
      </w:r>
      <w:r w:rsidR="00BB4DB1" w:rsidRPr="00742A04">
        <w:t xml:space="preserve">y el </w:t>
      </w:r>
      <w:r w:rsidR="00130F7F" w:rsidRPr="00742A04">
        <w:t>Partido de Centro</w:t>
      </w:r>
      <w:r w:rsidR="00545D1B" w:rsidRPr="00742A04">
        <w:t>.</w:t>
      </w:r>
      <w:r w:rsidR="001167D2" w:rsidRPr="00742A04">
        <w:t xml:space="preserve"> </w:t>
      </w:r>
      <w:r w:rsidR="009F3D69" w:rsidRPr="00742A04">
        <w:t>E</w:t>
      </w:r>
      <w:r w:rsidR="001167D2" w:rsidRPr="00742A04">
        <w:t>l</w:t>
      </w:r>
      <w:r w:rsidR="009F3D69" w:rsidRPr="00742A04">
        <w:t xml:space="preserve"> </w:t>
      </w:r>
      <w:r w:rsidR="008F0C8E" w:rsidRPr="00742A04">
        <w:t>Gobierno</w:t>
      </w:r>
      <w:r w:rsidR="00545D1B" w:rsidRPr="00742A04">
        <w:t xml:space="preserve"> </w:t>
      </w:r>
      <w:r w:rsidR="009F3D69" w:rsidRPr="00742A04">
        <w:t>tiene</w:t>
      </w:r>
      <w:r w:rsidR="00545D1B" w:rsidRPr="00742A04">
        <w:t xml:space="preserve"> 19 </w:t>
      </w:r>
      <w:r w:rsidR="009F3D69" w:rsidRPr="00742A04">
        <w:t xml:space="preserve">ministros </w:t>
      </w:r>
      <w:r w:rsidR="00876D57" w:rsidRPr="00742A04">
        <w:t xml:space="preserve">que integran </w:t>
      </w:r>
      <w:r w:rsidR="009F3D69" w:rsidRPr="00742A04">
        <w:t>el gabinete</w:t>
      </w:r>
      <w:r w:rsidR="00545D1B" w:rsidRPr="00742A04">
        <w:t xml:space="preserve">, </w:t>
      </w:r>
      <w:r w:rsidR="004A0730" w:rsidRPr="00742A04">
        <w:t>de</w:t>
      </w:r>
      <w:r w:rsidR="00545D1B" w:rsidRPr="00742A04">
        <w:t xml:space="preserve"> </w:t>
      </w:r>
      <w:r w:rsidR="00876D57" w:rsidRPr="00742A04">
        <w:t>los cuales</w:t>
      </w:r>
      <w:r w:rsidR="00545D1B" w:rsidRPr="00742A04">
        <w:t xml:space="preserve"> </w:t>
      </w:r>
      <w:r w:rsidR="00876D57" w:rsidRPr="00742A04">
        <w:t>nueve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C54BB" w:rsidRPr="00742A04">
        <w:t>diez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</w:t>
      </w:r>
      <w:r w:rsidR="003C25BF" w:rsidRPr="00742A04">
        <w:t>C</w:t>
      </w:r>
      <w:r w:rsidR="00876D57" w:rsidRPr="00742A04">
        <w:t>ont</w:t>
      </w:r>
      <w:r w:rsidR="003C25BF" w:rsidRPr="00742A04">
        <w:t>ando</w:t>
      </w:r>
      <w:r w:rsidR="00545D1B" w:rsidRPr="00742A04">
        <w:t xml:space="preserve"> </w:t>
      </w:r>
      <w:r w:rsidR="00876D57" w:rsidRPr="00742A04">
        <w:t>a los secretarios de Estado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76D57" w:rsidRPr="00742A04">
        <w:t>los asesores políticos</w:t>
      </w:r>
      <w:r w:rsidR="00545D1B" w:rsidRPr="00742A04">
        <w:t xml:space="preserve">, </w:t>
      </w:r>
      <w:r w:rsidR="007D4688" w:rsidRPr="00742A04">
        <w:t>cada</w:t>
      </w:r>
      <w:r w:rsidR="00545D1B" w:rsidRPr="00742A04">
        <w:t xml:space="preserve"> </w:t>
      </w:r>
      <w:r w:rsidR="00101B8C" w:rsidRPr="00742A04">
        <w:t>sexo</w:t>
      </w:r>
      <w:r w:rsidR="00545D1B" w:rsidRPr="00742A04">
        <w:t xml:space="preserve"> </w:t>
      </w:r>
      <w:r w:rsidR="00876D57" w:rsidRPr="00742A04">
        <w:t>está representado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876D57" w:rsidRPr="00742A04">
        <w:t xml:space="preserve">un </w:t>
      </w:r>
      <w:r w:rsidR="00545D1B" w:rsidRPr="00742A04">
        <w:t>50</w:t>
      </w:r>
      <w:r w:rsidR="001167D2" w:rsidRPr="00742A04">
        <w:t>%</w:t>
      </w:r>
      <w:r w:rsidR="00545D1B" w:rsidRPr="00742A04">
        <w:t xml:space="preserve">. </w:t>
      </w:r>
      <w:r w:rsidR="00876D57" w:rsidRPr="00742A04">
        <w:t>El primer ministro</w:t>
      </w:r>
      <w:r w:rsidR="00545D1B" w:rsidRPr="00742A04">
        <w:t xml:space="preserve"> </w:t>
      </w:r>
      <w:r w:rsidR="00BB4DB1" w:rsidRPr="00742A04">
        <w:t>es</w:t>
      </w:r>
      <w:r w:rsidR="00FF39FE" w:rsidRPr="00742A04">
        <w:t xml:space="preserve"> un hombre</w:t>
      </w:r>
      <w:r w:rsidR="00545D1B" w:rsidRPr="00742A04">
        <w:t>.</w:t>
      </w:r>
    </w:p>
    <w:p w:rsidR="00545D1B" w:rsidRPr="00742A04" w:rsidRDefault="003E4840" w:rsidP="005F6769">
      <w:pPr>
        <w:pStyle w:val="SingleTxt"/>
        <w:ind w:firstLine="475"/>
      </w:pPr>
      <w:r w:rsidRPr="00742A04">
        <w:t>Después de</w:t>
      </w:r>
      <w:r w:rsidR="00545D1B" w:rsidRPr="00742A04">
        <w:t xml:space="preserve"> </w:t>
      </w:r>
      <w:r w:rsidR="00876D57" w:rsidRPr="00742A04">
        <w:t>la</w:t>
      </w:r>
      <w:r w:rsidR="00545D1B" w:rsidRPr="00742A04">
        <w:t xml:space="preserve"> elec</w:t>
      </w:r>
      <w:r w:rsidR="00C14BFF" w:rsidRPr="00742A04">
        <w:t xml:space="preserve">ción </w:t>
      </w:r>
      <w:r w:rsidR="00876D57" w:rsidRPr="00742A04">
        <w:t>d</w:t>
      </w:r>
      <w:r w:rsidR="00C14BFF" w:rsidRPr="00742A04">
        <w:t>e</w:t>
      </w:r>
      <w:r w:rsidR="00545D1B" w:rsidRPr="00742A04">
        <w:t xml:space="preserve"> 2005, </w:t>
      </w:r>
      <w:r w:rsidR="00876D57" w:rsidRPr="00742A04">
        <w:t xml:space="preserve">el </w:t>
      </w:r>
      <w:r w:rsidR="00545D1B" w:rsidRPr="00742A04">
        <w:t>38</w:t>
      </w:r>
      <w:r w:rsidR="001167D2" w:rsidRPr="00742A04">
        <w:t>%</w:t>
      </w:r>
      <w:r w:rsidR="00FF575F" w:rsidRPr="00742A04">
        <w:t xml:space="preserve"> </w:t>
      </w:r>
      <w:r w:rsidR="00876D57" w:rsidRPr="00742A04">
        <w:t>de los miembros del Storting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. </w:t>
      </w:r>
      <w:r w:rsidR="00876D57" w:rsidRPr="00742A04">
        <w:t>Ello representó un leve</w:t>
      </w:r>
      <w:r w:rsidR="00545D1B" w:rsidRPr="00742A04">
        <w:t xml:space="preserve"> </w:t>
      </w:r>
      <w:r w:rsidR="00876D57" w:rsidRPr="00742A04">
        <w:t>incremento</w:t>
      </w:r>
      <w:r w:rsidR="00545D1B" w:rsidRPr="00742A04">
        <w:t xml:space="preserve"> </w:t>
      </w:r>
      <w:r w:rsidR="00876D57" w:rsidRPr="00742A04">
        <w:t xml:space="preserve">respecto </w:t>
      </w:r>
      <w:r w:rsidR="008F0C8E" w:rsidRPr="00742A04">
        <w:t>de</w:t>
      </w:r>
      <w:r w:rsidR="00545D1B" w:rsidRPr="00742A04">
        <w:t xml:space="preserve"> </w:t>
      </w:r>
      <w:r w:rsidR="00876D57" w:rsidRPr="00742A04">
        <w:t>la elección anterior</w:t>
      </w:r>
      <w:r w:rsidR="00935A90" w:rsidRPr="00742A04">
        <w:t>,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876D57" w:rsidRPr="00742A04">
        <w:t>el 36,</w:t>
      </w:r>
      <w:r w:rsidR="00545D1B" w:rsidRPr="00742A04">
        <w:t>4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76D57" w:rsidRPr="00742A04">
        <w:t>los</w:t>
      </w:r>
      <w:r w:rsidR="00545D1B" w:rsidRPr="00742A04">
        <w:t xml:space="preserve"> </w:t>
      </w:r>
      <w:r w:rsidR="007A4A10" w:rsidRPr="00742A04">
        <w:t>representantes</w:t>
      </w:r>
      <w:r w:rsidR="00545D1B" w:rsidRPr="00742A04">
        <w:t xml:space="preserve"> </w:t>
      </w:r>
      <w:r w:rsidR="00876D57" w:rsidRPr="00742A04">
        <w:t>elegidos 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876D57" w:rsidRPr="00742A04">
        <w:t>el mayor partido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D47D3" w:rsidRPr="00742A04">
        <w:t>el Sto</w:t>
      </w:r>
      <w:r w:rsidR="00BD47D3" w:rsidRPr="00742A04">
        <w:t>r</w:t>
      </w:r>
      <w:r w:rsidR="00BD47D3" w:rsidRPr="00742A04">
        <w:t>ting</w:t>
      </w:r>
      <w:r w:rsidR="00545D1B" w:rsidRPr="00742A04">
        <w:t xml:space="preserve">, </w:t>
      </w:r>
      <w:r w:rsidR="00130F7F" w:rsidRPr="00742A04">
        <w:t>el Partido Laborista</w:t>
      </w:r>
      <w:r w:rsidR="00545D1B" w:rsidRPr="00742A04">
        <w:t xml:space="preserve">, </w:t>
      </w:r>
      <w:r w:rsidR="00876D57" w:rsidRPr="00742A04">
        <w:t xml:space="preserve">el </w:t>
      </w:r>
      <w:r w:rsidR="00545D1B" w:rsidRPr="00742A04">
        <w:t>52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76D57" w:rsidRPr="00742A04">
        <w:t>los representantes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876D57" w:rsidRPr="00742A04">
        <w:t>El Partido del Progreso</w:t>
      </w:r>
      <w:r w:rsidR="00545D1B" w:rsidRPr="00742A04">
        <w:t xml:space="preserve"> </w:t>
      </w:r>
      <w:r w:rsidR="00876D57" w:rsidRPr="00742A04">
        <w:t>tiene la menor cantidad de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7A4A10" w:rsidRPr="00742A04">
        <w:t>representantes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D47D3" w:rsidRPr="00742A04">
        <w:t>el Storting</w:t>
      </w:r>
      <w:r w:rsidR="00545D1B" w:rsidRPr="00742A04">
        <w:t xml:space="preserve">, </w:t>
      </w:r>
      <w:r w:rsidR="00876D57" w:rsidRPr="00742A04">
        <w:t xml:space="preserve">un </w:t>
      </w:r>
      <w:r w:rsidR="00545D1B" w:rsidRPr="00742A04">
        <w:t>16</w:t>
      </w:r>
      <w:r w:rsidR="001167D2" w:rsidRPr="00742A04">
        <w:t>%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876D57" w:rsidRPr="00742A04">
        <w:t>el líder del partido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E06311" w:rsidRPr="00742A04">
        <w:t>ahora</w:t>
      </w:r>
      <w:r w:rsidR="00545D1B" w:rsidRPr="00742A04">
        <w:t xml:space="preserve"> </w:t>
      </w:r>
      <w:r w:rsidR="00072AD7" w:rsidRPr="00742A04">
        <w:t>una mujer</w:t>
      </w:r>
      <w:r w:rsidR="00545D1B" w:rsidRPr="00742A04">
        <w:t xml:space="preserve">. </w:t>
      </w:r>
      <w:r w:rsidR="00B621FB" w:rsidRPr="00742A04">
        <w:t>Casi no ha hab</w:t>
      </w:r>
      <w:r w:rsidR="006D7D2F" w:rsidRPr="00742A04">
        <w:t>ido</w:t>
      </w:r>
      <w:r w:rsidR="00545D1B" w:rsidRPr="00742A04">
        <w:t xml:space="preserve"> </w:t>
      </w:r>
      <w:r w:rsidR="00B621FB" w:rsidRPr="00742A04">
        <w:t xml:space="preserve">ningún </w:t>
      </w:r>
      <w:r w:rsidR="00242371" w:rsidRPr="00742A04">
        <w:t>increment</w:t>
      </w:r>
      <w:r w:rsidR="00B621FB" w:rsidRPr="00742A04">
        <w:t>o de la</w:t>
      </w:r>
      <w:r w:rsidR="00545D1B" w:rsidRPr="00742A04">
        <w:t xml:space="preserve"> propor</w:t>
      </w:r>
      <w:r w:rsidR="00C14BFF" w:rsidRPr="00742A04">
        <w:t xml:space="preserve">ción </w:t>
      </w:r>
      <w:r w:rsidR="004D313C" w:rsidRPr="00742A04">
        <w:t>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621FB" w:rsidRPr="00742A04">
        <w:t>la asamblea nacional</w:t>
      </w:r>
      <w:r w:rsidR="00545D1B" w:rsidRPr="00742A04">
        <w:t xml:space="preserve"> </w:t>
      </w:r>
      <w:r w:rsidR="00B621FB" w:rsidRPr="00742A04">
        <w:t>des</w:t>
      </w:r>
      <w:r w:rsidR="00B34971" w:rsidRPr="00742A04">
        <w:t>de</w:t>
      </w:r>
      <w:r w:rsidR="00545D1B" w:rsidRPr="00742A04">
        <w:t xml:space="preserve"> </w:t>
      </w:r>
      <w:r w:rsidR="00552048" w:rsidRPr="00742A04">
        <w:t>mediados del decenio de 1980</w:t>
      </w:r>
      <w:r w:rsidR="00B621FB" w:rsidRPr="00742A04">
        <w:t>,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B621FB" w:rsidRPr="00742A04">
        <w:t>la tercera parte</w:t>
      </w:r>
      <w:r w:rsidR="00FF575F" w:rsidRPr="00742A04">
        <w:t xml:space="preserve"> </w:t>
      </w:r>
      <w:r w:rsidR="00876D57" w:rsidRPr="00742A04">
        <w:t>de los miembros del Storting</w:t>
      </w:r>
      <w:r w:rsidR="00545D1B" w:rsidRPr="00742A04">
        <w:t xml:space="preserve"> </w:t>
      </w:r>
      <w:r w:rsidR="00B621FB" w:rsidRPr="00742A04">
        <w:t>eran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>.</w:t>
      </w:r>
    </w:p>
    <w:p w:rsidR="00545D1B" w:rsidRPr="00742A04" w:rsidRDefault="003E4840" w:rsidP="005F6769">
      <w:pPr>
        <w:pStyle w:val="SingleTxt"/>
        <w:ind w:firstLine="475"/>
      </w:pPr>
      <w:r w:rsidRPr="00742A04">
        <w:t>Después de</w:t>
      </w:r>
      <w:r w:rsidR="00831293" w:rsidRPr="00742A04">
        <w:t xml:space="preserve"> las</w:t>
      </w:r>
      <w:r w:rsidR="00545D1B" w:rsidRPr="00742A04">
        <w:t xml:space="preserve"> </w:t>
      </w:r>
      <w:r w:rsidR="00831293" w:rsidRPr="00742A04">
        <w:t>elecciones d</w:t>
      </w:r>
      <w:r w:rsidR="00545D1B" w:rsidRPr="00742A04">
        <w:t xml:space="preserve">e </w:t>
      </w:r>
      <w:r w:rsidR="00B621FB" w:rsidRPr="00742A04">
        <w:t>consejos municipales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621FB" w:rsidRPr="00742A04">
        <w:t>consejos de condado</w:t>
      </w:r>
      <w:r w:rsidR="00545D1B" w:rsidRPr="00742A04">
        <w:t xml:space="preserve"> </w:t>
      </w:r>
      <w:r w:rsidR="00831293" w:rsidRPr="00742A04">
        <w:t>c</w:t>
      </w:r>
      <w:r w:rsidR="00831293" w:rsidRPr="00742A04">
        <w:t>e</w:t>
      </w:r>
      <w:r w:rsidR="00831293" w:rsidRPr="00742A04">
        <w:t xml:space="preserve">lebradas </w:t>
      </w:r>
      <w:r w:rsidR="00C14BFF" w:rsidRPr="00742A04">
        <w:t>en</w:t>
      </w:r>
      <w:r w:rsidR="001F6F1A" w:rsidRPr="00742A04">
        <w:t xml:space="preserve"> 2003, </w:t>
      </w:r>
      <w:r w:rsidR="00831293" w:rsidRPr="00742A04">
        <w:t xml:space="preserve">el </w:t>
      </w:r>
      <w:r w:rsidR="001F6F1A" w:rsidRPr="00742A04">
        <w:t>35,</w:t>
      </w:r>
      <w:r w:rsidR="00545D1B" w:rsidRPr="00742A04">
        <w:t>8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D1860" w:rsidRPr="00742A04">
        <w:t xml:space="preserve">los miembros de </w:t>
      </w:r>
      <w:r w:rsidR="00B621FB" w:rsidRPr="00742A04">
        <w:t xml:space="preserve">consejos </w:t>
      </w:r>
      <w:r w:rsidR="00CD1860" w:rsidRPr="00742A04">
        <w:t xml:space="preserve">municipales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E73E8E" w:rsidRPr="00742A04">
        <w:t xml:space="preserve">en </w:t>
      </w:r>
      <w:r w:rsidR="00545D1B" w:rsidRPr="00742A04">
        <w:t>compar</w:t>
      </w:r>
      <w:r w:rsidR="00E73E8E" w:rsidRPr="00742A04">
        <w:t>ación</w:t>
      </w:r>
      <w:r w:rsidR="00545D1B" w:rsidRPr="00742A04">
        <w:t xml:space="preserve"> </w:t>
      </w:r>
      <w:r w:rsidR="004A0730" w:rsidRPr="00742A04">
        <w:t>con</w:t>
      </w:r>
      <w:r w:rsidR="00E73E8E" w:rsidRPr="00742A04">
        <w:t xml:space="preserve"> el</w:t>
      </w:r>
      <w:r w:rsidR="001F6F1A" w:rsidRPr="00742A04">
        <w:t xml:space="preserve"> 42,</w:t>
      </w:r>
      <w:r w:rsidR="00545D1B" w:rsidRPr="00742A04">
        <w:t>6</w:t>
      </w:r>
      <w:r w:rsidR="00CD1860" w:rsidRPr="00742A04">
        <w:t>%</w:t>
      </w:r>
      <w:r w:rsidR="00545D1B" w:rsidRPr="00742A04">
        <w:t xml:space="preserve"> </w:t>
      </w:r>
      <w:r w:rsidR="00E73E8E" w:rsidRPr="00742A04">
        <w:t xml:space="preserve">de los miembros </w:t>
      </w:r>
      <w:r w:rsidR="004A0730" w:rsidRPr="00742A04">
        <w:t>de</w:t>
      </w:r>
      <w:r w:rsidR="00545D1B" w:rsidRPr="00742A04">
        <w:t xml:space="preserve"> </w:t>
      </w:r>
      <w:r w:rsidR="00B621FB" w:rsidRPr="00742A04">
        <w:t>consejos de condado</w:t>
      </w:r>
      <w:r w:rsidR="00545D1B" w:rsidRPr="00742A04">
        <w:t xml:space="preserve">. </w:t>
      </w:r>
      <w:r w:rsidR="00E73E8E" w:rsidRPr="00742A04">
        <w:t>Esas cifras representan un incremento</w:t>
      </w:r>
      <w:r w:rsidR="00545D1B" w:rsidRPr="00742A04">
        <w:t xml:space="preserve"> </w:t>
      </w:r>
      <w:r w:rsidR="004A0730" w:rsidRPr="00742A04">
        <w:t>de</w:t>
      </w:r>
      <w:r w:rsidR="001F6F1A" w:rsidRPr="00742A04">
        <w:t xml:space="preserve"> 1,</w:t>
      </w:r>
      <w:r w:rsidR="00545D1B" w:rsidRPr="00742A04">
        <w:t xml:space="preserve">7 </w:t>
      </w:r>
      <w:r w:rsidR="00877AA0" w:rsidRPr="00742A04">
        <w:t>y</w:t>
      </w:r>
      <w:r w:rsidR="001F6F1A" w:rsidRPr="00742A04">
        <w:t xml:space="preserve"> 0,</w:t>
      </w:r>
      <w:r w:rsidR="00545D1B" w:rsidRPr="00742A04">
        <w:t xml:space="preserve">7 </w:t>
      </w:r>
      <w:r w:rsidR="001F6F1A" w:rsidRPr="00742A04">
        <w:t>puntos porcentuales</w:t>
      </w:r>
      <w:r w:rsidR="00545D1B" w:rsidRPr="00742A04">
        <w:t xml:space="preserve">, </w:t>
      </w:r>
      <w:r w:rsidR="00E73E8E" w:rsidRPr="00742A04">
        <w:t>respectivamente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876D57" w:rsidRPr="00742A04">
        <w:t>la elección anterior</w:t>
      </w:r>
      <w:r w:rsidR="00E73E8E" w:rsidRPr="00742A04">
        <w:t>, celebrada</w:t>
      </w:r>
      <w:r w:rsidR="00C14BFF" w:rsidRPr="00742A04">
        <w:t xml:space="preserve"> en</w:t>
      </w:r>
      <w:r w:rsidR="00545D1B" w:rsidRPr="00742A04">
        <w:t xml:space="preserve"> 1999. </w:t>
      </w:r>
      <w:r w:rsidR="00E73E8E" w:rsidRPr="00742A04">
        <w:t xml:space="preserve">Son mujeres </w:t>
      </w:r>
      <w:r w:rsidR="00545D1B" w:rsidRPr="00742A04">
        <w:t xml:space="preserve">73 </w:t>
      </w:r>
      <w:r w:rsidR="004A0730" w:rsidRPr="00742A04">
        <w:t>de</w:t>
      </w:r>
      <w:r w:rsidR="00545D1B" w:rsidRPr="00742A04">
        <w:t xml:space="preserve"> </w:t>
      </w:r>
      <w:r w:rsidR="00E73E8E" w:rsidRPr="00742A04">
        <w:t xml:space="preserve">los </w:t>
      </w:r>
      <w:r w:rsidR="00545D1B" w:rsidRPr="00742A04">
        <w:t xml:space="preserve">434 </w:t>
      </w:r>
      <w:r w:rsidR="001F6F1A" w:rsidRPr="00742A04">
        <w:t>alcaldes</w:t>
      </w:r>
      <w:r w:rsidR="00545D1B" w:rsidRPr="00742A04">
        <w:t xml:space="preserve"> </w:t>
      </w:r>
      <w:r w:rsidR="00E73E8E" w:rsidRPr="00742A04">
        <w:t>de Noruega</w:t>
      </w:r>
      <w:r w:rsidR="00545D1B" w:rsidRPr="00742A04">
        <w:t xml:space="preserve">, </w:t>
      </w:r>
      <w:r w:rsidR="00ED182B">
        <w:t>lo cual equivale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="00E73E8E" w:rsidRPr="00742A04">
        <w:t xml:space="preserve">al </w:t>
      </w:r>
      <w:r w:rsidR="00545D1B" w:rsidRPr="00742A04">
        <w:t>17</w:t>
      </w:r>
      <w:r w:rsidR="001167D2" w:rsidRPr="00742A04">
        <w:t>%</w:t>
      </w:r>
      <w:r w:rsidR="00545D1B" w:rsidRPr="00742A04">
        <w:t xml:space="preserve">. </w:t>
      </w:r>
      <w:r w:rsidR="00E73E8E" w:rsidRPr="00742A04">
        <w:t>La composición de género</w:t>
      </w:r>
      <w:r w:rsidR="00C14BFF" w:rsidRPr="00742A04">
        <w:t xml:space="preserve"> </w:t>
      </w:r>
      <w:r w:rsidR="004A0730" w:rsidRPr="00742A04">
        <w:t>de</w:t>
      </w:r>
      <w:r w:rsidR="00E73E8E" w:rsidRPr="00742A04">
        <w:t xml:space="preserve"> los</w:t>
      </w:r>
      <w:r w:rsidR="00545D1B" w:rsidRPr="00742A04">
        <w:t xml:space="preserve"> </w:t>
      </w:r>
      <w:r w:rsidR="00E73E8E" w:rsidRPr="00742A04">
        <w:t xml:space="preserve">comités </w:t>
      </w:r>
      <w:r w:rsidR="00545D1B" w:rsidRPr="00742A04">
        <w:t>municipal</w:t>
      </w:r>
      <w:r w:rsidR="00BB4DB1" w:rsidRPr="00742A04">
        <w:t>es</w:t>
      </w:r>
      <w:r w:rsidR="00545D1B" w:rsidRPr="00742A04">
        <w:t xml:space="preserve"> </w:t>
      </w:r>
      <w:r w:rsidR="00E73E8E" w:rsidRPr="00742A04">
        <w:t xml:space="preserve">está </w:t>
      </w:r>
      <w:r w:rsidR="00545D1B" w:rsidRPr="00742A04">
        <w:t>regula</w:t>
      </w:r>
      <w:r w:rsidR="00E73E8E" w:rsidRPr="00742A04">
        <w:t>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E73E8E" w:rsidRPr="00742A04">
        <w:t>la Ley de Gobiernos Locales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E73E8E" w:rsidRPr="00742A04">
        <w:t>prescribe</w:t>
      </w:r>
      <w:r w:rsidR="0081178E" w:rsidRPr="00742A04">
        <w:t xml:space="preserve"> que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="00101B8C" w:rsidRPr="00742A04">
        <w:t>sexo</w:t>
      </w:r>
      <w:r w:rsidR="00545D1B" w:rsidRPr="00742A04">
        <w:t xml:space="preserve"> </w:t>
      </w:r>
      <w:r w:rsidR="0020526A" w:rsidRPr="00742A04">
        <w:t xml:space="preserve">debe </w:t>
      </w:r>
      <w:r w:rsidR="00E73E8E" w:rsidRPr="00742A04">
        <w:t>tener una representación mí</w:t>
      </w:r>
      <w:r w:rsidR="00545D1B" w:rsidRPr="00742A04">
        <w:t>nim</w:t>
      </w:r>
      <w:r w:rsidR="00E73E8E" w:rsidRPr="00742A04">
        <w:t>a</w:t>
      </w:r>
      <w:r w:rsidR="00545D1B" w:rsidRPr="00742A04">
        <w:t xml:space="preserve"> </w:t>
      </w:r>
      <w:r w:rsidR="004A0730" w:rsidRPr="00742A04">
        <w:t>de</w:t>
      </w:r>
      <w:r w:rsidR="00E73E8E" w:rsidRPr="00742A04">
        <w:t>l</w:t>
      </w:r>
      <w:r w:rsidR="00545D1B" w:rsidRPr="00742A04">
        <w:t xml:space="preserve"> 40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73E8E" w:rsidRPr="00742A04">
        <w:t>los</w:t>
      </w:r>
      <w:r w:rsidR="00545D1B" w:rsidRPr="00742A04">
        <w:t xml:space="preserve"> </w:t>
      </w:r>
      <w:r w:rsidR="00A836A1" w:rsidRPr="00742A04">
        <w:t>miembros</w:t>
      </w:r>
      <w:r w:rsidR="00545D1B" w:rsidRPr="00742A04">
        <w:t xml:space="preserve">. </w:t>
      </w:r>
      <w:r w:rsidR="00E73E8E" w:rsidRPr="00742A04">
        <w:t>La proporción de mujeres e</w:t>
      </w:r>
      <w:r w:rsidR="00545D1B" w:rsidRPr="00742A04">
        <w:t xml:space="preserve">n </w:t>
      </w:r>
      <w:r w:rsidR="00242371" w:rsidRPr="00742A04">
        <w:t>las juntas ejecutivas municipales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DA461E" w:rsidRPr="00742A04">
        <w:t>actua</w:t>
      </w:r>
      <w:r w:rsidR="00DA461E" w:rsidRPr="00742A04">
        <w:t>l</w:t>
      </w:r>
      <w:r w:rsidR="00DA461E" w:rsidRPr="00742A04">
        <w:t>mente</w:t>
      </w:r>
      <w:r w:rsidR="00545D1B" w:rsidRPr="00742A04">
        <w:t xml:space="preserve"> </w:t>
      </w:r>
      <w:r w:rsidR="00E73E8E" w:rsidRPr="00742A04">
        <w:t>del 37,</w:t>
      </w:r>
      <w:r w:rsidR="00545D1B" w:rsidRPr="00742A04">
        <w:t>9</w:t>
      </w:r>
      <w:r w:rsidR="001167D2" w:rsidRPr="00742A04">
        <w:t>%</w:t>
      </w:r>
      <w:r w:rsidR="00545D1B" w:rsidRPr="00742A04">
        <w:t xml:space="preserve">, </w:t>
      </w:r>
      <w:r w:rsidR="00E73E8E" w:rsidRPr="00742A04">
        <w:t>cifra</w:t>
      </w:r>
      <w:r w:rsidR="00545D1B" w:rsidRPr="00742A04">
        <w:t xml:space="preserve"> consider</w:t>
      </w:r>
      <w:r w:rsidR="00982243" w:rsidRPr="00742A04">
        <w:t xml:space="preserve">ablemente </w:t>
      </w:r>
      <w:r w:rsidR="00E73E8E" w:rsidRPr="00742A04">
        <w:t>superior</w:t>
      </w:r>
      <w:r w:rsidR="001E30D6" w:rsidRPr="00742A04">
        <w:t xml:space="preserve"> </w:t>
      </w:r>
      <w:r w:rsidR="00A80F26">
        <w:t>a la</w:t>
      </w:r>
      <w:r w:rsidR="001E30D6" w:rsidRPr="00742A04">
        <w:t xml:space="preserve"> </w:t>
      </w:r>
      <w:r w:rsidR="00E73E8E" w:rsidRPr="00742A04">
        <w:t>de los consejos munic</w:t>
      </w:r>
      <w:r w:rsidR="00E73E8E" w:rsidRPr="00742A04">
        <w:t>i</w:t>
      </w:r>
      <w:r w:rsidR="00E73E8E" w:rsidRPr="00742A04">
        <w:t>pales en el período</w:t>
      </w:r>
      <w:r w:rsidR="00545D1B" w:rsidRPr="00742A04">
        <w:t xml:space="preserve"> </w:t>
      </w:r>
      <w:r w:rsidR="00E73E8E" w:rsidRPr="00742A04">
        <w:t>anterior</w:t>
      </w:r>
      <w:r w:rsidR="00545D1B" w:rsidRPr="00742A04">
        <w:t xml:space="preserve">. </w:t>
      </w:r>
      <w:r w:rsidR="00E73E8E" w:rsidRPr="00742A04">
        <w:t xml:space="preserve">El </w:t>
      </w:r>
      <w:r w:rsidR="00545D1B" w:rsidRPr="00742A04">
        <w:t>43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73E8E" w:rsidRPr="00742A04">
        <w:t>los miembros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73E8E" w:rsidRPr="00742A04">
        <w:t>comités municipales pe</w:t>
      </w:r>
      <w:r w:rsidR="00E73E8E" w:rsidRPr="00742A04">
        <w:t>r</w:t>
      </w:r>
      <w:r w:rsidR="00E73E8E" w:rsidRPr="00742A04">
        <w:t>manentes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DE7E8C" w:rsidRPr="00742A04">
        <w:t xml:space="preserve">el </w:t>
      </w:r>
      <w:r w:rsidR="00545D1B" w:rsidRPr="00742A04">
        <w:t>44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E7E8C" w:rsidRPr="00742A04">
        <w:t>el período anterior</w:t>
      </w:r>
      <w:r w:rsidR="00545D1B" w:rsidRPr="00742A04">
        <w:t xml:space="preserve">.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E7E8C" w:rsidRPr="00742A04">
        <w:t>los comités de condado</w:t>
      </w:r>
      <w:r w:rsidR="00545D1B" w:rsidRPr="00742A04">
        <w:t xml:space="preserve"> ha de</w:t>
      </w:r>
      <w:r w:rsidR="00DE7E8C" w:rsidRPr="00742A04">
        <w:t>s</w:t>
      </w:r>
      <w:r w:rsidR="00545D1B" w:rsidRPr="00742A04">
        <w:t>c</w:t>
      </w:r>
      <w:r w:rsidR="00DE7E8C" w:rsidRPr="00742A04">
        <w:t>endido levemente</w:t>
      </w:r>
      <w:r w:rsidR="00545D1B" w:rsidRPr="00742A04">
        <w:t xml:space="preserve">, </w:t>
      </w:r>
      <w:r w:rsidR="008F0C8E" w:rsidRPr="00742A04">
        <w:t>de</w:t>
      </w:r>
      <w:r w:rsidR="00DE7E8C" w:rsidRPr="00742A04">
        <w:t>l</w:t>
      </w:r>
      <w:r w:rsidR="00545D1B" w:rsidRPr="00742A04">
        <w:t xml:space="preserve"> 41 </w:t>
      </w:r>
      <w:r w:rsidR="0030626A" w:rsidRPr="00742A04">
        <w:t>a</w:t>
      </w:r>
      <w:r w:rsidR="00DE7E8C" w:rsidRPr="00742A04">
        <w:t>l</w:t>
      </w:r>
      <w:r w:rsidR="00545D1B" w:rsidRPr="00742A04">
        <w:t xml:space="preserve"> 37</w:t>
      </w:r>
      <w:r w:rsidR="001F6F1A" w:rsidRPr="00742A04">
        <w:t>,</w:t>
      </w:r>
      <w:r w:rsidR="00545D1B" w:rsidRPr="00742A04">
        <w:t>9</w:t>
      </w:r>
      <w:r w:rsidR="001167D2" w:rsidRPr="00742A04">
        <w:t>%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E7E8C" w:rsidRPr="00742A04">
        <w:t>los comités permanentes de co</w:t>
      </w:r>
      <w:r w:rsidR="00DE7E8C" w:rsidRPr="00742A04">
        <w:t>n</w:t>
      </w:r>
      <w:r w:rsidR="00DE7E8C" w:rsidRPr="00742A04">
        <w:t>dado</w:t>
      </w:r>
      <w:r w:rsidR="00545D1B" w:rsidRPr="00742A04">
        <w:t xml:space="preserve"> </w:t>
      </w:r>
      <w:r w:rsidR="00DE7E8C" w:rsidRPr="00742A04">
        <w:t>aumentó del</w:t>
      </w:r>
      <w:r w:rsidR="00545D1B" w:rsidRPr="00742A04">
        <w:t xml:space="preserve"> 44</w:t>
      </w:r>
      <w:r w:rsidR="001167D2" w:rsidRPr="00742A04">
        <w:t>%</w:t>
      </w:r>
      <w:r w:rsidR="00545D1B" w:rsidRPr="00742A04">
        <w:t xml:space="preserve"> </w:t>
      </w:r>
      <w:r w:rsidR="0030626A" w:rsidRPr="00742A04">
        <w:t>a</w:t>
      </w:r>
      <w:r w:rsidR="00DE7E8C" w:rsidRPr="00742A04">
        <w:t>l</w:t>
      </w:r>
      <w:r w:rsidR="00545D1B" w:rsidRPr="00742A04">
        <w:t xml:space="preserve"> 46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E7E8C" w:rsidRPr="00742A04">
        <w:t>el período actual</w:t>
      </w:r>
      <w:r w:rsidR="00545D1B" w:rsidRPr="00742A04">
        <w:t>.</w:t>
      </w:r>
    </w:p>
    <w:p w:rsidR="000A08D8" w:rsidRPr="00742A04" w:rsidRDefault="00DE7E8C" w:rsidP="00A323E2">
      <w:pPr>
        <w:pStyle w:val="SingleTxt"/>
        <w:ind w:firstLine="475"/>
      </w:pPr>
      <w:r w:rsidRPr="00742A04">
        <w:t>En una tesis</w:t>
      </w:r>
      <w:r w:rsidR="00545D1B" w:rsidRPr="00742A04">
        <w:t xml:space="preserve"> doctoral </w:t>
      </w:r>
      <w:r w:rsidR="008F0C8E" w:rsidRPr="00742A04">
        <w:t>de</w:t>
      </w:r>
      <w:r w:rsidR="00545D1B" w:rsidRPr="00742A04">
        <w:t xml:space="preserve"> 2005 </w:t>
      </w:r>
      <w:r w:rsidRPr="00742A04">
        <w:t>sobre</w:t>
      </w:r>
      <w:r w:rsidR="00545D1B" w:rsidRPr="00742A04">
        <w:t xml:space="preserve"> </w:t>
      </w:r>
      <w:r w:rsidRPr="00742A04">
        <w:t>la equidad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los sistemas de cuotas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 política local</w:t>
      </w:r>
      <w:r w:rsidR="00545D1B" w:rsidRPr="00742A04">
        <w:t xml:space="preserve"> (Ingrid Gulvik) </w:t>
      </w:r>
      <w:r w:rsidRPr="00742A04">
        <w:t>se examina</w:t>
      </w:r>
      <w:r w:rsidR="002A64B2" w:rsidRPr="00742A04">
        <w:t>n los</w:t>
      </w:r>
      <w:r w:rsidR="005E2D7A" w:rsidRPr="00742A04">
        <w:t xml:space="preserve"> </w:t>
      </w:r>
      <w:r w:rsidR="005E6919" w:rsidRPr="00742A04">
        <w:t>procesos</w:t>
      </w:r>
      <w:r w:rsidR="00545D1B" w:rsidRPr="00742A04">
        <w:t xml:space="preserve"> </w:t>
      </w:r>
      <w:r w:rsidR="002A64B2" w:rsidRPr="00742A04">
        <w:t>relacionados</w:t>
      </w:r>
      <w:r w:rsidR="00154FBB" w:rsidRPr="00742A04">
        <w:t xml:space="preserve"> con</w:t>
      </w:r>
      <w:r w:rsidR="00545D1B" w:rsidRPr="00742A04">
        <w:t xml:space="preserve"> </w:t>
      </w:r>
      <w:r w:rsidR="002A64B2" w:rsidRPr="00742A04">
        <w:t>la elaboración y</w:t>
      </w:r>
      <w:r w:rsidR="002E5047" w:rsidRPr="00742A04">
        <w:t xml:space="preserve"> </w:t>
      </w:r>
      <w:r w:rsidR="004F2F8A" w:rsidRPr="00742A04">
        <w:t xml:space="preserve">la </w:t>
      </w:r>
      <w:r w:rsidR="002A64B2" w:rsidRPr="00742A04">
        <w:t>aplic</w:t>
      </w:r>
      <w:r w:rsidR="004F2F8A" w:rsidRPr="00742A04">
        <w:t>ación</w:t>
      </w:r>
      <w:r w:rsidR="00C14BFF" w:rsidRPr="00742A04">
        <w:t xml:space="preserve"> </w:t>
      </w:r>
      <w:r w:rsidR="004A0730" w:rsidRPr="00742A04">
        <w:t>de</w:t>
      </w:r>
      <w:r w:rsidR="002A64B2" w:rsidRPr="00742A04">
        <w:t xml:space="preserve"> las</w:t>
      </w:r>
      <w:r w:rsidR="00545D1B" w:rsidRPr="00742A04">
        <w:t xml:space="preserve"> </w:t>
      </w:r>
      <w:r w:rsidR="002A64B2" w:rsidRPr="00742A04">
        <w:t>normas sobre cuotas</w:t>
      </w:r>
      <w:r w:rsidR="00545D1B" w:rsidRPr="00742A04">
        <w:t xml:space="preserve"> </w:t>
      </w:r>
      <w:r w:rsidR="002A64B2" w:rsidRPr="00742A04">
        <w:t>d</w:t>
      </w:r>
      <w:r w:rsidR="00C14BFF" w:rsidRPr="00742A04">
        <w:t>e</w:t>
      </w:r>
      <w:r w:rsidR="00545D1B" w:rsidRPr="00742A04">
        <w:t xml:space="preserve"> </w:t>
      </w:r>
      <w:r w:rsidR="00E73E8E" w:rsidRPr="00742A04">
        <w:t>la Ley de Gobie</w:t>
      </w:r>
      <w:r w:rsidR="00E73E8E" w:rsidRPr="00742A04">
        <w:t>r</w:t>
      </w:r>
      <w:r w:rsidR="00E73E8E" w:rsidRPr="00742A04">
        <w:t>nos Locales</w:t>
      </w:r>
      <w:r w:rsidR="00545D1B" w:rsidRPr="00742A04">
        <w:t xml:space="preserve">. </w:t>
      </w:r>
      <w:r w:rsidR="002A64B2" w:rsidRPr="00742A04">
        <w:t>La t</w:t>
      </w:r>
      <w:r w:rsidR="00545D1B" w:rsidRPr="00742A04">
        <w:t xml:space="preserve">esis </w:t>
      </w:r>
      <w:r w:rsidR="003E5775" w:rsidRPr="00742A04">
        <w:t>indica que</w:t>
      </w:r>
      <w:r w:rsidR="00545D1B" w:rsidRPr="00742A04">
        <w:t xml:space="preserve"> </w:t>
      </w:r>
      <w:r w:rsidR="002A64B2" w:rsidRPr="00742A04">
        <w:t xml:space="preserve">existe oposición a </w:t>
      </w:r>
      <w:r w:rsidR="00DC0DB8" w:rsidRPr="00742A04">
        <w:t>medidas</w:t>
      </w:r>
      <w:r w:rsidR="00545D1B" w:rsidRPr="00742A04">
        <w:t xml:space="preserve"> </w:t>
      </w:r>
      <w:r w:rsidR="002A64B2" w:rsidRPr="00742A04">
        <w:t xml:space="preserve">concretas </w:t>
      </w:r>
      <w:r w:rsidR="00AD0883" w:rsidRPr="00742A04">
        <w:t>tales como</w:t>
      </w:r>
      <w:r w:rsidR="00545D1B" w:rsidRPr="00742A04">
        <w:t xml:space="preserve"> </w:t>
      </w:r>
      <w:r w:rsidRPr="00742A04">
        <w:t>los sistemas de cuotas</w:t>
      </w:r>
      <w:r w:rsidR="00545D1B" w:rsidRPr="00742A04">
        <w:t xml:space="preserve"> </w:t>
      </w:r>
      <w:r w:rsidR="002A64B2" w:rsidRPr="00742A04">
        <w:t>de género</w:t>
      </w:r>
      <w:r w:rsidR="00545D1B" w:rsidRPr="00742A04">
        <w:t xml:space="preserve">, </w:t>
      </w:r>
      <w:r w:rsidR="002A64B2" w:rsidRPr="00742A04">
        <w:t>que los</w:t>
      </w:r>
      <w:r w:rsidR="00545D1B" w:rsidRPr="00742A04">
        <w:t xml:space="preserve"> par</w:t>
      </w:r>
      <w:r w:rsidR="002A64B2" w:rsidRPr="00742A04">
        <w:t>tidos locale</w:t>
      </w:r>
      <w:r w:rsidR="00545D1B" w:rsidRPr="00742A04">
        <w:t>s no</w:t>
      </w:r>
      <w:r w:rsidR="002A64B2" w:rsidRPr="00742A04">
        <w:t xml:space="preserve"> ponen 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2A64B2" w:rsidRPr="00742A04">
        <w:t>en los primeros lugares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D182B">
        <w:t xml:space="preserve">que </w:t>
      </w:r>
      <w:r w:rsidR="002A64B2" w:rsidRPr="00742A04">
        <w:t>es poco lo que se hace por</w:t>
      </w:r>
      <w:r w:rsidR="00545D1B" w:rsidRPr="00742A04">
        <w:t xml:space="preserve"> </w:t>
      </w:r>
      <w:r w:rsidR="00CB0483" w:rsidRPr="00742A04">
        <w:t>eliminar</w:t>
      </w:r>
      <w:r w:rsidR="00545D1B" w:rsidRPr="00742A04">
        <w:t xml:space="preserve"> </w:t>
      </w:r>
      <w:r w:rsidR="002A64B2" w:rsidRPr="00742A04">
        <w:t xml:space="preserve">los </w:t>
      </w:r>
      <w:r w:rsidR="00A60159" w:rsidRPr="00742A04">
        <w:t>obstáculo</w:t>
      </w:r>
      <w:r w:rsidR="00545D1B" w:rsidRPr="00742A04">
        <w:t xml:space="preserve">s </w:t>
      </w:r>
      <w:r w:rsidR="002A64B2" w:rsidRPr="00742A04">
        <w:t>prácticos que hacen que a las mujeres les resulte</w:t>
      </w:r>
      <w:r w:rsidR="00545D1B" w:rsidRPr="00742A04">
        <w:t xml:space="preserve"> </w:t>
      </w:r>
      <w:r w:rsidR="00F05119" w:rsidRPr="00742A04">
        <w:t>difícil</w:t>
      </w:r>
      <w:r w:rsidR="00545D1B" w:rsidRPr="00742A04">
        <w:t xml:space="preserve"> combin</w:t>
      </w:r>
      <w:r w:rsidR="002A64B2" w:rsidRPr="00742A04">
        <w:t>ar la p</w:t>
      </w:r>
      <w:r w:rsidR="00A05847" w:rsidRPr="00742A04">
        <w:t>articipación política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D182B">
        <w:t xml:space="preserve">las </w:t>
      </w:r>
      <w:r w:rsidR="00545D1B" w:rsidRPr="00742A04">
        <w:t>obliga</w:t>
      </w:r>
      <w:r w:rsidR="008907B8" w:rsidRPr="00742A04">
        <w:t>ciones</w:t>
      </w:r>
      <w:r w:rsidR="002A64B2" w:rsidRPr="00742A04">
        <w:t xml:space="preserve"> familiares</w:t>
      </w:r>
      <w:r w:rsidR="00545D1B" w:rsidRPr="00742A04">
        <w:t xml:space="preserve">. </w:t>
      </w:r>
      <w:r w:rsidR="00A323E2" w:rsidRPr="00742A04">
        <w:t>El g</w:t>
      </w:r>
      <w:r w:rsidR="00A836A1" w:rsidRPr="00742A04">
        <w:t>énero</w:t>
      </w:r>
      <w:r w:rsidR="00545D1B" w:rsidRPr="00742A04">
        <w:t xml:space="preserve"> </w:t>
      </w:r>
      <w:r w:rsidR="00BB4DB1" w:rsidRPr="00742A04">
        <w:t>s</w:t>
      </w:r>
      <w:r w:rsidR="00A323E2" w:rsidRPr="00742A04">
        <w:t>e</w:t>
      </w:r>
      <w:r w:rsidR="00545D1B" w:rsidRPr="00742A04">
        <w:t xml:space="preserve"> </w:t>
      </w:r>
      <w:r w:rsidR="007E0DFE" w:rsidRPr="00742A04">
        <w:t>percib</w:t>
      </w:r>
      <w:r w:rsidR="00A323E2" w:rsidRPr="00742A04">
        <w:t xml:space="preserve">e como algo que tiene poca </w:t>
      </w:r>
      <w:r w:rsidR="0079108A" w:rsidRPr="00742A04">
        <w:t>impo</w:t>
      </w:r>
      <w:r w:rsidR="0079108A" w:rsidRPr="00742A04">
        <w:t>r</w:t>
      </w:r>
      <w:r w:rsidR="0079108A" w:rsidRPr="00742A04">
        <w:t>tancia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323E2" w:rsidRPr="00742A04">
        <w:t xml:space="preserve">la </w:t>
      </w:r>
      <w:r w:rsidR="005E08DF" w:rsidRPr="00742A04">
        <w:t>representación política</w:t>
      </w:r>
      <w:r w:rsidR="00935A90" w:rsidRPr="00742A04">
        <w:t>,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no </w:t>
      </w:r>
      <w:r w:rsidR="00BA5ABE" w:rsidRPr="00742A04">
        <w:t>más</w:t>
      </w:r>
      <w:r w:rsidR="00545D1B" w:rsidRPr="00742A04">
        <w:t xml:space="preserve"> </w:t>
      </w:r>
      <w:r w:rsidR="00BB1CDE" w:rsidRPr="00742A04">
        <w:t>importancia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, </w:t>
      </w:r>
      <w:r w:rsidR="006137EC" w:rsidRPr="00742A04">
        <w:t xml:space="preserve">por </w:t>
      </w:r>
      <w:r w:rsidR="00040B78" w:rsidRPr="00742A04">
        <w:t>ejemplo</w:t>
      </w:r>
      <w:r w:rsidR="00545D1B" w:rsidRPr="00742A04">
        <w:t xml:space="preserve">, </w:t>
      </w:r>
      <w:r w:rsidR="00A323E2" w:rsidRPr="00742A04">
        <w:t xml:space="preserve">la </w:t>
      </w:r>
      <w:r w:rsidR="00B82A08" w:rsidRPr="00742A04">
        <w:t>ocup</w:t>
      </w:r>
      <w:r w:rsidR="00545D1B" w:rsidRPr="00742A04">
        <w:t>a</w:t>
      </w:r>
      <w:r w:rsidR="00C14BFF" w:rsidRPr="00742A04">
        <w:t xml:space="preserve">ción </w:t>
      </w:r>
      <w:r w:rsidR="008E5EBF" w:rsidRPr="00742A04">
        <w:t>o</w:t>
      </w:r>
      <w:r w:rsidR="00545D1B" w:rsidRPr="00742A04">
        <w:t xml:space="preserve"> </w:t>
      </w:r>
      <w:r w:rsidR="00A323E2" w:rsidRPr="00742A04">
        <w:t xml:space="preserve">la </w:t>
      </w:r>
      <w:r w:rsidR="00A93B9E" w:rsidRPr="00742A04">
        <w:t>edad</w:t>
      </w:r>
      <w:r w:rsidR="00545D1B" w:rsidRPr="00742A04">
        <w:t xml:space="preserve">. </w:t>
      </w:r>
      <w:r w:rsidR="00A323E2" w:rsidRPr="00742A04">
        <w:t>Resulta que la</w:t>
      </w:r>
      <w:r w:rsidR="00545D1B" w:rsidRPr="00742A04">
        <w:t xml:space="preserve"> dispar</w:t>
      </w:r>
      <w:r w:rsidR="00502E16" w:rsidRPr="00742A04">
        <w:t>idad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323E2" w:rsidRPr="00742A04">
        <w:t xml:space="preserve">la </w:t>
      </w:r>
      <w:r w:rsidR="00545D1B" w:rsidRPr="00742A04">
        <w:t>activ</w:t>
      </w:r>
      <w:r w:rsidR="00502E16" w:rsidRPr="00742A04">
        <w:t>idad</w:t>
      </w:r>
      <w:r w:rsidR="00545D1B" w:rsidRPr="00742A04">
        <w:t xml:space="preserve"> </w:t>
      </w:r>
      <w:r w:rsidR="00A323E2" w:rsidRPr="00742A04">
        <w:t>política local se pe</w:t>
      </w:r>
      <w:r w:rsidR="00A323E2" w:rsidRPr="00742A04">
        <w:t>r</w:t>
      </w:r>
      <w:r w:rsidR="00A323E2" w:rsidRPr="00742A04">
        <w:t>cibe como</w:t>
      </w:r>
      <w:r w:rsidR="00545D1B" w:rsidRPr="00742A04">
        <w:t xml:space="preserve"> </w:t>
      </w:r>
      <w:r w:rsidR="00A323E2" w:rsidRPr="00742A04">
        <w:t>un</w:t>
      </w:r>
      <w:r w:rsidR="00545D1B" w:rsidRPr="00742A04">
        <w:t xml:space="preserve">a </w:t>
      </w:r>
      <w:r w:rsidR="00495D7B" w:rsidRPr="00742A04">
        <w:t>consecuencia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“</w:t>
      </w:r>
      <w:r w:rsidR="00A323E2" w:rsidRPr="00742A04">
        <w:t xml:space="preserve">la condición </w:t>
      </w:r>
      <w:r w:rsidR="00545D1B" w:rsidRPr="00742A04">
        <w:t xml:space="preserve">natural </w:t>
      </w:r>
      <w:r w:rsidR="00A323E2" w:rsidRPr="00742A04">
        <w:t>de la mujer</w:t>
      </w:r>
      <w:r w:rsidR="00545D1B" w:rsidRPr="00742A04">
        <w:t xml:space="preserve">”, </w:t>
      </w:r>
      <w:r w:rsidR="00502E16" w:rsidRPr="00742A04">
        <w:t>es decir,</w:t>
      </w:r>
      <w:r w:rsidR="00545D1B" w:rsidRPr="00742A04">
        <w:t xml:space="preserve"> </w:t>
      </w:r>
      <w:r w:rsidR="00A323E2" w:rsidRPr="00742A04">
        <w:t xml:space="preserve">de que las </w:t>
      </w:r>
      <w:r w:rsidR="00072AD7" w:rsidRPr="00742A04">
        <w:t>mujeres</w:t>
      </w:r>
      <w:r w:rsidR="00545D1B" w:rsidRPr="00742A04">
        <w:t xml:space="preserve"> </w:t>
      </w:r>
      <w:r w:rsidR="00A323E2" w:rsidRPr="00742A04">
        <w:t>tengan bebés</w:t>
      </w:r>
      <w:r w:rsidR="00545D1B" w:rsidRPr="00742A04">
        <w:t xml:space="preserve">. </w:t>
      </w:r>
      <w:r w:rsidR="005C6D40" w:rsidRPr="00742A04">
        <w:t>Los hombres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323E2" w:rsidRPr="00742A04">
        <w:t>percibidos como</w:t>
      </w:r>
      <w:r w:rsidR="00545D1B" w:rsidRPr="00742A04">
        <w:t xml:space="preserve"> </w:t>
      </w:r>
      <w:r w:rsidR="00A323E2" w:rsidRPr="00742A04">
        <w:t xml:space="preserve">individuos </w:t>
      </w:r>
      <w:r w:rsidR="00614C7D" w:rsidRPr="00742A04">
        <w:t>indepe</w:t>
      </w:r>
      <w:r w:rsidR="00614C7D" w:rsidRPr="00742A04">
        <w:t>n</w:t>
      </w:r>
      <w:r w:rsidR="00614C7D" w:rsidRPr="00742A04">
        <w:t>diente</w:t>
      </w:r>
      <w:r w:rsidR="00A323E2" w:rsidRPr="00742A04">
        <w:t>s y</w:t>
      </w:r>
      <w:r w:rsidR="00545D1B" w:rsidRPr="00742A04">
        <w:t xml:space="preserve"> </w:t>
      </w:r>
      <w:r w:rsidR="003C25BF" w:rsidRPr="00742A04">
        <w:t>objetivo</w:t>
      </w:r>
      <w:r w:rsidR="00A323E2" w:rsidRPr="00742A04">
        <w:t>s</w:t>
      </w:r>
      <w:r w:rsidR="00545D1B" w:rsidRPr="00742A04">
        <w:t xml:space="preserve">, </w:t>
      </w:r>
      <w:r w:rsidR="00A323E2" w:rsidRPr="00742A04">
        <w:t>mientras que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323E2" w:rsidRPr="00742A04">
        <w:t>percibidas como</w:t>
      </w:r>
      <w:r w:rsidR="00545D1B" w:rsidRPr="00742A04">
        <w:t xml:space="preserve"> subjeti</w:t>
      </w:r>
      <w:r w:rsidR="00A323E2" w:rsidRPr="00742A04">
        <w:t>vas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622FD" w:rsidRPr="00742A04">
        <w:t>d</w:t>
      </w:r>
      <w:r w:rsidR="008622FD" w:rsidRPr="00742A04">
        <w:t>e</w:t>
      </w:r>
      <w:r w:rsidR="008622FD" w:rsidRPr="00742A04">
        <w:t xml:space="preserve">terminadas por el </w:t>
      </w:r>
      <w:r w:rsidR="00A836A1" w:rsidRPr="00742A04">
        <w:t>género</w:t>
      </w:r>
      <w:r w:rsidR="00545D1B" w:rsidRPr="00742A04">
        <w:t xml:space="preserve">. </w:t>
      </w:r>
      <w:r w:rsidR="008622FD" w:rsidRPr="00742A04">
        <w:t>En los 15 últimos años ha hab</w:t>
      </w:r>
      <w:r w:rsidR="006D7D2F" w:rsidRPr="00742A04">
        <w:t>ido</w:t>
      </w:r>
      <w:r w:rsidR="00545D1B" w:rsidRPr="00742A04">
        <w:t xml:space="preserve"> </w:t>
      </w:r>
      <w:r w:rsidR="008622FD" w:rsidRPr="00742A04">
        <w:t xml:space="preserve">una </w:t>
      </w:r>
      <w:r w:rsidR="007E0DFE" w:rsidRPr="00742A04">
        <w:t>tendencia</w:t>
      </w:r>
      <w:r w:rsidR="00545D1B" w:rsidRPr="00742A04">
        <w:t xml:space="preserve"> </w:t>
      </w:r>
      <w:r w:rsidR="008622FD" w:rsidRPr="00742A04">
        <w:t>al</w:t>
      </w:r>
      <w:r w:rsidR="00545D1B" w:rsidRPr="00742A04">
        <w:t xml:space="preserve"> </w:t>
      </w:r>
      <w:r w:rsidR="008622FD" w:rsidRPr="00742A04">
        <w:t>esta</w:t>
      </w:r>
      <w:r w:rsidR="008622FD" w:rsidRPr="00742A04">
        <w:t>n</w:t>
      </w:r>
      <w:r w:rsidR="008622FD" w:rsidRPr="00742A04">
        <w:t>camiento</w:t>
      </w:r>
      <w:r w:rsidR="00545D1B" w:rsidRPr="00742A04">
        <w:t xml:space="preserve">, </w:t>
      </w:r>
      <w:r w:rsidR="008622FD" w:rsidRPr="00742A04">
        <w:t xml:space="preserve">y </w:t>
      </w:r>
      <w:r w:rsidR="00130F7F" w:rsidRPr="00742A04">
        <w:t>al mismo tiempo</w:t>
      </w:r>
      <w:r w:rsidR="00545D1B" w:rsidRPr="00742A04">
        <w:t xml:space="preserve"> </w:t>
      </w:r>
      <w:r w:rsidR="008622FD" w:rsidRPr="00742A04">
        <w:t>hay tendencias que a</w:t>
      </w:r>
      <w:r w:rsidR="00C923A8" w:rsidRPr="00742A04">
        <w:t>punt</w:t>
      </w:r>
      <w:r w:rsidR="008622FD" w:rsidRPr="00742A04">
        <w:t>an en el sentido de un</w:t>
      </w:r>
      <w:r w:rsidR="00545D1B" w:rsidRPr="00742A04">
        <w:t xml:space="preserve"> </w:t>
      </w:r>
      <w:r w:rsidR="00242371" w:rsidRPr="00742A04">
        <w:t>incr</w:t>
      </w:r>
      <w:r w:rsidR="00242371" w:rsidRPr="00742A04">
        <w:t>e</w:t>
      </w:r>
      <w:r w:rsidR="00242371" w:rsidRPr="00742A04">
        <w:t>ment</w:t>
      </w:r>
      <w:r w:rsidR="008622FD" w:rsidRPr="00742A04">
        <w:t>o de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ED182B">
        <w:t xml:space="preserve"> la</w:t>
      </w:r>
      <w:r w:rsidR="00545D1B" w:rsidRPr="00742A04">
        <w:t xml:space="preserve"> </w:t>
      </w:r>
      <w:r w:rsidR="008622FD" w:rsidRPr="00742A04">
        <w:t>política</w:t>
      </w:r>
      <w:r w:rsidR="00545D1B" w:rsidRPr="00742A04">
        <w:t xml:space="preserve">. </w:t>
      </w:r>
      <w:r w:rsidR="00E77E20" w:rsidRPr="00742A04">
        <w:t>Pero</w:t>
      </w:r>
      <w:r w:rsidR="00545D1B" w:rsidRPr="00742A04">
        <w:t xml:space="preserve"> </w:t>
      </w:r>
      <w:r w:rsidR="008622FD" w:rsidRPr="00742A04">
        <w:t>la tendencia</w:t>
      </w:r>
      <w:r w:rsidR="00545D1B" w:rsidRPr="00742A04">
        <w:t xml:space="preserve"> </w:t>
      </w:r>
      <w:r w:rsidR="00673B5D" w:rsidRPr="00742A04">
        <w:t xml:space="preserve">no es </w:t>
      </w:r>
      <w:r w:rsidR="008622FD" w:rsidRPr="00742A04">
        <w:t>lineal</w:t>
      </w:r>
      <w:r w:rsidR="00545D1B" w:rsidRPr="00742A04">
        <w:t xml:space="preserve">; </w:t>
      </w:r>
      <w:r w:rsidR="00021DB5" w:rsidRPr="00742A04">
        <w:t>hay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="007D66F2" w:rsidRPr="00742A04">
        <w:t>entre</w:t>
      </w:r>
      <w:r w:rsidR="00545D1B" w:rsidRPr="00742A04">
        <w:t xml:space="preserve"> </w:t>
      </w:r>
      <w:r w:rsidR="00F43124" w:rsidRPr="00742A04">
        <w:t>las municipalidades</w:t>
      </w:r>
      <w:r w:rsidR="00545D1B" w:rsidRPr="00742A04">
        <w:t xml:space="preserve">, </w:t>
      </w:r>
      <w:r w:rsidR="007D66F2" w:rsidRPr="00742A04">
        <w:t>entre</w:t>
      </w:r>
      <w:r w:rsidR="00545D1B" w:rsidRPr="00742A04">
        <w:t xml:space="preserve"> </w:t>
      </w:r>
      <w:r w:rsidR="008622FD" w:rsidRPr="00742A04">
        <w:t xml:space="preserve">los </w:t>
      </w:r>
      <w:r w:rsidR="00545D1B" w:rsidRPr="00742A04">
        <w:t>par</w:t>
      </w:r>
      <w:r w:rsidR="008622FD" w:rsidRPr="00742A04">
        <w:t>tido</w:t>
      </w:r>
      <w:r w:rsidR="00545D1B" w:rsidRPr="00742A04">
        <w:t xml:space="preserve">s, </w:t>
      </w:r>
      <w:r w:rsidR="007D66F2" w:rsidRPr="00742A04">
        <w:t>entre</w:t>
      </w:r>
      <w:r w:rsidR="00545D1B" w:rsidRPr="00742A04">
        <w:t xml:space="preserve"> </w:t>
      </w:r>
      <w:r w:rsidR="008622FD" w:rsidRPr="00742A04">
        <w:t>los distintos</w:t>
      </w:r>
      <w:r w:rsidR="00545D1B" w:rsidRPr="00742A04">
        <w:t xml:space="preserve"> </w:t>
      </w:r>
      <w:r w:rsidR="008622FD" w:rsidRPr="00742A04">
        <w:t>niveles</w:t>
      </w:r>
      <w:r w:rsidR="00545D1B" w:rsidRPr="00742A04">
        <w:t xml:space="preserve"> </w:t>
      </w:r>
      <w:r w:rsidR="00C07ED9" w:rsidRPr="00742A04">
        <w:t>dentro de</w:t>
      </w:r>
      <w:r w:rsidR="00545D1B" w:rsidRPr="00742A04">
        <w:t xml:space="preserve"> </w:t>
      </w:r>
      <w:r w:rsidR="008622FD" w:rsidRPr="00742A04">
        <w:t>una misma</w:t>
      </w:r>
      <w:r w:rsidR="00545D1B" w:rsidRPr="00742A04">
        <w:t xml:space="preserve"> municipal</w:t>
      </w:r>
      <w:r w:rsidR="00502E16" w:rsidRPr="00742A04">
        <w:t>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8622FD" w:rsidRPr="00742A04">
        <w:t xml:space="preserve">los diversos niveles </w:t>
      </w:r>
      <w:r w:rsidR="00EF5B12" w:rsidRPr="00742A04">
        <w:t>políticos</w:t>
      </w:r>
      <w:r w:rsidR="00545D1B" w:rsidRPr="00742A04">
        <w:t xml:space="preserve">. </w:t>
      </w:r>
      <w:r w:rsidR="008622FD" w:rsidRPr="00742A04">
        <w:t>La</w:t>
      </w:r>
      <w:r w:rsidR="00545D1B" w:rsidRPr="00742A04">
        <w:t xml:space="preserve"> </w:t>
      </w:r>
      <w:r w:rsidR="008622FD" w:rsidRPr="00742A04">
        <w:t>t</w:t>
      </w:r>
      <w:r w:rsidR="00545D1B" w:rsidRPr="00742A04">
        <w:t xml:space="preserve">esis </w:t>
      </w:r>
      <w:r w:rsidR="008622FD" w:rsidRPr="00742A04">
        <w:t xml:space="preserve">doctoral </w:t>
      </w:r>
      <w:r w:rsidR="003E5775" w:rsidRPr="00742A04">
        <w:t>indica que</w:t>
      </w:r>
      <w:r w:rsidR="00545D1B" w:rsidRPr="00742A04">
        <w:t xml:space="preserve"> </w:t>
      </w:r>
      <w:r w:rsidR="008622FD" w:rsidRPr="00742A04">
        <w:t xml:space="preserve">en </w:t>
      </w:r>
      <w:r w:rsidR="003C25BF" w:rsidRPr="00742A04">
        <w:t>casi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8622FD" w:rsidRPr="00742A04">
        <w:t>de cada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A836A1" w:rsidRPr="00742A04">
        <w:t>comités</w:t>
      </w:r>
      <w:r w:rsidR="00545D1B" w:rsidRPr="00742A04">
        <w:t xml:space="preserve"> </w:t>
      </w:r>
      <w:r w:rsidR="008622FD" w:rsidRPr="00742A04">
        <w:t>política no se cumple</w:t>
      </w:r>
      <w:r w:rsidR="00545D1B" w:rsidRPr="00742A04">
        <w:t xml:space="preserve"> </w:t>
      </w:r>
      <w:r w:rsidR="008622FD" w:rsidRPr="00742A04">
        <w:t>el requis</w:t>
      </w:r>
      <w:r w:rsidR="008622FD" w:rsidRPr="00742A04">
        <w:t>i</w:t>
      </w:r>
      <w:r w:rsidR="008622FD" w:rsidRPr="00742A04">
        <w:t>to</w:t>
      </w:r>
      <w:r w:rsidR="00545D1B" w:rsidRPr="00742A04">
        <w:t xml:space="preserve"> </w:t>
      </w:r>
      <w:r w:rsidR="008622FD" w:rsidRPr="00742A04">
        <w:t>establecido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73E8E" w:rsidRPr="00742A04">
        <w:t>la Ley de Gobiernos Locales</w:t>
      </w:r>
      <w:r w:rsidR="00024DBC" w:rsidRPr="00742A04">
        <w:t xml:space="preserve"> </w:t>
      </w:r>
      <w:r w:rsidR="00ED182B">
        <w:t xml:space="preserve">de </w:t>
      </w:r>
      <w:r w:rsidR="00024DBC" w:rsidRPr="00742A04">
        <w:t>que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="00101B8C" w:rsidRPr="00742A04">
        <w:t>sexo</w:t>
      </w:r>
      <w:r w:rsidR="00545D1B" w:rsidRPr="00742A04">
        <w:t xml:space="preserve"> </w:t>
      </w:r>
      <w:r w:rsidR="0020526A" w:rsidRPr="00742A04">
        <w:t xml:space="preserve">debe </w:t>
      </w:r>
      <w:r w:rsidR="00E73E8E" w:rsidRPr="00742A04">
        <w:t>estar represe</w:t>
      </w:r>
      <w:r w:rsidR="00E73E8E" w:rsidRPr="00742A04">
        <w:t>n</w:t>
      </w:r>
      <w:r w:rsidR="00E73E8E" w:rsidRPr="00742A04">
        <w:t>tado</w:t>
      </w:r>
      <w:r w:rsidR="00545D1B" w:rsidRPr="00742A04">
        <w:t xml:space="preserve"> </w:t>
      </w:r>
      <w:r w:rsidR="001167D2" w:rsidRPr="00742A04">
        <w:t>por</w:t>
      </w:r>
      <w:r w:rsidR="00657260" w:rsidRPr="00742A04">
        <w:t xml:space="preserve"> lo menos</w:t>
      </w:r>
      <w:r w:rsidR="00545D1B" w:rsidRPr="00742A04">
        <w:t xml:space="preserve"> </w:t>
      </w:r>
      <w:r w:rsidR="00ED182B">
        <w:t xml:space="preserve">por un </w:t>
      </w:r>
      <w:r w:rsidR="00545D1B" w:rsidRPr="00742A04">
        <w:t>40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73E8E" w:rsidRPr="00742A04">
        <w:t>los miembros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D182B">
        <w:t xml:space="preserve">los </w:t>
      </w:r>
      <w:r w:rsidR="00A836A1" w:rsidRPr="00742A04">
        <w:t>comités</w:t>
      </w:r>
      <w:r w:rsidR="00ED182B" w:rsidRPr="00ED182B">
        <w:t xml:space="preserve"> </w:t>
      </w:r>
      <w:r w:rsidR="00ED182B">
        <w:t>políticos</w:t>
      </w:r>
      <w:r w:rsidR="00545D1B" w:rsidRPr="00742A04">
        <w:t xml:space="preserve">. </w:t>
      </w:r>
      <w:r w:rsidR="00F43274" w:rsidRPr="00742A04">
        <w:t>El estudio</w:t>
      </w:r>
      <w:r w:rsidR="00545D1B" w:rsidRPr="00742A04">
        <w:t xml:space="preserve"> </w:t>
      </w:r>
      <w:r w:rsidR="00EF5B12">
        <w:t>determina</w:t>
      </w:r>
      <w:r w:rsidR="0081178E" w:rsidRPr="00742A04">
        <w:t xml:space="preserve"> que</w:t>
      </w:r>
      <w:r w:rsidR="00545D1B" w:rsidRPr="00742A04">
        <w:t xml:space="preserve"> </w:t>
      </w:r>
      <w:r w:rsidR="00EF5B12">
        <w:t xml:space="preserve">las </w:t>
      </w:r>
      <w:r w:rsidR="00AF398C" w:rsidRPr="00742A04">
        <w:t>enmiendas legislativas</w:t>
      </w:r>
      <w:r w:rsidR="00545D1B" w:rsidRPr="00742A04">
        <w:t xml:space="preserve"> </w:t>
      </w:r>
      <w:r w:rsidR="00CE5A7F" w:rsidRPr="00742A04">
        <w:t>no s</w:t>
      </w:r>
      <w:r w:rsidR="00EF5B12">
        <w:t>o</w:t>
      </w:r>
      <w:r w:rsidR="00CE5A7F" w:rsidRPr="00742A04">
        <w:t>n</w:t>
      </w:r>
      <w:r w:rsidR="00545D1B" w:rsidRPr="00742A04">
        <w:t xml:space="preserve"> </w:t>
      </w:r>
      <w:r w:rsidR="00056EF1" w:rsidRPr="00742A04">
        <w:t>suficiente</w:t>
      </w:r>
      <w:r w:rsidR="00EF5B12">
        <w:t>s</w:t>
      </w:r>
      <w:r w:rsidR="00545D1B" w:rsidRPr="00742A04">
        <w:t xml:space="preserve"> </w:t>
      </w:r>
      <w:r w:rsidR="00EF5B12">
        <w:t>para cambiar las estru</w:t>
      </w:r>
      <w:r w:rsidR="00EF5B12">
        <w:t>c</w:t>
      </w:r>
      <w:r w:rsidR="00EF5B12">
        <w:t>turas de poder de</w:t>
      </w:r>
      <w:r w:rsidR="00545D1B" w:rsidRPr="00742A04">
        <w:t xml:space="preserve"> </w:t>
      </w:r>
      <w:r w:rsidR="00A836A1" w:rsidRPr="00742A04">
        <w:t>género</w:t>
      </w:r>
      <w:r w:rsidR="00EF5B12">
        <w:t xml:space="preserve"> establecidas</w:t>
      </w:r>
      <w:r w:rsidR="00545D1B" w:rsidRPr="00742A04">
        <w:t xml:space="preserve">, </w:t>
      </w:r>
      <w:r w:rsidR="00EF5B12">
        <w:t>sino que</w:t>
      </w:r>
      <w:r w:rsidR="00545D1B" w:rsidRPr="00742A04">
        <w:t xml:space="preserve"> </w:t>
      </w:r>
      <w:r w:rsidR="0020526A" w:rsidRPr="00742A04">
        <w:t>debe</w:t>
      </w:r>
      <w:r w:rsidR="00EF5B12">
        <w:t>n</w:t>
      </w:r>
      <w:r w:rsidR="0020526A" w:rsidRPr="00742A04">
        <w:t xml:space="preserve"> </w:t>
      </w:r>
      <w:r w:rsidR="00EF5B12">
        <w:t>combinarse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F5B12">
        <w:t>una gama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condi</w:t>
      </w:r>
      <w:r w:rsidR="008907B8" w:rsidRPr="00742A04">
        <w:t>ciones</w:t>
      </w:r>
      <w:r w:rsidR="002E5047" w:rsidRPr="00742A04">
        <w:t xml:space="preserve"> e </w:t>
      </w:r>
      <w:r w:rsidR="003C5A2B" w:rsidRPr="00742A04">
        <w:t>instrumentos</w:t>
      </w:r>
      <w:r w:rsidR="00545D1B" w:rsidRPr="00742A04">
        <w:t xml:space="preserve"> </w:t>
      </w:r>
      <w:r w:rsidR="00EF5B12">
        <w:t xml:space="preserve">para </w:t>
      </w:r>
      <w:r w:rsidR="00CF2F77" w:rsidRPr="00742A04">
        <w:t>aseg</w:t>
      </w:r>
      <w:r w:rsidR="00CF2F77" w:rsidRPr="00742A04">
        <w:t>u</w:t>
      </w:r>
      <w:r w:rsidR="00CF2F77" w:rsidRPr="00742A04">
        <w:t>rar</w:t>
      </w:r>
      <w:r w:rsidR="00545D1B" w:rsidRPr="00742A04">
        <w:t xml:space="preserve"> </w:t>
      </w:r>
      <w:r w:rsidR="00EF5B12">
        <w:t xml:space="preserve">la </w:t>
      </w:r>
      <w:r w:rsidR="00545D1B" w:rsidRPr="00742A04">
        <w:t>participa</w:t>
      </w:r>
      <w:r w:rsidR="00C14BFF" w:rsidRPr="00742A04">
        <w:t xml:space="preserve">ción </w:t>
      </w:r>
      <w:r w:rsidR="00EF5B12">
        <w:t>en pie de</w:t>
      </w:r>
      <w:r w:rsidR="00545D1B" w:rsidRPr="00742A04">
        <w:t xml:space="preserve"> </w:t>
      </w:r>
      <w:r w:rsidR="00581775" w:rsidRPr="00742A04">
        <w:t>igual</w:t>
      </w:r>
      <w:r w:rsidR="00EF5B12">
        <w:t>dad</w:t>
      </w:r>
      <w:r w:rsidR="000A08D8" w:rsidRPr="00742A04">
        <w:t>.</w:t>
      </w:r>
    </w:p>
    <w:p w:rsidR="00381B36" w:rsidRPr="00742A04" w:rsidRDefault="00381B36" w:rsidP="00381B36">
      <w:pPr>
        <w:pStyle w:val="SingleTxt"/>
        <w:spacing w:after="0" w:line="120" w:lineRule="exact"/>
        <w:ind w:left="2693"/>
        <w:jc w:val="left"/>
        <w:rPr>
          <w:b/>
          <w:sz w:val="10"/>
        </w:rPr>
      </w:pPr>
      <w:bookmarkStart w:id="29" w:name="_Toc135207499"/>
      <w:bookmarkStart w:id="30" w:name="_Toc136156550"/>
      <w:bookmarkStart w:id="31" w:name="_Toc136156806"/>
      <w:bookmarkStart w:id="32" w:name="_Toc146079197"/>
      <w:bookmarkStart w:id="33" w:name="_Toc146079508"/>
      <w:bookmarkStart w:id="34" w:name="_Toc146080010"/>
      <w:bookmarkStart w:id="35" w:name="_Toc146080142"/>
      <w:bookmarkStart w:id="36" w:name="_Toc146080673"/>
      <w:bookmarkStart w:id="37" w:name="_Toc146080726"/>
      <w:bookmarkStart w:id="38" w:name="_Toc146080868"/>
      <w:bookmarkStart w:id="39" w:name="_Toc146080952"/>
      <w:bookmarkStart w:id="40" w:name="_Toc146081079"/>
      <w:bookmarkStart w:id="41" w:name="_Toc146081272"/>
    </w:p>
    <w:p w:rsidR="008622FD" w:rsidRPr="00742A04" w:rsidRDefault="00545D1B" w:rsidP="008622FD">
      <w:pPr>
        <w:pStyle w:val="SingleTxt"/>
        <w:spacing w:after="0" w:line="240" w:lineRule="auto"/>
        <w:ind w:left="3182"/>
        <w:jc w:val="left"/>
        <w:rPr>
          <w:b/>
          <w:sz w:val="10"/>
        </w:rPr>
      </w:pPr>
      <w:r w:rsidRPr="00742A04">
        <w:rPr>
          <w:b/>
        </w:rPr>
        <w:t>Propor</w:t>
      </w:r>
      <w:r w:rsidR="00C14BFF" w:rsidRPr="00742A04">
        <w:rPr>
          <w:b/>
        </w:rPr>
        <w:t xml:space="preserve">ción </w:t>
      </w:r>
      <w:r w:rsidR="004D313C" w:rsidRPr="00742A04">
        <w:rPr>
          <w:b/>
        </w:rPr>
        <w:t>de mujeres</w:t>
      </w:r>
      <w:r w:rsidRPr="00742A04">
        <w:rPr>
          <w:b/>
        </w:rPr>
        <w:t xml:space="preserve"> </w:t>
      </w:r>
      <w:r w:rsidR="00C14BFF" w:rsidRPr="00742A04">
        <w:rPr>
          <w:b/>
        </w:rPr>
        <w:t>en</w:t>
      </w:r>
      <w:r w:rsidRPr="00742A04">
        <w:rPr>
          <w:b/>
        </w:rPr>
        <w:t xml:space="preserve"> </w:t>
      </w:r>
      <w:r w:rsidR="005F6769" w:rsidRPr="00742A04">
        <w:rPr>
          <w:b/>
        </w:rPr>
        <w:t>el Gabinete</w:t>
      </w:r>
      <w:r w:rsidR="008622FD" w:rsidRPr="00742A04">
        <w:rPr>
          <w:b/>
        </w:rPr>
        <w:br/>
      </w:r>
      <w:r w:rsidR="00877AA0" w:rsidRPr="00742A04">
        <w:rPr>
          <w:b/>
        </w:rPr>
        <w:t>y</w:t>
      </w:r>
      <w:r w:rsidR="00381B36" w:rsidRPr="00742A04">
        <w:rPr>
          <w:b/>
        </w:rPr>
        <w:t xml:space="preserve"> </w:t>
      </w:r>
      <w:r w:rsidR="005F6769" w:rsidRPr="00742A04">
        <w:rPr>
          <w:b/>
        </w:rPr>
        <w:t>el</w:t>
      </w:r>
      <w:r w:rsidR="008622FD" w:rsidRPr="00742A04">
        <w:rPr>
          <w:b/>
        </w:rPr>
        <w:t xml:space="preserve"> </w:t>
      </w:r>
      <w:r w:rsidRPr="00742A04">
        <w:rPr>
          <w:b/>
        </w:rPr>
        <w:t xml:space="preserve">Storting </w:t>
      </w:r>
      <w:r w:rsidR="00C14BFF" w:rsidRPr="00742A04">
        <w:rPr>
          <w:b/>
        </w:rPr>
        <w:t>en</w:t>
      </w:r>
      <w:r w:rsidRPr="00742A04">
        <w:rPr>
          <w:b/>
        </w:rPr>
        <w:t xml:space="preserve"> 2003 </w:t>
      </w:r>
      <w:r w:rsidR="00877AA0" w:rsidRPr="00742A04">
        <w:rPr>
          <w:b/>
        </w:rPr>
        <w:t>y</w:t>
      </w:r>
      <w:r w:rsidR="00381B36" w:rsidRPr="00742A04">
        <w:rPr>
          <w:b/>
        </w:rPr>
        <w:t xml:space="preserve"> 2005.</w:t>
      </w:r>
    </w:p>
    <w:p w:rsidR="008622FD" w:rsidRPr="00742A04" w:rsidRDefault="008622FD" w:rsidP="008622FD">
      <w:pPr>
        <w:pStyle w:val="SingleTxt"/>
        <w:spacing w:after="0" w:line="120" w:lineRule="exact"/>
        <w:ind w:left="3182"/>
        <w:jc w:val="left"/>
        <w:rPr>
          <w:i/>
          <w:sz w:val="10"/>
          <w:szCs w:val="16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:rsidR="008622FD" w:rsidRPr="00742A04" w:rsidRDefault="00EF5B12" w:rsidP="008622FD">
      <w:pPr>
        <w:pStyle w:val="SingleTxt"/>
        <w:spacing w:after="0" w:line="180" w:lineRule="exact"/>
        <w:ind w:left="3182"/>
        <w:jc w:val="left"/>
        <w:rPr>
          <w:sz w:val="10"/>
        </w:rPr>
      </w:pPr>
      <w:r w:rsidRPr="00742A04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En </w:t>
      </w:r>
      <w:r w:rsidRPr="00742A04">
        <w:rPr>
          <w:i/>
          <w:sz w:val="16"/>
          <w:szCs w:val="16"/>
        </w:rPr>
        <w:t>porcentaje</w:t>
      </w:r>
      <w:r>
        <w:rPr>
          <w:i/>
          <w:sz w:val="16"/>
          <w:szCs w:val="16"/>
        </w:rPr>
        <w:t>s</w:t>
      </w:r>
      <w:r w:rsidRPr="00742A04">
        <w:rPr>
          <w:i/>
          <w:sz w:val="16"/>
          <w:szCs w:val="16"/>
        </w:rPr>
        <w:t>)</w:t>
      </w:r>
      <w:bookmarkStart w:id="42" w:name="_Toc136156551"/>
      <w:bookmarkStart w:id="43" w:name="_Toc136156807"/>
    </w:p>
    <w:p w:rsidR="00B85C95" w:rsidRPr="00742A04" w:rsidRDefault="00B85C95" w:rsidP="008622FD">
      <w:pPr>
        <w:pStyle w:val="SingleTxt"/>
        <w:spacing w:after="0" w:line="120" w:lineRule="exact"/>
        <w:ind w:left="3182"/>
        <w:rPr>
          <w:sz w:val="10"/>
        </w:rPr>
      </w:pPr>
    </w:p>
    <w:tbl>
      <w:tblPr>
        <w:tblW w:w="0" w:type="auto"/>
        <w:jc w:val="center"/>
        <w:tblInd w:w="-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812"/>
        <w:gridCol w:w="813"/>
      </w:tblGrid>
      <w:tr w:rsidR="00B85C95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8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85C95" w:rsidRPr="00742A04" w:rsidRDefault="00B85C95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85C95" w:rsidRPr="00742A04" w:rsidRDefault="00CB32F4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85C95" w:rsidRPr="00742A04" w:rsidRDefault="00CB32F4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2005</w:t>
            </w:r>
          </w:p>
        </w:tc>
      </w:tr>
      <w:tr w:rsidR="00B85C95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  <w:jc w:val="center"/>
        </w:trPr>
        <w:tc>
          <w:tcPr>
            <w:tcW w:w="1885" w:type="dxa"/>
            <w:tcBorders>
              <w:top w:val="single" w:sz="12" w:space="0" w:color="auto"/>
            </w:tcBorders>
            <w:vAlign w:val="bottom"/>
          </w:tcPr>
          <w:p w:rsidR="00B85C95" w:rsidRPr="00742A04" w:rsidRDefault="00B85C95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812" w:type="dxa"/>
            <w:tcBorders>
              <w:top w:val="single" w:sz="12" w:space="0" w:color="auto"/>
            </w:tcBorders>
            <w:vAlign w:val="bottom"/>
          </w:tcPr>
          <w:p w:rsidR="00B85C95" w:rsidRPr="00742A04" w:rsidRDefault="00B85C95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B85C95" w:rsidRPr="00742A04" w:rsidRDefault="00B85C95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B85C95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5" w:type="dxa"/>
            <w:vAlign w:val="bottom"/>
          </w:tcPr>
          <w:p w:rsidR="00B85C95" w:rsidRPr="00742A04" w:rsidRDefault="00B85C95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742A04">
              <w:rPr>
                <w:sz w:val="17"/>
              </w:rPr>
              <w:t>Gabinete</w:t>
            </w:r>
          </w:p>
        </w:tc>
        <w:tc>
          <w:tcPr>
            <w:tcW w:w="812" w:type="dxa"/>
          </w:tcPr>
          <w:p w:rsidR="00B85C95" w:rsidRPr="00742A04" w:rsidRDefault="00B85C95" w:rsidP="00B85C95">
            <w:pPr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42%</w:t>
            </w:r>
          </w:p>
        </w:tc>
        <w:tc>
          <w:tcPr>
            <w:tcW w:w="813" w:type="dxa"/>
          </w:tcPr>
          <w:p w:rsidR="00B85C95" w:rsidRPr="00742A04" w:rsidRDefault="00B621FB" w:rsidP="00B85C95">
            <w:pPr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47</w:t>
            </w:r>
            <w:r w:rsidR="00B85C95" w:rsidRPr="00742A04">
              <w:rPr>
                <w:sz w:val="17"/>
                <w:szCs w:val="17"/>
              </w:rPr>
              <w:t>%</w:t>
            </w:r>
          </w:p>
        </w:tc>
      </w:tr>
      <w:tr w:rsidR="00B85C95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5" w:type="dxa"/>
            <w:tcBorders>
              <w:bottom w:val="single" w:sz="12" w:space="0" w:color="auto"/>
            </w:tcBorders>
            <w:vAlign w:val="bottom"/>
          </w:tcPr>
          <w:p w:rsidR="00B85C95" w:rsidRPr="00742A04" w:rsidRDefault="00B85C95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742A04">
              <w:rPr>
                <w:sz w:val="17"/>
              </w:rPr>
              <w:t>Storting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B85C95" w:rsidRPr="00742A04" w:rsidRDefault="00B85C95" w:rsidP="00B85C95">
            <w:pPr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37%</w:t>
            </w:r>
          </w:p>
        </w:tc>
        <w:tc>
          <w:tcPr>
            <w:tcW w:w="813" w:type="dxa"/>
            <w:tcBorders>
              <w:bottom w:val="single" w:sz="12" w:space="0" w:color="auto"/>
            </w:tcBorders>
          </w:tcPr>
          <w:p w:rsidR="00B85C95" w:rsidRPr="00742A04" w:rsidRDefault="00B621FB" w:rsidP="00B85C95">
            <w:pPr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38</w:t>
            </w:r>
            <w:r w:rsidR="00B85C95" w:rsidRPr="00742A04">
              <w:rPr>
                <w:sz w:val="17"/>
                <w:szCs w:val="17"/>
              </w:rPr>
              <w:t>%</w:t>
            </w:r>
          </w:p>
        </w:tc>
      </w:tr>
    </w:tbl>
    <w:p w:rsidR="00B621FB" w:rsidRPr="00742A04" w:rsidRDefault="00B621FB" w:rsidP="00B621FB">
      <w:pPr>
        <w:pStyle w:val="SingleTxt"/>
        <w:spacing w:after="0" w:line="120" w:lineRule="exact"/>
        <w:rPr>
          <w:sz w:val="10"/>
        </w:rPr>
      </w:pPr>
    </w:p>
    <w:p w:rsidR="00B85C95" w:rsidRPr="00742A04" w:rsidRDefault="00B85C95" w:rsidP="00B85C95">
      <w:pPr>
        <w:pStyle w:val="SingleTxt"/>
        <w:spacing w:after="0" w:line="120" w:lineRule="exact"/>
        <w:rPr>
          <w:sz w:val="10"/>
        </w:rPr>
      </w:pPr>
    </w:p>
    <w:p w:rsidR="00545D1B" w:rsidRPr="00742A04" w:rsidRDefault="008622FD" w:rsidP="004D4CB7">
      <w:pPr>
        <w:pStyle w:val="SingleTxt"/>
        <w:ind w:firstLine="475"/>
      </w:pPr>
      <w:r w:rsidRPr="00742A04">
        <w:t>El género</w:t>
      </w:r>
      <w:r w:rsidR="00545D1B" w:rsidRPr="00742A04">
        <w:t xml:space="preserve"> </w:t>
      </w:r>
      <w:r w:rsidRPr="00742A04">
        <w:t>parece ser</w:t>
      </w:r>
      <w:r w:rsidR="00545D1B" w:rsidRPr="00742A04">
        <w:t xml:space="preserve"> </w:t>
      </w:r>
      <w:r w:rsidRPr="00742A04">
        <w:t>una línea divisoria cada vez más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 política de Noruega</w:t>
      </w:r>
      <w:r w:rsidR="00545D1B" w:rsidRPr="00742A04">
        <w:t xml:space="preserve">. </w:t>
      </w:r>
      <w:r w:rsidR="00EF5B12">
        <w:t>Las líneas</w:t>
      </w:r>
      <w:r w:rsidR="00EF5B12" w:rsidRPr="00742A04">
        <w:t xml:space="preserve"> de conflicto solían reflejar en mayor grado la división entre la ciudad y el campo y entre los distintos grupos ocupacionales. </w:t>
      </w:r>
      <w:r w:rsidR="00F43124" w:rsidRPr="00742A04">
        <w:t>Hay</w:t>
      </w:r>
      <w:r w:rsidR="00545D1B" w:rsidRPr="00742A04">
        <w:t xml:space="preserve"> </w:t>
      </w:r>
      <w:r w:rsidR="00FC4C8D" w:rsidRPr="00742A04">
        <w:t>un</w:t>
      </w:r>
      <w:r w:rsidR="00545D1B" w:rsidRPr="00742A04">
        <w:t xml:space="preserve">a </w:t>
      </w:r>
      <w:r w:rsidR="00B0197C" w:rsidRPr="00742A04">
        <w:t>mayoría</w:t>
      </w:r>
      <w:r w:rsidR="00545D1B" w:rsidRPr="00742A04">
        <w:t xml:space="preserve"> </w:t>
      </w:r>
      <w:r w:rsidR="004D313C" w:rsidRPr="00742A04">
        <w:t xml:space="preserve">de </w:t>
      </w:r>
      <w:r w:rsidR="00FC4C8D" w:rsidRPr="00742A04">
        <w:t>votantes de sexo femenino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03211" w:rsidRPr="00742A04">
        <w:t>el Partido Socialista de Izquierda</w:t>
      </w:r>
      <w:r w:rsidR="00545D1B" w:rsidRPr="00742A04">
        <w:t xml:space="preserve">, </w:t>
      </w:r>
      <w:r w:rsidR="00130F7F" w:rsidRPr="00742A04">
        <w:t>el Partido Liberal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C4C8D" w:rsidRPr="00742A04">
        <w:t>la Alianza Electoral Roja</w:t>
      </w:r>
      <w:r w:rsidR="00545D1B" w:rsidRPr="00742A04">
        <w:t xml:space="preserve">, </w:t>
      </w:r>
      <w:r w:rsidR="00FC4C8D" w:rsidRPr="00742A04">
        <w:t>mientras que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B0197C" w:rsidRPr="00742A04">
        <w:t>mayoría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="00FC4C8D" w:rsidRPr="00742A04">
        <w:t>los votantes</w:t>
      </w:r>
      <w:r w:rsidR="00545D1B" w:rsidRPr="00742A04">
        <w:t xml:space="preserve"> </w:t>
      </w:r>
      <w:r w:rsidR="00FC4C8D" w:rsidRPr="00742A04">
        <w:t>d</w:t>
      </w:r>
      <w:r w:rsidR="00130F7F" w:rsidRPr="00742A04">
        <w:t>el Partido del Progreso</w:t>
      </w:r>
      <w:r w:rsidR="00545D1B" w:rsidRPr="00742A04">
        <w:t xml:space="preserve">, </w:t>
      </w:r>
      <w:r w:rsidR="00130F7F" w:rsidRPr="00742A04">
        <w:t>el Partido Conservador</w:t>
      </w:r>
      <w:r w:rsidR="00545D1B" w:rsidRPr="00742A04">
        <w:t xml:space="preserve"> </w:t>
      </w:r>
      <w:r w:rsidR="00BB4DB1" w:rsidRPr="00742A04">
        <w:t xml:space="preserve">y el </w:t>
      </w:r>
      <w:r w:rsidR="00130F7F" w:rsidRPr="00742A04">
        <w:t>Partido Laborista</w:t>
      </w:r>
      <w:r w:rsidR="00545D1B" w:rsidRPr="00742A04">
        <w:t xml:space="preserve">. </w:t>
      </w:r>
      <w:r w:rsidR="00FC4C8D" w:rsidRPr="00742A04">
        <w:t>Hoy es m</w:t>
      </w:r>
      <w:r w:rsidR="00E77E20" w:rsidRPr="00742A04">
        <w:t>e</w:t>
      </w:r>
      <w:r w:rsidR="00E77E20" w:rsidRPr="00742A04">
        <w:t>no</w:t>
      </w:r>
      <w:r w:rsidR="00FC4C8D" w:rsidRPr="00742A04">
        <w:t>r que en el decenio de 1980 la cantidad de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FC4C8D" w:rsidRPr="00742A04">
        <w:t xml:space="preserve">que </w:t>
      </w:r>
      <w:r w:rsidR="006137EC" w:rsidRPr="00742A04">
        <w:t>son</w:t>
      </w:r>
      <w:r w:rsidR="00545D1B" w:rsidRPr="00742A04">
        <w:t xml:space="preserve"> </w:t>
      </w:r>
      <w:r w:rsidR="00A836A1" w:rsidRPr="00742A04">
        <w:t>miembros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C4C8D" w:rsidRPr="00742A04">
        <w:t>partidos políticos</w:t>
      </w:r>
      <w:r w:rsidR="00545D1B" w:rsidRPr="00742A04">
        <w:t xml:space="preserve">. </w:t>
      </w:r>
      <w:r w:rsidR="00FC4C8D" w:rsidRPr="00742A04">
        <w:t>Es mayor el descenso de la cantidad de</w:t>
      </w:r>
      <w:r w:rsidR="00545D1B" w:rsidRPr="00742A04">
        <w:t xml:space="preserve"> </w:t>
      </w:r>
      <w:r w:rsidR="00A836A1" w:rsidRPr="00742A04">
        <w:t>miembros</w:t>
      </w:r>
      <w:r w:rsidR="00FC4C8D" w:rsidRPr="00742A04">
        <w:t xml:space="preserve"> de sexo masculino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FC4C8D" w:rsidRPr="00742A04">
        <w:t xml:space="preserve">entre quienes ejercen su derecho a votar son ahora </w:t>
      </w:r>
      <w:r w:rsidR="00BA5ABE" w:rsidRPr="00742A04">
        <w:t>más</w:t>
      </w:r>
      <w:r w:rsidR="00FC4C8D" w:rsidRPr="00742A04">
        <w:t xml:space="preserve"> las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 </w:t>
      </w:r>
      <w:r w:rsidR="0081178E" w:rsidRPr="00742A04">
        <w:t>que los hombres</w:t>
      </w:r>
      <w:r w:rsidR="00545D1B" w:rsidRPr="00742A04">
        <w:t>.</w:t>
      </w:r>
    </w:p>
    <w:p w:rsidR="00545D1B" w:rsidRPr="00742A04" w:rsidRDefault="00FC4C8D" w:rsidP="00FC4C8D">
      <w:pPr>
        <w:pStyle w:val="SingleTxt"/>
        <w:keepNext/>
        <w:rPr>
          <w:i/>
        </w:rPr>
      </w:pPr>
      <w:bookmarkStart w:id="44" w:name="_Toc135207500"/>
      <w:bookmarkStart w:id="45" w:name="_Toc135210062"/>
      <w:bookmarkStart w:id="46" w:name="_Toc136156552"/>
      <w:bookmarkStart w:id="47" w:name="_Toc136156808"/>
      <w:bookmarkEnd w:id="29"/>
      <w:bookmarkEnd w:id="42"/>
      <w:bookmarkEnd w:id="43"/>
      <w:r w:rsidRPr="00742A04">
        <w:rPr>
          <w:i/>
        </w:rPr>
        <w:t>El proceso de nominación</w:t>
      </w:r>
      <w:r w:rsidR="00545D1B" w:rsidRPr="00742A04">
        <w:rPr>
          <w:i/>
        </w:rPr>
        <w:t xml:space="preserve"> – </w:t>
      </w:r>
      <w:r w:rsidRPr="00742A04">
        <w:rPr>
          <w:i/>
        </w:rPr>
        <w:t>un importante desafío</w:t>
      </w:r>
    </w:p>
    <w:p w:rsidR="00545D1B" w:rsidRPr="00742A04" w:rsidRDefault="00FC4C8D" w:rsidP="004D4CB7">
      <w:pPr>
        <w:pStyle w:val="SingleTxt"/>
        <w:ind w:firstLine="475"/>
      </w:pPr>
      <w:r w:rsidRPr="00742A04">
        <w:t>A pesar</w:t>
      </w:r>
      <w:r w:rsidR="00BD47D3" w:rsidRPr="00742A04">
        <w:t xml:space="preserve"> de que</w:t>
      </w:r>
      <w:r w:rsidR="00545D1B" w:rsidRPr="00742A04">
        <w:t xml:space="preserve"> </w:t>
      </w:r>
      <w:r w:rsidRPr="00742A04">
        <w:t xml:space="preserve">la </w:t>
      </w:r>
      <w:r w:rsidR="008622FD" w:rsidRPr="00742A04">
        <w:t>política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muchas </w:t>
      </w:r>
      <w:r w:rsidR="00502E16" w:rsidRPr="00742A04">
        <w:t>formas</w:t>
      </w:r>
      <w:r w:rsidR="00545D1B" w:rsidRPr="00742A04">
        <w:t xml:space="preserve"> </w:t>
      </w:r>
      <w:r w:rsidR="00E575DB" w:rsidRPr="00742A04">
        <w:t>una esfera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 cual la</w:t>
      </w:r>
      <w:r w:rsidR="00545D1B" w:rsidRPr="00742A04">
        <w:t xml:space="preserve"> </w:t>
      </w:r>
      <w:r w:rsidR="00A05847" w:rsidRPr="00742A04">
        <w:t>igua</w:t>
      </w:r>
      <w:r w:rsidR="00A05847" w:rsidRPr="00742A04">
        <w:t>l</w:t>
      </w:r>
      <w:r w:rsidR="00A05847" w:rsidRPr="00742A04">
        <w:t>dad de género</w:t>
      </w:r>
      <w:r w:rsidR="00545D1B" w:rsidRPr="00742A04">
        <w:t xml:space="preserve"> </w:t>
      </w:r>
      <w:r w:rsidRPr="00742A04">
        <w:t>ha logrado</w:t>
      </w:r>
      <w:r w:rsidR="00545D1B" w:rsidRPr="00742A04">
        <w:t xml:space="preserve"> considerable</w:t>
      </w:r>
      <w:r w:rsidRPr="00742A04">
        <w:t>s</w:t>
      </w:r>
      <w:r w:rsidR="00545D1B" w:rsidRPr="00742A04">
        <w:t xml:space="preserve"> </w:t>
      </w:r>
      <w:r w:rsidRPr="00742A04">
        <w:t>avances</w:t>
      </w:r>
      <w:r w:rsidR="00545D1B" w:rsidRPr="00742A04">
        <w:t xml:space="preserve">,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Pr="00742A04">
        <w:t>siguen estando</w:t>
      </w:r>
      <w:r w:rsidR="00545D1B" w:rsidRPr="00742A04">
        <w:t xml:space="preserve"> </w:t>
      </w:r>
      <w:r w:rsidR="00032136" w:rsidRPr="00742A04">
        <w:t>clar</w:t>
      </w:r>
      <w:r w:rsidR="00032136" w:rsidRPr="00742A04">
        <w:t>a</w:t>
      </w:r>
      <w:r w:rsidR="00032136" w:rsidRPr="00742A04">
        <w:t>mente</w:t>
      </w:r>
      <w:r w:rsidR="00545D1B" w:rsidRPr="00742A04">
        <w:t xml:space="preserve"> </w:t>
      </w:r>
      <w:r w:rsidRPr="00742A04">
        <w:t>subrepresentadas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C25BF" w:rsidRPr="00742A04">
        <w:t>casi</w:t>
      </w:r>
      <w:r w:rsidR="00545D1B" w:rsidRPr="00742A04">
        <w:t xml:space="preserve"> </w:t>
      </w:r>
      <w:r w:rsidRPr="00742A04">
        <w:t>todas las esferas</w:t>
      </w:r>
      <w:r w:rsidR="00545D1B" w:rsidRPr="00742A04">
        <w:t xml:space="preserve">, </w:t>
      </w:r>
      <w:r w:rsidRPr="00742A04">
        <w:t>tanto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E7E8C" w:rsidRPr="00742A04">
        <w:t>la política local</w:t>
      </w:r>
      <w:r w:rsidR="00545D1B" w:rsidRPr="00742A04">
        <w:t xml:space="preserve"> </w:t>
      </w:r>
      <w:r w:rsidRPr="00742A04">
        <w:t>como</w:t>
      </w:r>
      <w:r w:rsidR="00545D1B" w:rsidRPr="00742A04">
        <w:t xml:space="preserve"> </w:t>
      </w:r>
      <w:r w:rsidRPr="00742A04">
        <w:t>a nivel nacional</w:t>
      </w:r>
      <w:r w:rsidR="00545D1B" w:rsidRPr="00742A04">
        <w:t>.</w:t>
      </w:r>
    </w:p>
    <w:p w:rsidR="00545D1B" w:rsidRPr="00742A04" w:rsidRDefault="00E772A6" w:rsidP="004D4CB7">
      <w:pPr>
        <w:pStyle w:val="SingleTxt"/>
        <w:ind w:firstLine="475"/>
      </w:pPr>
      <w:r>
        <w:t>Un</w:t>
      </w:r>
      <w:r w:rsidR="00545D1B" w:rsidRPr="00742A04">
        <w:t xml:space="preserve"> </w:t>
      </w:r>
      <w:r w:rsidR="00982243" w:rsidRPr="00742A04">
        <w:t>problema</w:t>
      </w:r>
      <w:r w:rsidR="00545D1B" w:rsidRPr="00742A04">
        <w:t xml:space="preserve"> </w:t>
      </w:r>
      <w:r w:rsidRPr="00742A04">
        <w:t xml:space="preserve">constante </w:t>
      </w:r>
      <w:r w:rsidR="00A223F4" w:rsidRPr="00742A04">
        <w:t>radica en</w:t>
      </w:r>
      <w:r w:rsidR="0081178E" w:rsidRPr="00742A04">
        <w:t xml:space="preserve"> que</w:t>
      </w:r>
      <w:r w:rsidR="00545D1B" w:rsidRPr="00742A04">
        <w:t xml:space="preserve"> </w:t>
      </w:r>
      <w:r w:rsidR="00A223F4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A223F4" w:rsidRPr="00742A04">
        <w:t>están subrepresentadas</w:t>
      </w:r>
      <w:r w:rsidR="00545D1B" w:rsidRPr="00742A04">
        <w:t xml:space="preserve"> </w:t>
      </w:r>
      <w:r w:rsidR="00A223F4" w:rsidRPr="00742A04">
        <w:t>en la parte superior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223F4" w:rsidRPr="00742A04">
        <w:t>las listas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223F4" w:rsidRPr="00742A04">
        <w:t>candidatos</w:t>
      </w:r>
      <w:r w:rsidR="00545D1B" w:rsidRPr="00742A04">
        <w:t xml:space="preserve"> </w:t>
      </w:r>
      <w:r w:rsidR="00A223F4" w:rsidRPr="00742A04">
        <w:t xml:space="preserve">de los partidos políticos </w:t>
      </w:r>
      <w:r w:rsidR="00F43124" w:rsidRPr="00742A04">
        <w:t>para</w:t>
      </w:r>
      <w:r w:rsidR="00545D1B" w:rsidRPr="00742A04">
        <w:t xml:space="preserve"> elec</w:t>
      </w:r>
      <w:r w:rsidR="008907B8" w:rsidRPr="00742A04">
        <w:t>ciones</w:t>
      </w:r>
      <w:r w:rsidR="00A223F4" w:rsidRPr="00742A04">
        <w:t xml:space="preserve"> del Storting</w:t>
      </w:r>
      <w:r w:rsidR="00545D1B" w:rsidRPr="00742A04">
        <w:t xml:space="preserve">, </w:t>
      </w:r>
      <w:r w:rsidR="00A223F4" w:rsidRPr="00742A04">
        <w:t xml:space="preserve">las </w:t>
      </w:r>
      <w:r w:rsidR="00545D1B" w:rsidRPr="00742A04">
        <w:t>elec</w:t>
      </w:r>
      <w:r w:rsidR="008907B8" w:rsidRPr="00742A04">
        <w:t>ciones</w:t>
      </w:r>
      <w:r w:rsidR="00545D1B" w:rsidRPr="00742A04">
        <w:t xml:space="preserve"> </w:t>
      </w:r>
      <w:r w:rsidR="00A223F4" w:rsidRPr="00742A04">
        <w:t xml:space="preserve">de los gobiernos locales </w:t>
      </w:r>
      <w:r w:rsidR="00877AA0" w:rsidRPr="00742A04">
        <w:t>y</w:t>
      </w:r>
      <w:r w:rsidR="00545D1B" w:rsidRPr="00742A04">
        <w:t xml:space="preserve"> </w:t>
      </w:r>
      <w:r w:rsidR="00A223F4" w:rsidRPr="00742A04">
        <w:t xml:space="preserve">las </w:t>
      </w:r>
      <w:r w:rsidR="00545D1B" w:rsidRPr="00742A04">
        <w:t>elec</w:t>
      </w:r>
      <w:r w:rsidR="008907B8" w:rsidRPr="00742A04">
        <w:t>ciones</w:t>
      </w:r>
      <w:r w:rsidR="00545D1B" w:rsidRPr="00742A04">
        <w:t xml:space="preserve"> </w:t>
      </w:r>
      <w:r w:rsidR="007F6C30" w:rsidRPr="00742A04">
        <w:t>par</w:t>
      </w:r>
      <w:r w:rsidR="0030626A" w:rsidRPr="00742A04">
        <w:t>a</w:t>
      </w:r>
      <w:r w:rsidR="00545D1B" w:rsidRPr="00742A04">
        <w:t xml:space="preserve"> </w:t>
      </w:r>
      <w:r w:rsidR="007F6C30" w:rsidRPr="00742A04">
        <w:t xml:space="preserve">el </w:t>
      </w:r>
      <w:r w:rsidR="00CB2022" w:rsidRPr="00742A04">
        <w:t>Parlamento Saami</w:t>
      </w:r>
      <w:r w:rsidR="00545D1B" w:rsidRPr="00742A04">
        <w:t xml:space="preserve">. </w:t>
      </w:r>
      <w:r>
        <w:t>L</w:t>
      </w:r>
      <w:r w:rsidR="00311327" w:rsidRPr="00742A04">
        <w:t>a encuesta</w:t>
      </w:r>
      <w:r w:rsidR="00545D1B" w:rsidRPr="00742A04">
        <w:t xml:space="preserve"> </w:t>
      </w:r>
      <w:r w:rsidR="0028385C" w:rsidRPr="00742A04">
        <w:t>realizada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28385C" w:rsidRPr="00742A04">
        <w:t xml:space="preserve">la </w:t>
      </w:r>
      <w:r w:rsidR="00545D1B" w:rsidRPr="00742A04">
        <w:rPr>
          <w:i/>
        </w:rPr>
        <w:t xml:space="preserve">Kampanjen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flere kvinner i kommune</w:t>
      </w:r>
      <w:r w:rsidR="00545D1B" w:rsidRPr="00742A04">
        <w:rPr>
          <w:i/>
        </w:rPr>
        <w:t>s</w:t>
      </w:r>
      <w:r w:rsidR="00545D1B" w:rsidRPr="00742A04">
        <w:rPr>
          <w:i/>
        </w:rPr>
        <w:t xml:space="preserve">tyrene </w:t>
      </w:r>
      <w:r w:rsidR="00545D1B" w:rsidRPr="00742A04">
        <w:t>(</w:t>
      </w:r>
      <w:r w:rsidR="0028385C" w:rsidRPr="00742A04">
        <w:t>La</w:t>
      </w:r>
      <w:r w:rsidR="00545D1B" w:rsidRPr="00742A04">
        <w:t xml:space="preserve"> </w:t>
      </w:r>
      <w:r w:rsidR="0058540F" w:rsidRPr="00742A04">
        <w:t>Campaña</w:t>
      </w:r>
      <w:r w:rsidR="00545D1B" w:rsidRPr="00742A04">
        <w:t xml:space="preserve"> </w:t>
      </w:r>
      <w:r w:rsidR="00F43124" w:rsidRPr="00742A04">
        <w:t>p</w:t>
      </w:r>
      <w:r w:rsidR="0028385C" w:rsidRPr="00742A04">
        <w:t>or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8385C" w:rsidRPr="00742A04">
        <w:t>los Consejos M</w:t>
      </w:r>
      <w:r w:rsidR="00242371" w:rsidRPr="00742A04">
        <w:t>unicipales</w:t>
      </w:r>
      <w:r w:rsidR="00545D1B" w:rsidRPr="00742A04">
        <w:t xml:space="preserve">) </w:t>
      </w:r>
      <w:r w:rsidR="0028385C" w:rsidRPr="00742A04">
        <w:t>antes de las elecciones locales d</w:t>
      </w:r>
      <w:r w:rsidR="00545D1B" w:rsidRPr="00742A04">
        <w:t xml:space="preserve">e 2003 </w:t>
      </w:r>
      <w:r w:rsidR="0028385C" w:rsidRPr="00742A04">
        <w:t>demostró</w:t>
      </w:r>
      <w:r w:rsidR="00E575DB" w:rsidRPr="00742A04">
        <w:t xml:space="preserve"> </w:t>
      </w:r>
      <w:r w:rsidR="0081178E" w:rsidRPr="00742A04">
        <w:t xml:space="preserve">que </w:t>
      </w:r>
      <w:r w:rsidR="0028385C" w:rsidRPr="00742A04">
        <w:t>el 77% de las listas estaban encabezadas por</w:t>
      </w:r>
      <w:r w:rsidR="0081178E" w:rsidRPr="00742A04">
        <w:t xml:space="preserve"> hombres</w:t>
      </w:r>
      <w:r w:rsidR="00545D1B" w:rsidRPr="00742A04">
        <w:t xml:space="preserve">. </w:t>
      </w:r>
      <w:r w:rsidR="0028385C" w:rsidRPr="00742A04">
        <w:t>Según</w:t>
      </w:r>
      <w:r w:rsidR="00545D1B" w:rsidRPr="00742A04">
        <w:t xml:space="preserve"> </w:t>
      </w:r>
      <w:r w:rsidR="00F67A1B" w:rsidRPr="00742A04">
        <w:t>la encuesta</w:t>
      </w:r>
      <w:r w:rsidR="00545D1B" w:rsidRPr="00742A04">
        <w:t xml:space="preserve">, </w:t>
      </w:r>
      <w:r w:rsidR="0030626A" w:rsidRPr="00742A04">
        <w:t>también</w:t>
      </w:r>
      <w:r w:rsidR="00545D1B" w:rsidRPr="00742A04">
        <w:t xml:space="preserve"> </w:t>
      </w:r>
      <w:r w:rsidR="0028385C" w:rsidRPr="00742A04">
        <w:t xml:space="preserve">había </w:t>
      </w:r>
      <w:r w:rsidR="00BA5ABE" w:rsidRPr="00742A04">
        <w:t>más</w:t>
      </w:r>
      <w:r w:rsidR="00545D1B" w:rsidRPr="00742A04">
        <w:t xml:space="preserve"> </w:t>
      </w:r>
      <w:r w:rsidR="00A223F4" w:rsidRPr="00742A04">
        <w:t>listas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8385C" w:rsidRPr="00742A04">
        <w:t>primero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se</w:t>
      </w:r>
      <w:r w:rsidR="0028385C" w:rsidRPr="00742A04">
        <w:t>gu</w:t>
      </w:r>
      <w:r w:rsidR="00545D1B" w:rsidRPr="00742A04">
        <w:t>nd</w:t>
      </w:r>
      <w:r w:rsidR="0028385C" w:rsidRPr="00742A04">
        <w:t>o l</w:t>
      </w:r>
      <w:r w:rsidR="0028385C" w:rsidRPr="00742A04">
        <w:t>u</w:t>
      </w:r>
      <w:r w:rsidR="0028385C" w:rsidRPr="00742A04">
        <w:t>gar</w:t>
      </w:r>
      <w:r w:rsidR="00545D1B" w:rsidRPr="00742A04">
        <w:t xml:space="preserve"> (27</w:t>
      </w:r>
      <w:r w:rsidR="001167D2" w:rsidRPr="00742A04">
        <w:t>%</w:t>
      </w:r>
      <w:r w:rsidR="00545D1B" w:rsidRPr="00742A04">
        <w:t xml:space="preserve">) </w:t>
      </w:r>
      <w:r w:rsidR="005C6D40" w:rsidRPr="00742A04">
        <w:t>que</w:t>
      </w:r>
      <w:r w:rsidR="00545D1B" w:rsidRPr="00742A04">
        <w:t xml:space="preserve"> </w:t>
      </w:r>
      <w:r w:rsidR="00A223F4" w:rsidRPr="00742A04">
        <w:t>listas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8385C" w:rsidRPr="00742A04">
        <w:t>primer lugar</w:t>
      </w:r>
      <w:r w:rsidR="00545D1B" w:rsidRPr="00742A04">
        <w:t xml:space="preserve"> (23</w:t>
      </w:r>
      <w:r w:rsidR="001167D2" w:rsidRPr="00742A04">
        <w:t>%</w:t>
      </w:r>
      <w:r w:rsidR="00545D1B" w:rsidRPr="00742A04">
        <w:t xml:space="preserve">). </w:t>
      </w:r>
      <w:r w:rsidR="0028385C" w:rsidRPr="00742A04">
        <w:t>Aun cuando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28385C" w:rsidRPr="00742A04">
        <w:t>e</w:t>
      </w:r>
      <w:r w:rsidR="0028385C" w:rsidRPr="00742A04">
        <w:t>s</w:t>
      </w:r>
      <w:r w:rsidR="0028385C" w:rsidRPr="00742A04">
        <w:t>tá</w:t>
      </w:r>
      <w:r w:rsidR="006137EC" w:rsidRPr="00742A04">
        <w:t>n</w:t>
      </w:r>
      <w:r w:rsidR="00545D1B" w:rsidRPr="00742A04">
        <w:t xml:space="preserve"> </w:t>
      </w:r>
      <w:r w:rsidR="005E6919" w:rsidRPr="00742A04">
        <w:t>logra</w:t>
      </w:r>
      <w:r w:rsidR="0028385C" w:rsidRPr="00742A04">
        <w:t>ndo</w:t>
      </w:r>
      <w:r w:rsidR="00545D1B" w:rsidRPr="00742A04">
        <w:t xml:space="preserve"> </w:t>
      </w:r>
      <w:r w:rsidR="0028385C" w:rsidRPr="00742A04">
        <w:t>gradualmente una tas</w:t>
      </w:r>
      <w:r w:rsidR="00545D1B" w:rsidRPr="00742A04">
        <w:t>a genera</w:t>
      </w:r>
      <w:r w:rsidR="005F7B32" w:rsidRPr="00742A04">
        <w:t xml:space="preserve">lmente </w:t>
      </w:r>
      <w:r w:rsidR="00545D1B" w:rsidRPr="00742A04">
        <w:t>representativ</w:t>
      </w:r>
      <w:r w:rsidR="0028385C" w:rsidRPr="00742A04">
        <w:t>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part</w:t>
      </w:r>
      <w:r w:rsidR="00545D1B" w:rsidRPr="00742A04">
        <w:t>i</w:t>
      </w:r>
      <w:r w:rsidR="00545D1B" w:rsidRPr="00742A04">
        <w:t>cipa</w:t>
      </w:r>
      <w:r w:rsidR="00C14BFF" w:rsidRPr="00742A04">
        <w:t xml:space="preserve">ción </w:t>
      </w:r>
      <w:r w:rsidR="00EF5B12" w:rsidRPr="00742A04">
        <w:t>en</w:t>
      </w:r>
      <w:r w:rsidR="00545D1B" w:rsidRPr="00742A04">
        <w:t xml:space="preserve"> </w:t>
      </w:r>
      <w:r w:rsidR="0028385C" w:rsidRPr="00742A04">
        <w:t>las listas de los partidos</w:t>
      </w:r>
      <w:r w:rsidR="00545D1B" w:rsidRPr="00742A04">
        <w:t xml:space="preserve">, </w:t>
      </w:r>
      <w:r w:rsidR="0028385C" w:rsidRPr="00742A04">
        <w:t>la distribución</w:t>
      </w:r>
      <w:r w:rsidR="00545D1B" w:rsidRPr="00742A04">
        <w:t xml:space="preserve"> </w:t>
      </w:r>
      <w:r w:rsidR="0028385C" w:rsidRPr="00742A04">
        <w:t xml:space="preserve">sesgada por </w:t>
      </w:r>
      <w:r w:rsidR="00A836A1" w:rsidRPr="00742A04">
        <w:t>género</w:t>
      </w:r>
      <w:r w:rsidR="00545D1B" w:rsidRPr="00742A04">
        <w:t xml:space="preserve"> </w:t>
      </w:r>
      <w:r w:rsidR="0028385C" w:rsidRPr="00742A04">
        <w:t>de la ubic</w:t>
      </w:r>
      <w:r w:rsidR="0028385C" w:rsidRPr="00742A04">
        <w:t>a</w:t>
      </w:r>
      <w:r w:rsidR="0028385C" w:rsidRPr="00742A04">
        <w:t>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8385C" w:rsidRPr="00742A04">
        <w:t>las listas</w:t>
      </w:r>
      <w:r w:rsidR="00545D1B" w:rsidRPr="00742A04">
        <w:t xml:space="preserve"> p</w:t>
      </w:r>
      <w:r w:rsidR="0028385C" w:rsidRPr="00742A04">
        <w:t>lantea</w:t>
      </w:r>
      <w:r w:rsidR="00545D1B" w:rsidRPr="00742A04">
        <w:t xml:space="preserve"> </w:t>
      </w:r>
      <w:r w:rsidR="00FC4C8D" w:rsidRPr="00742A04">
        <w:t>un importante desafío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28385C" w:rsidRPr="00742A04">
        <w:t>asegurar una</w:t>
      </w:r>
      <w:r w:rsidR="00545D1B" w:rsidRPr="00742A04">
        <w:t xml:space="preserve"> </w:t>
      </w:r>
      <w:r w:rsidR="00581775" w:rsidRPr="00742A04">
        <w:t>igual</w:t>
      </w:r>
      <w:r w:rsidR="00545D1B" w:rsidRPr="00742A04">
        <w:t xml:space="preserve"> particip</w:t>
      </w:r>
      <w:r w:rsidR="00545D1B" w:rsidRPr="00742A04">
        <w:t>a</w:t>
      </w:r>
      <w:r w:rsidR="00C14BFF" w:rsidRPr="00742A04">
        <w:t xml:space="preserve">ción </w:t>
      </w:r>
      <w:r w:rsidR="0028385C" w:rsidRPr="00742A04">
        <w:t xml:space="preserve">de los géneros </w:t>
      </w:r>
      <w:r w:rsidR="00C14BFF" w:rsidRPr="00742A04">
        <w:t>en</w:t>
      </w:r>
      <w:r w:rsidR="00545D1B" w:rsidRPr="00742A04">
        <w:t xml:space="preserve"> </w:t>
      </w:r>
      <w:r w:rsidR="0028385C" w:rsidRPr="00742A04">
        <w:t>los órganos electivos</w:t>
      </w:r>
      <w:r w:rsidR="00545D1B" w:rsidRPr="00742A04">
        <w:t xml:space="preserve">. </w:t>
      </w:r>
      <w:r w:rsidR="0028385C" w:rsidRPr="00742A04">
        <w:t>Por consiguiente, e</w:t>
      </w:r>
      <w:r w:rsidR="00FC4C8D" w:rsidRPr="00742A04">
        <w:t>l proceso de nom</w:t>
      </w:r>
      <w:r w:rsidR="00FC4C8D" w:rsidRPr="00742A04">
        <w:t>i</w:t>
      </w:r>
      <w:r w:rsidR="00FC4C8D" w:rsidRPr="00742A04">
        <w:t>nación</w:t>
      </w:r>
      <w:r w:rsidR="00545D1B" w:rsidRPr="00742A04">
        <w:t xml:space="preserve"> </w:t>
      </w:r>
      <w:r w:rsidR="00495D7B" w:rsidRPr="00742A04">
        <w:t>es</w:t>
      </w:r>
      <w:r w:rsidR="00545D1B" w:rsidRPr="00742A04">
        <w:t xml:space="preserve"> </w:t>
      </w:r>
      <w:r w:rsidR="0028385C" w:rsidRPr="00742A04">
        <w:t>un cuello de botella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8385C" w:rsidRPr="00742A04">
        <w:t>el proceso electoral</w:t>
      </w:r>
      <w:r w:rsidR="00545D1B" w:rsidRPr="00742A04">
        <w:t xml:space="preserve">. </w:t>
      </w:r>
      <w:r w:rsidR="00FC522E" w:rsidRPr="00742A04">
        <w:t>El l</w:t>
      </w:r>
      <w:r w:rsidR="005E6919" w:rsidRPr="00742A04">
        <w:t>ogr</w:t>
      </w:r>
      <w:r w:rsidR="00FC522E" w:rsidRPr="00742A04">
        <w:t>o de un</w:t>
      </w:r>
      <w:r w:rsidR="00545D1B" w:rsidRPr="00742A04">
        <w:t xml:space="preserve"> </w:t>
      </w:r>
      <w:r w:rsidR="00831293" w:rsidRPr="00742A04">
        <w:t>equilibrio de género</w:t>
      </w:r>
      <w:r w:rsidR="00545D1B" w:rsidRPr="00742A04">
        <w:t xml:space="preserve"> </w:t>
      </w:r>
      <w:r w:rsidR="00FC522E" w:rsidRPr="00742A04">
        <w:t>en la parte superior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C522E" w:rsidRPr="00742A04">
        <w:t>las listas electorales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7E0DFE" w:rsidRPr="00742A04">
        <w:t>esencial</w:t>
      </w:r>
      <w:r w:rsidR="00545D1B" w:rsidRPr="00742A04">
        <w:t xml:space="preserve"> </w:t>
      </w:r>
      <w:r w:rsidR="00FC522E" w:rsidRPr="00742A04">
        <w:t>par</w:t>
      </w:r>
      <w:r w:rsidR="0030626A" w:rsidRPr="00742A04">
        <w:t>a</w:t>
      </w:r>
      <w:r w:rsidR="00545D1B" w:rsidRPr="00742A04">
        <w:t xml:space="preserve"> </w:t>
      </w:r>
      <w:r w:rsidR="005E6919" w:rsidRPr="00742A04">
        <w:t>lograr</w:t>
      </w:r>
      <w:r w:rsidR="00FC522E" w:rsidRPr="00742A04">
        <w:t xml:space="preserve"> un equil</w:t>
      </w:r>
      <w:r w:rsidR="00FC522E" w:rsidRPr="00742A04">
        <w:t>i</w:t>
      </w:r>
      <w:r w:rsidR="00FC522E" w:rsidRPr="00742A04">
        <w:t>brio</w:t>
      </w:r>
      <w:r w:rsidR="0083129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8385C" w:rsidRPr="00742A04">
        <w:t>los órganos electivos</w:t>
      </w:r>
      <w:r w:rsidR="00545D1B" w:rsidRPr="00742A04">
        <w:t xml:space="preserve">. </w:t>
      </w:r>
      <w:r w:rsidR="00FC522E" w:rsidRPr="00742A04">
        <w:t>La</w:t>
      </w:r>
      <w:r w:rsidR="00545D1B" w:rsidRPr="00742A04">
        <w:t xml:space="preserve"> posi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FC522E" w:rsidRPr="00742A04">
        <w:t xml:space="preserve">los </w:t>
      </w:r>
      <w:r w:rsidR="00A223F4" w:rsidRPr="00742A04">
        <w:t>candidatos</w:t>
      </w:r>
      <w:r w:rsidR="00545D1B" w:rsidRPr="00742A04">
        <w:t xml:space="preserve"> </w:t>
      </w:r>
      <w:r w:rsidR="00FC522E" w:rsidRPr="00742A04">
        <w:t>e</w:t>
      </w:r>
      <w:r w:rsidR="00545D1B" w:rsidRPr="00742A04">
        <w:t xml:space="preserve">n </w:t>
      </w:r>
      <w:r w:rsidR="00FC522E" w:rsidRPr="00742A04">
        <w:t>las listas electorales</w:t>
      </w:r>
      <w:r w:rsidR="00545D1B" w:rsidRPr="00742A04">
        <w:t xml:space="preserve"> </w:t>
      </w:r>
      <w:r w:rsidR="00FC522E" w:rsidRPr="00742A04">
        <w:t>tiene gran</w:t>
      </w:r>
      <w:r w:rsidR="00545D1B" w:rsidRPr="00742A04">
        <w:t xml:space="preserve"> </w:t>
      </w:r>
      <w:r w:rsidR="000472FC" w:rsidRPr="00742A04">
        <w:t>importancia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C522E" w:rsidRPr="00742A04">
        <w:t xml:space="preserve">las </w:t>
      </w:r>
      <w:r w:rsidR="00545D1B" w:rsidRPr="00742A04">
        <w:t>elec</w:t>
      </w:r>
      <w:r w:rsidR="008907B8" w:rsidRPr="00742A04">
        <w:t>ciones</w:t>
      </w:r>
      <w:r w:rsidR="00545D1B" w:rsidRPr="00742A04">
        <w:t xml:space="preserve">, </w:t>
      </w:r>
      <w:r w:rsidR="00230F13" w:rsidRPr="00742A04">
        <w:t>en particular</w:t>
      </w:r>
      <w:r w:rsidR="00545D1B" w:rsidRPr="00742A04">
        <w:t xml:space="preserve"> </w:t>
      </w:r>
      <w:r w:rsidR="00C14BFF" w:rsidRPr="00742A04">
        <w:t>en</w:t>
      </w:r>
      <w:r w:rsidR="00FC522E" w:rsidRPr="00742A04">
        <w:t xml:space="preserve"> los distritos p</w:t>
      </w:r>
      <w:r w:rsidR="00FC522E" w:rsidRPr="00742A04">
        <w:t>e</w:t>
      </w:r>
      <w:r w:rsidR="00FC522E" w:rsidRPr="00742A04">
        <w:t>queños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C522E" w:rsidRPr="00742A04">
        <w:t>los partidos pequeños</w:t>
      </w:r>
      <w:r w:rsidR="00545D1B" w:rsidRPr="00742A04">
        <w:t>.</w:t>
      </w:r>
    </w:p>
    <w:p w:rsidR="00545D1B" w:rsidRPr="00742A04" w:rsidRDefault="005D2D07" w:rsidP="004D4CB7">
      <w:pPr>
        <w:pStyle w:val="SingleTxt"/>
        <w:ind w:firstLine="475"/>
      </w:pPr>
      <w:r w:rsidRPr="00742A04">
        <w:t>El sistema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correc</w:t>
      </w:r>
      <w:r w:rsidR="001E30D6" w:rsidRPr="00742A04">
        <w:t>ción de las</w:t>
      </w:r>
      <w:r w:rsidR="00545D1B" w:rsidRPr="00742A04">
        <w:t xml:space="preserve"> </w:t>
      </w:r>
      <w:r w:rsidR="00A223F4" w:rsidRPr="00742A04">
        <w:t>listas</w:t>
      </w:r>
      <w:r w:rsidR="00545D1B" w:rsidRPr="00742A04">
        <w:t xml:space="preserve"> </w:t>
      </w:r>
      <w:r w:rsidR="0051344E" w:rsidRPr="00742A04">
        <w:t>plantea un desafío especial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>esfue</w:t>
      </w:r>
      <w:r w:rsidR="00935A90" w:rsidRPr="00742A04">
        <w:t>r</w:t>
      </w:r>
      <w:r w:rsidR="00935A90" w:rsidRPr="00742A04">
        <w:t xml:space="preserve">zos por </w:t>
      </w:r>
      <w:r w:rsidR="001E30D6" w:rsidRPr="00742A04">
        <w:t>alcanzar</w:t>
      </w:r>
      <w:r w:rsidR="00545D1B" w:rsidRPr="00742A04">
        <w:t xml:space="preserve"> </w:t>
      </w:r>
      <w:r w:rsidR="005E6919" w:rsidRPr="00742A04">
        <w:t>un mejor equilibrio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E7E8C" w:rsidRPr="00742A04">
        <w:t>la política local</w:t>
      </w:r>
      <w:r w:rsidR="00545D1B" w:rsidRPr="00742A04">
        <w:t xml:space="preserve">. </w:t>
      </w:r>
      <w:r w:rsidR="001E30D6" w:rsidRPr="00742A04">
        <w:t>La pos</w:t>
      </w:r>
      <w:r w:rsidR="001E30D6" w:rsidRPr="00742A04">
        <w:t>i</w:t>
      </w:r>
      <w:r w:rsidR="00545D1B" w:rsidRPr="00742A04">
        <w:t>b</w:t>
      </w:r>
      <w:r w:rsidR="00502E16" w:rsidRPr="00742A04">
        <w:t>ilidad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E30D6" w:rsidRPr="00742A04">
        <w:t xml:space="preserve">que los votantes </w:t>
      </w:r>
      <w:r w:rsidR="00545D1B" w:rsidRPr="00742A04">
        <w:t>influ</w:t>
      </w:r>
      <w:r w:rsidR="001E30D6" w:rsidRPr="00742A04">
        <w:t>yan en</w:t>
      </w:r>
      <w:r w:rsidR="00545D1B" w:rsidRPr="00742A04">
        <w:t xml:space="preserve"> </w:t>
      </w:r>
      <w:r w:rsidR="001167D2" w:rsidRPr="00742A04">
        <w:t>la elección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E30D6" w:rsidRPr="00742A04">
        <w:t xml:space="preserve">los </w:t>
      </w:r>
      <w:r w:rsidR="00A223F4" w:rsidRPr="00742A04">
        <w:t>candidatos</w:t>
      </w:r>
      <w:r w:rsidR="00545D1B" w:rsidRPr="00742A04">
        <w:t xml:space="preserve"> (</w:t>
      </w:r>
      <w:r w:rsidR="001E30D6" w:rsidRPr="00742A04">
        <w:t>acumulando</w:t>
      </w:r>
      <w:r w:rsidR="00545D1B" w:rsidRPr="00742A04">
        <w:t xml:space="preserve"> </w:t>
      </w:r>
      <w:r w:rsidR="001E30D6" w:rsidRPr="00742A04">
        <w:t>nombres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41F24" w:rsidRPr="00742A04">
        <w:t>anteriormente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1E30D6" w:rsidRPr="00742A04">
        <w:t>tachando los</w:t>
      </w:r>
      <w:r w:rsidR="00545D1B" w:rsidRPr="00742A04">
        <w:t xml:space="preserve"> </w:t>
      </w:r>
      <w:r w:rsidR="001E30D6" w:rsidRPr="00742A04">
        <w:t>nombres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223F4" w:rsidRPr="00742A04">
        <w:t>candidatos</w:t>
      </w:r>
      <w:r w:rsidR="00545D1B" w:rsidRPr="00742A04">
        <w:t xml:space="preserve"> </w:t>
      </w:r>
      <w:r w:rsidR="001E30D6" w:rsidRPr="00742A04">
        <w:t>e</w:t>
      </w:r>
      <w:r w:rsidR="00545D1B" w:rsidRPr="00742A04">
        <w:t xml:space="preserve">n </w:t>
      </w:r>
      <w:r w:rsidR="00FC522E" w:rsidRPr="00742A04">
        <w:t>las listas electorales</w:t>
      </w:r>
      <w:r w:rsidR="00545D1B" w:rsidRPr="00742A04">
        <w:t xml:space="preserve">) </w:t>
      </w:r>
      <w:r w:rsidR="00BB4DB1" w:rsidRPr="00742A04">
        <w:t>es</w:t>
      </w:r>
      <w:r w:rsidR="001E30D6" w:rsidRPr="00742A04">
        <w:t xml:space="preserve"> una </w:t>
      </w:r>
      <w:r w:rsidR="004B0EC3" w:rsidRPr="00742A04">
        <w:t>práctica</w:t>
      </w:r>
      <w:r w:rsidR="00545D1B" w:rsidRPr="00742A04">
        <w:t xml:space="preserve"> genera</w:t>
      </w:r>
      <w:r w:rsidR="005F7B32" w:rsidRPr="00742A04">
        <w:t xml:space="preserve">lmente </w:t>
      </w:r>
      <w:r w:rsidR="001E30D6" w:rsidRPr="00742A04">
        <w:t>desventajosa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E30D6" w:rsidRPr="00742A04">
        <w:t xml:space="preserve">las </w:t>
      </w:r>
      <w:r w:rsidR="00072AD7" w:rsidRPr="00742A04">
        <w:t>mujeres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1E30D6" w:rsidRPr="00742A04">
        <w:t>todas las elecciones locales</w:t>
      </w:r>
      <w:r w:rsidR="00C14BFF" w:rsidRPr="00742A04">
        <w:t xml:space="preserve"> </w:t>
      </w:r>
      <w:r w:rsidR="001E30D6" w:rsidRPr="00742A04">
        <w:t xml:space="preserve">celebradas </w:t>
      </w:r>
      <w:r w:rsidR="00B34971" w:rsidRPr="00742A04">
        <w:t>a partir de</w:t>
      </w:r>
      <w:r w:rsidR="00545D1B" w:rsidRPr="00742A04">
        <w:t xml:space="preserve"> 1970, </w:t>
      </w:r>
      <w:r w:rsidR="00E73E8E" w:rsidRPr="00742A04">
        <w:t>la proporción de mujeres</w:t>
      </w:r>
      <w:r w:rsidR="00545D1B" w:rsidRPr="00742A04">
        <w:t xml:space="preserve"> </w:t>
      </w:r>
      <w:r w:rsidR="005675C6" w:rsidRPr="00742A04">
        <w:t xml:space="preserve">se </w:t>
      </w:r>
      <w:r w:rsidR="006D7D2F" w:rsidRPr="00742A04">
        <w:t xml:space="preserve">ha </w:t>
      </w:r>
      <w:r w:rsidR="00545D1B" w:rsidRPr="00742A04">
        <w:t>reduc</w:t>
      </w:r>
      <w:r w:rsidR="005675C6" w:rsidRPr="00742A04">
        <w:t xml:space="preserve">ido entre un 5% y un </w:t>
      </w:r>
      <w:r w:rsidR="00545D1B" w:rsidRPr="00742A04">
        <w:t>10</w:t>
      </w:r>
      <w:r w:rsidR="001167D2" w:rsidRPr="00742A04">
        <w:t>%</w:t>
      </w:r>
      <w:r w:rsidR="00545D1B" w:rsidRPr="00742A04">
        <w:t xml:space="preserve"> </w:t>
      </w:r>
      <w:r w:rsidR="006B65CD" w:rsidRPr="00742A04">
        <w:t>como resultado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675C6" w:rsidRPr="00742A04">
        <w:t xml:space="preserve">las </w:t>
      </w:r>
      <w:r w:rsidR="00545D1B" w:rsidRPr="00742A04">
        <w:t>correc</w:t>
      </w:r>
      <w:r w:rsidR="008907B8" w:rsidRPr="00742A04">
        <w:t>ciones</w:t>
      </w:r>
      <w:r w:rsidR="00545D1B" w:rsidRPr="00742A04">
        <w:t xml:space="preserve"> </w:t>
      </w:r>
      <w:r w:rsidR="005675C6" w:rsidRPr="00742A04">
        <w:t xml:space="preserve">de las listas </w:t>
      </w:r>
      <w:r w:rsidR="00545D1B" w:rsidRPr="00742A04">
        <w:t xml:space="preserve">(Hellevik </w:t>
      </w:r>
      <w:r w:rsidR="00877AA0" w:rsidRPr="00742A04">
        <w:t>y</w:t>
      </w:r>
      <w:r w:rsidR="00545D1B" w:rsidRPr="00742A04">
        <w:t xml:space="preserve"> Bjørklund 1995). </w:t>
      </w:r>
      <w:r w:rsidR="00CB0483" w:rsidRPr="00742A04">
        <w:t>Sin embargo</w:t>
      </w:r>
      <w:r w:rsidR="00545D1B" w:rsidRPr="00742A04">
        <w:t xml:space="preserve">, </w:t>
      </w:r>
      <w:r w:rsidR="00021DB5" w:rsidRPr="00742A04">
        <w:t>hay</w:t>
      </w:r>
      <w:r w:rsidR="00545D1B" w:rsidRPr="00742A04">
        <w:t xml:space="preserve"> </w:t>
      </w:r>
      <w:r w:rsidR="005675C6" w:rsidRPr="00742A04">
        <w:t>algunas</w:t>
      </w:r>
      <w:r w:rsidR="00545D1B" w:rsidRPr="00742A04">
        <w:t xml:space="preserve"> excep</w:t>
      </w:r>
      <w:r w:rsidR="008907B8" w:rsidRPr="00742A04">
        <w:t>ciones</w:t>
      </w:r>
      <w:r w:rsidR="00545D1B" w:rsidRPr="00742A04">
        <w:t xml:space="preserve">, </w:t>
      </w:r>
      <w:r w:rsidR="005675C6" w:rsidRPr="00742A04">
        <w:t>tanto</w:t>
      </w:r>
      <w:r w:rsidR="00545D1B" w:rsidRPr="00742A04">
        <w:t xml:space="preserve"> </w:t>
      </w:r>
      <w:r w:rsidR="005675C6" w:rsidRPr="00742A04">
        <w:t>geográficas</w:t>
      </w:r>
      <w:r w:rsidR="00545D1B" w:rsidRPr="00742A04">
        <w:t xml:space="preserve"> </w:t>
      </w:r>
      <w:r w:rsidR="005675C6" w:rsidRPr="00742A04">
        <w:t>como según los di</w:t>
      </w:r>
      <w:r w:rsidR="005675C6" w:rsidRPr="00742A04">
        <w:t>s</w:t>
      </w:r>
      <w:r w:rsidR="005675C6" w:rsidRPr="00742A04">
        <w:t>tintos</w:t>
      </w:r>
      <w:r w:rsidR="00545D1B" w:rsidRPr="00742A04">
        <w:t xml:space="preserve"> par</w:t>
      </w:r>
      <w:r w:rsidR="005675C6" w:rsidRPr="00742A04">
        <w:t>tidos</w:t>
      </w:r>
      <w:r w:rsidR="00545D1B" w:rsidRPr="00742A04">
        <w:t xml:space="preserve">. </w:t>
      </w:r>
      <w:r w:rsidR="005675C6" w:rsidRPr="00742A04">
        <w:t>La e</w:t>
      </w:r>
      <w:r w:rsidR="008F0C8E" w:rsidRPr="00742A04">
        <w:t>xperiencia</w:t>
      </w:r>
      <w:r w:rsidR="00545D1B" w:rsidRPr="00742A04">
        <w:t xml:space="preserve"> </w:t>
      </w:r>
      <w:r w:rsidR="005675C6" w:rsidRPr="00742A04">
        <w:t xml:space="preserve">en materia </w:t>
      </w:r>
      <w:r w:rsidR="004A0730" w:rsidRPr="00742A04">
        <w:t>de</w:t>
      </w:r>
      <w:r w:rsidR="00545D1B" w:rsidRPr="00742A04">
        <w:t xml:space="preserve"> </w:t>
      </w:r>
      <w:r w:rsidR="00DE7E8C" w:rsidRPr="00742A04">
        <w:t>política local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5675C6" w:rsidRPr="00742A04">
        <w:t xml:space="preserve">se reclutan </w:t>
      </w:r>
      <w:r w:rsidR="00A223F4" w:rsidRPr="00742A04">
        <w:t>candidatos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836A1" w:rsidRPr="00742A04">
        <w:t>miembros</w:t>
      </w:r>
      <w:r w:rsidR="00FF575F" w:rsidRPr="00742A04">
        <w:t xml:space="preserve"> del </w:t>
      </w:r>
      <w:r w:rsidR="00BD47D3" w:rsidRPr="00742A04">
        <w:t>Storting</w:t>
      </w:r>
      <w:r w:rsidR="00545D1B" w:rsidRPr="00742A04">
        <w:t>,</w:t>
      </w:r>
      <w:r w:rsidR="002E5047" w:rsidRPr="00742A04">
        <w:t xml:space="preserve"> </w:t>
      </w:r>
      <w:r w:rsidR="005675C6" w:rsidRPr="00742A04">
        <w:t>y consiguientemente</w:t>
      </w:r>
      <w:r w:rsidR="002E5047" w:rsidRPr="00742A04">
        <w:t xml:space="preserve"> </w:t>
      </w:r>
      <w:r w:rsidR="005675C6" w:rsidRPr="00742A04">
        <w:t>los desequil</w:t>
      </w:r>
      <w:r w:rsidR="005675C6" w:rsidRPr="00742A04">
        <w:t>i</w:t>
      </w:r>
      <w:r w:rsidR="005675C6" w:rsidRPr="00742A04">
        <w:t>brios</w:t>
      </w:r>
      <w:r w:rsidR="00545D1B" w:rsidRPr="00742A04">
        <w:t xml:space="preserve"> </w:t>
      </w:r>
      <w:r w:rsidR="005675C6" w:rsidRPr="00742A04">
        <w:t>en el nivel</w:t>
      </w:r>
      <w:r w:rsidR="00545D1B" w:rsidRPr="00742A04">
        <w:t xml:space="preserve"> </w:t>
      </w:r>
      <w:r w:rsidR="005675C6" w:rsidRPr="00742A04">
        <w:t xml:space="preserve">de la </w:t>
      </w:r>
      <w:r w:rsidR="005E2D7A" w:rsidRPr="00742A04">
        <w:t>política</w:t>
      </w:r>
      <w:r w:rsidR="00545D1B" w:rsidRPr="00742A04">
        <w:t xml:space="preserve"> </w:t>
      </w:r>
      <w:r w:rsidR="005675C6" w:rsidRPr="00742A04">
        <w:t xml:space="preserve">local </w:t>
      </w:r>
      <w:r w:rsidR="0030626A" w:rsidRPr="00742A04">
        <w:t>también</w:t>
      </w:r>
      <w:r w:rsidR="00545D1B" w:rsidRPr="00742A04">
        <w:t xml:space="preserve"> </w:t>
      </w:r>
      <w:r w:rsidR="005675C6" w:rsidRPr="00742A04">
        <w:t>inciden en el</w:t>
      </w:r>
      <w:r w:rsidR="00545D1B" w:rsidRPr="00742A04">
        <w:t xml:space="preserve"> </w:t>
      </w:r>
      <w:r w:rsidR="00831293" w:rsidRPr="00742A04">
        <w:t>equilibrio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621FB" w:rsidRPr="00742A04">
        <w:t>la asamblea naci</w:t>
      </w:r>
      <w:r w:rsidR="00B621FB" w:rsidRPr="00742A04">
        <w:t>o</w:t>
      </w:r>
      <w:r w:rsidR="00B621FB" w:rsidRPr="00742A04">
        <w:t>nal</w:t>
      </w:r>
      <w:r w:rsidR="00545D1B" w:rsidRPr="00742A04">
        <w:t>.</w:t>
      </w:r>
    </w:p>
    <w:p w:rsidR="00545D1B" w:rsidRPr="00742A04" w:rsidRDefault="00B31D97" w:rsidP="002C4922">
      <w:pPr>
        <w:pStyle w:val="SingleTxt"/>
        <w:rPr>
          <w:i/>
        </w:rPr>
      </w:pPr>
      <w:r w:rsidRPr="00742A04">
        <w:rPr>
          <w:i/>
        </w:rPr>
        <w:t>Esfuerzos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="00975A9E" w:rsidRPr="00742A04">
        <w:rPr>
          <w:i/>
        </w:rPr>
        <w:t>el sector municipal</w:t>
      </w:r>
      <w:r w:rsidR="00545D1B" w:rsidRPr="00742A04">
        <w:rPr>
          <w:i/>
        </w:rPr>
        <w:t xml:space="preserve"> </w:t>
      </w:r>
      <w:r w:rsidR="00B84A94" w:rsidRPr="00742A04">
        <w:rPr>
          <w:i/>
        </w:rPr>
        <w:t>por</w:t>
      </w:r>
      <w:r w:rsidR="00545D1B" w:rsidRPr="00742A04">
        <w:rPr>
          <w:i/>
        </w:rPr>
        <w:t xml:space="preserve"> </w:t>
      </w:r>
      <w:r w:rsidR="00242371" w:rsidRPr="00742A04">
        <w:rPr>
          <w:i/>
        </w:rPr>
        <w:t>incrementar</w:t>
      </w:r>
      <w:r w:rsidR="00545D1B" w:rsidRPr="00742A04">
        <w:rPr>
          <w:i/>
        </w:rPr>
        <w:t xml:space="preserve"> </w:t>
      </w:r>
      <w:r w:rsidR="00E73E8E" w:rsidRPr="00742A04">
        <w:rPr>
          <w:i/>
        </w:rPr>
        <w:t>la proporción de mujeres</w:t>
      </w:r>
    </w:p>
    <w:p w:rsidR="00545D1B" w:rsidRPr="00742A04" w:rsidRDefault="00B84A94" w:rsidP="004D4CB7">
      <w:pPr>
        <w:pStyle w:val="SingleTxt"/>
        <w:ind w:firstLine="475"/>
      </w:pPr>
      <w:r w:rsidRPr="00742A04">
        <w:t>La</w:t>
      </w:r>
      <w:r w:rsidR="00545D1B" w:rsidRPr="00742A04">
        <w:t xml:space="preserve"> </w:t>
      </w:r>
      <w:r w:rsidR="000A5430" w:rsidRPr="00742A04">
        <w:t>Aso</w:t>
      </w:r>
      <w:r w:rsidR="00545D1B" w:rsidRPr="00742A04">
        <w:t>cia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77058E" w:rsidRPr="00742A04">
        <w:t>Autoridades Locales y Regionales</w:t>
      </w:r>
      <w:r w:rsidR="00545D1B" w:rsidRPr="00742A04">
        <w:t xml:space="preserve"> </w:t>
      </w:r>
      <w:r w:rsidRPr="00742A04">
        <w:t xml:space="preserve">de Noruega </w:t>
      </w:r>
      <w:r w:rsidR="00545D1B" w:rsidRPr="00742A04">
        <w:t xml:space="preserve">(KS) </w:t>
      </w:r>
      <w:r w:rsidR="00877AA0" w:rsidRPr="00742A04">
        <w:t>y</w:t>
      </w:r>
      <w:r w:rsidR="00545D1B" w:rsidRPr="00742A04">
        <w:t xml:space="preserve"> </w:t>
      </w:r>
      <w:r w:rsidRPr="00742A04">
        <w:t>los</w:t>
      </w:r>
      <w:r w:rsidR="00545D1B" w:rsidRPr="00742A04">
        <w:t xml:space="preserve"> </w:t>
      </w:r>
      <w:r w:rsidR="00FC4C8D" w:rsidRPr="00742A04">
        <w:t>partidos políticos</w:t>
      </w:r>
      <w:r w:rsidR="00545D1B" w:rsidRPr="00742A04">
        <w:t xml:space="preserve"> ha</w:t>
      </w:r>
      <w:r w:rsidRPr="00742A04">
        <w:t>n</w:t>
      </w:r>
      <w:r w:rsidR="00545D1B" w:rsidRPr="00742A04">
        <w:t xml:space="preserve"> </w:t>
      </w:r>
      <w:r w:rsidR="00C07ED9" w:rsidRPr="00742A04">
        <w:t>inicia</w:t>
      </w:r>
      <w:r w:rsidR="00545D1B" w:rsidRPr="00742A04">
        <w:t>d</w:t>
      </w:r>
      <w:r w:rsidRPr="00742A04">
        <w:t>o conjuntamente</w:t>
      </w:r>
      <w:r w:rsidR="00545D1B" w:rsidRPr="00742A04">
        <w:t xml:space="preserve"> </w:t>
      </w:r>
      <w:r w:rsidR="002213CF" w:rsidRPr="00742A04">
        <w:t>el proyecto</w:t>
      </w:r>
      <w:r w:rsidR="00545D1B" w:rsidRPr="00742A04">
        <w:t xml:space="preserve"> </w:t>
      </w:r>
      <w:r w:rsidR="00545D1B" w:rsidRPr="00742A04">
        <w:rPr>
          <w:i/>
        </w:rPr>
        <w:t>Hvordan øke kvinneand</w:t>
      </w:r>
      <w:r w:rsidR="00545D1B" w:rsidRPr="00742A04">
        <w:rPr>
          <w:i/>
        </w:rPr>
        <w:t>e</w:t>
      </w:r>
      <w:r w:rsidR="00545D1B" w:rsidRPr="00742A04">
        <w:rPr>
          <w:i/>
        </w:rPr>
        <w:t xml:space="preserve">len i kommunesektorens maktposisjoner? </w:t>
      </w:r>
      <w:r w:rsidR="00545D1B" w:rsidRPr="00742A04">
        <w:t>(</w:t>
      </w:r>
      <w:r w:rsidRPr="00742A04">
        <w:t>“¿</w:t>
      </w:r>
      <w:r w:rsidR="00CD7AC7" w:rsidRPr="00742A04">
        <w:t>Cómo</w:t>
      </w:r>
      <w:r w:rsidR="00545D1B" w:rsidRPr="00742A04">
        <w:t xml:space="preserve"> </w:t>
      </w:r>
      <w:r w:rsidRPr="00742A04">
        <w:t>lograremos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73E8E" w:rsidRPr="00742A04">
        <w:t>la pr</w:t>
      </w:r>
      <w:r w:rsidR="00E73E8E" w:rsidRPr="00742A04">
        <w:t>o</w:t>
      </w:r>
      <w:r w:rsidR="00E73E8E" w:rsidRPr="00742A04">
        <w:t>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posi</w:t>
      </w:r>
      <w:r w:rsidR="008907B8" w:rsidRPr="00742A04">
        <w:t>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220D6" w:rsidRPr="00742A04">
        <w:t>poder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75A9E" w:rsidRPr="00742A04">
        <w:t>el sector municipal</w:t>
      </w:r>
      <w:r w:rsidR="00545D1B" w:rsidRPr="00742A04">
        <w:t>?</w:t>
      </w:r>
      <w:r w:rsidRPr="00742A04">
        <w:t>”</w:t>
      </w:r>
      <w:r w:rsidR="00545D1B" w:rsidRPr="00742A04">
        <w:t xml:space="preserve">). </w:t>
      </w:r>
      <w:r w:rsidRPr="00742A04">
        <w:t>El objetivo</w:t>
      </w:r>
      <w:r w:rsidR="00545D1B" w:rsidRPr="00742A04">
        <w:t xml:space="preserve"> </w:t>
      </w:r>
      <w:r w:rsidR="0077058E" w:rsidRPr="00742A04">
        <w:t>del proyecto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Pr="00742A04">
        <w:t>el p</w:t>
      </w:r>
      <w:r w:rsidR="005909B9" w:rsidRPr="00742A04">
        <w:t>orcentaje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posiciones influyentes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75A9E" w:rsidRPr="00742A04">
        <w:t>el sector municipal</w:t>
      </w:r>
      <w:r w:rsidR="00545D1B" w:rsidRPr="00742A04">
        <w:t xml:space="preserve"> </w:t>
      </w:r>
      <w:r w:rsidRPr="00742A04">
        <w:t>p</w:t>
      </w:r>
      <w:r w:rsidR="00657260" w:rsidRPr="00742A04">
        <w:t>or lo menos</w:t>
      </w:r>
      <w:r w:rsidR="00545D1B" w:rsidRPr="00742A04">
        <w:t xml:space="preserve"> </w:t>
      </w:r>
      <w:r w:rsidRPr="00742A04">
        <w:t xml:space="preserve">a un </w:t>
      </w:r>
      <w:r w:rsidR="00545D1B" w:rsidRPr="00742A04">
        <w:t>40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11327" w:rsidRPr="00742A04">
        <w:t>el curso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2011, </w:t>
      </w:r>
      <w:r w:rsidR="00877AA0" w:rsidRPr="00742A04">
        <w:t>y</w:t>
      </w:r>
      <w:r w:rsidR="0012381F">
        <w:t xml:space="preserve"> determinar</w:t>
      </w:r>
      <w:r w:rsidR="00545D1B" w:rsidRPr="00742A04">
        <w:t xml:space="preserve"> </w:t>
      </w:r>
      <w:r w:rsidRPr="00742A04">
        <w:t>qué</w:t>
      </w:r>
      <w:r w:rsidR="00545D1B" w:rsidRPr="00742A04">
        <w:t xml:space="preserve"> crit</w:t>
      </w:r>
      <w:r w:rsidR="00545D1B" w:rsidRPr="00742A04">
        <w:t>e</w:t>
      </w:r>
      <w:r w:rsidRPr="00742A04">
        <w:t>rios de éxito</w:t>
      </w:r>
      <w:r w:rsidR="00545D1B" w:rsidRPr="00742A04">
        <w:t xml:space="preserve"> </w:t>
      </w:r>
      <w:r w:rsidR="006137EC" w:rsidRPr="00742A04">
        <w:t>son</w:t>
      </w:r>
      <w:r w:rsidRPr="00742A04">
        <w:t xml:space="preserve"> decisivos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E6919" w:rsidRPr="00742A04">
        <w:t>lograr</w:t>
      </w:r>
      <w:r w:rsidR="00545D1B" w:rsidRPr="00742A04">
        <w:t xml:space="preserve"> </w:t>
      </w:r>
      <w:r w:rsidRPr="00742A04">
        <w:t>ese objetivo</w:t>
      </w:r>
      <w:r w:rsidR="00545D1B" w:rsidRPr="00742A04">
        <w:t xml:space="preserve">. </w:t>
      </w:r>
      <w:r w:rsidR="002213CF" w:rsidRPr="00742A04">
        <w:t>El proyecto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document</w:t>
      </w:r>
      <w:r w:rsidRPr="00742A04">
        <w:t>a</w:t>
      </w:r>
      <w:r w:rsidRPr="00742A04">
        <w:t>rá</w:t>
      </w:r>
      <w:r w:rsidR="00545D1B" w:rsidRPr="00742A04">
        <w:t xml:space="preserve"> </w:t>
      </w:r>
      <w:r w:rsidRPr="00742A04">
        <w:t xml:space="preserve">la distribución </w:t>
      </w:r>
      <w:r w:rsidR="005F7B32" w:rsidRPr="00742A04">
        <w:t>actual</w:t>
      </w:r>
      <w:r w:rsidR="00545D1B" w:rsidRPr="00742A04">
        <w:t xml:space="preserve"> </w:t>
      </w:r>
      <w:r w:rsidRPr="00742A04">
        <w:t xml:space="preserve">de </w:t>
      </w:r>
      <w:r w:rsidR="00A836A1" w:rsidRPr="00742A04">
        <w:t>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las </w:t>
      </w:r>
      <w:r w:rsidR="00545D1B" w:rsidRPr="00742A04">
        <w:t>posi</w:t>
      </w:r>
      <w:r w:rsidR="008907B8" w:rsidRPr="00742A04">
        <w:t>ciones</w:t>
      </w:r>
      <w:r w:rsidR="00545D1B" w:rsidRPr="00742A04">
        <w:t xml:space="preserve"> </w:t>
      </w:r>
      <w:r w:rsidRPr="00742A04">
        <w:t xml:space="preserve">municipales </w:t>
      </w:r>
      <w:r w:rsidR="004A0730" w:rsidRPr="00742A04">
        <w:t>de</w:t>
      </w:r>
      <w:r w:rsidR="00545D1B" w:rsidRPr="00742A04">
        <w:t xml:space="preserve"> </w:t>
      </w:r>
      <w:r w:rsidR="000220D6" w:rsidRPr="00742A04">
        <w:t>poder</w:t>
      </w:r>
      <w:r w:rsidR="00545D1B" w:rsidRPr="00742A04">
        <w:t xml:space="preserve">, </w:t>
      </w:r>
      <w:r w:rsidR="00AD0883" w:rsidRPr="00742A04">
        <w:t>tales c</w:t>
      </w:r>
      <w:r w:rsidR="00AD0883" w:rsidRPr="00742A04">
        <w:t>o</w:t>
      </w:r>
      <w:r w:rsidR="00AD0883" w:rsidRPr="00742A04">
        <w:t>mo</w:t>
      </w:r>
      <w:r w:rsidR="00545D1B" w:rsidRPr="00742A04">
        <w:t xml:space="preserve"> </w:t>
      </w:r>
      <w:r w:rsidR="001F6F1A" w:rsidRPr="00742A04">
        <w:t>alcaldes</w:t>
      </w:r>
      <w:r w:rsidR="00545D1B" w:rsidRPr="00742A04">
        <w:t xml:space="preserve">, </w:t>
      </w:r>
      <w:r w:rsidRPr="00742A04">
        <w:t>presidentes de grupos</w:t>
      </w:r>
      <w:r w:rsidR="00545D1B" w:rsidRPr="00742A04">
        <w:t xml:space="preserve">, </w:t>
      </w:r>
      <w:r w:rsidRPr="00742A04">
        <w:t>presidentes de consejos</w:t>
      </w:r>
      <w:r w:rsidR="00545D1B" w:rsidRPr="00742A04">
        <w:t xml:space="preserve">, etc. </w:t>
      </w:r>
      <w:r w:rsidR="002213CF" w:rsidRPr="00742A04">
        <w:t>El proyecto</w:t>
      </w:r>
      <w:r w:rsidR="00545D1B" w:rsidRPr="00742A04">
        <w:t xml:space="preserve"> </w:t>
      </w:r>
      <w:r w:rsidR="0020526A" w:rsidRPr="00742A04">
        <w:t xml:space="preserve">debe </w:t>
      </w:r>
      <w:r w:rsidR="00AD5494" w:rsidRPr="00742A04">
        <w:t>lleva</w:t>
      </w:r>
      <w:r w:rsidRPr="00742A04">
        <w:t>rse</w:t>
      </w:r>
      <w:r w:rsidR="00AD5494" w:rsidRPr="00742A04">
        <w:t xml:space="preserve"> a cabo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95D7B" w:rsidRPr="00742A04">
        <w:t>estrecha cooperación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los partidos</w:t>
      </w:r>
      <w:r w:rsidR="00FC4C8D" w:rsidRPr="00742A04">
        <w:t xml:space="preserve"> políticos</w:t>
      </w:r>
      <w:r w:rsidR="00545D1B" w:rsidRPr="00742A04">
        <w:t xml:space="preserve"> </w:t>
      </w:r>
      <w:r w:rsidRPr="00742A04">
        <w:t>a nivel nacional y local</w:t>
      </w:r>
      <w:r w:rsidR="00545D1B" w:rsidRPr="00742A04">
        <w:t xml:space="preserve">, </w:t>
      </w:r>
      <w:r w:rsidR="007E0DFE" w:rsidRPr="00742A04">
        <w:t>porque</w:t>
      </w:r>
      <w:r w:rsidR="00545D1B" w:rsidRPr="00742A04">
        <w:t xml:space="preserve"> </w:t>
      </w:r>
      <w:r w:rsidR="0041033B" w:rsidRPr="00742A04">
        <w:t>se necesita un</w:t>
      </w:r>
      <w:r w:rsidR="00545D1B" w:rsidRPr="00742A04">
        <w:t xml:space="preserve"> </w:t>
      </w:r>
      <w:r w:rsidR="005B2FE4" w:rsidRPr="00742A04">
        <w:t>cambio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1033B" w:rsidRPr="00742A04">
        <w:t xml:space="preserve">los </w:t>
      </w:r>
      <w:r w:rsidR="00545D1B" w:rsidRPr="00742A04">
        <w:t>proced</w:t>
      </w:r>
      <w:r w:rsidR="0041033B" w:rsidRPr="00742A04">
        <w:t>imientos partidarios como</w:t>
      </w:r>
      <w:r w:rsidR="00545D1B" w:rsidRPr="00742A04">
        <w:t xml:space="preserve"> requis</w:t>
      </w:r>
      <w:r w:rsidR="00545D1B" w:rsidRPr="00742A04">
        <w:t>i</w:t>
      </w:r>
      <w:r w:rsidR="0041033B" w:rsidRPr="00742A04">
        <w:t>to previo para que haya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B82A08" w:rsidRPr="00742A04">
        <w:t>ocup</w:t>
      </w:r>
      <w:r w:rsidR="0041033B" w:rsidRPr="00742A04">
        <w:t>ando</w:t>
      </w:r>
      <w:r w:rsidR="00545D1B" w:rsidRPr="00742A04">
        <w:t xml:space="preserve"> posi</w:t>
      </w:r>
      <w:r w:rsidR="008907B8" w:rsidRPr="00742A04">
        <w:t>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220D6" w:rsidRPr="00742A04">
        <w:t>poder</w:t>
      </w:r>
      <w:r w:rsidR="00545D1B" w:rsidRPr="00742A04">
        <w:t xml:space="preserve">. </w:t>
      </w:r>
      <w:r w:rsidR="009A09A9" w:rsidRPr="00742A04">
        <w:t xml:space="preserve">Se organizarán </w:t>
      </w:r>
      <w:r w:rsidR="00F13355" w:rsidRPr="00742A04">
        <w:t>conferencia</w:t>
      </w:r>
      <w:r w:rsidR="00545D1B" w:rsidRPr="00742A04">
        <w:t xml:space="preserve">s </w:t>
      </w:r>
      <w:r w:rsidR="009A09A9" w:rsidRPr="00742A04">
        <w:t>de diálogo par</w:t>
      </w:r>
      <w:r w:rsidR="0030626A" w:rsidRPr="00742A04">
        <w:t>a</w:t>
      </w:r>
      <w:r w:rsidR="00545D1B" w:rsidRPr="00742A04">
        <w:t xml:space="preserve"> </w:t>
      </w:r>
      <w:r w:rsidR="005E6919" w:rsidRPr="00742A04">
        <w:t>centra</w:t>
      </w:r>
      <w:r w:rsidR="009A09A9" w:rsidRPr="00742A04">
        <w:t>r mejor la aten</w:t>
      </w:r>
      <w:r w:rsidR="005E6919" w:rsidRPr="00742A04">
        <w:t>ción en</w:t>
      </w:r>
      <w:r w:rsidR="009A09A9" w:rsidRPr="00742A04">
        <w:t xml:space="preserve"> los</w:t>
      </w:r>
      <w:r w:rsidR="00545D1B" w:rsidRPr="00742A04">
        <w:t xml:space="preserve"> </w:t>
      </w:r>
      <w:r w:rsidR="005E6919" w:rsidRPr="00742A04">
        <w:t>procesos</w:t>
      </w:r>
      <w:r w:rsidR="009A09A9" w:rsidRPr="00742A04">
        <w:t xml:space="preserve"> de nomin</w:t>
      </w:r>
      <w:r w:rsidR="009A09A9" w:rsidRPr="00742A04">
        <w:t>a</w:t>
      </w:r>
      <w:r w:rsidR="009A09A9" w:rsidRPr="00742A04">
        <w:t>ción</w:t>
      </w:r>
      <w:r w:rsidR="00545D1B" w:rsidRPr="00742A04">
        <w:t xml:space="preserve">. </w:t>
      </w:r>
      <w:r w:rsidR="009A09A9" w:rsidRPr="00742A04">
        <w:t>Sobre la b</w:t>
      </w:r>
      <w:r w:rsidR="006137EC" w:rsidRPr="00742A04">
        <w:t>as</w:t>
      </w:r>
      <w:r w:rsidR="009A09A9" w:rsidRPr="00742A04">
        <w:t>e de</w:t>
      </w:r>
      <w:r w:rsidR="00545D1B" w:rsidRPr="00742A04">
        <w:t xml:space="preserve"> </w:t>
      </w:r>
      <w:r w:rsidR="00DD5E1A" w:rsidRPr="00742A04">
        <w:t>la experiencia</w:t>
      </w:r>
      <w:r w:rsidR="00545D1B" w:rsidRPr="00742A04">
        <w:t xml:space="preserve"> </w:t>
      </w:r>
      <w:r w:rsidR="009A09A9" w:rsidRPr="00742A04">
        <w:t>obtenida en esas</w:t>
      </w:r>
      <w:r w:rsidR="00545D1B" w:rsidRPr="00742A04">
        <w:t xml:space="preserve"> </w:t>
      </w:r>
      <w:r w:rsidR="00F13355" w:rsidRPr="00742A04">
        <w:t>conferencia</w:t>
      </w:r>
      <w:r w:rsidR="00545D1B" w:rsidRPr="00742A04">
        <w:t xml:space="preserve">s, </w:t>
      </w:r>
      <w:r w:rsidR="009A09A9" w:rsidRPr="00742A04">
        <w:t>se elaborará</w:t>
      </w:r>
      <w:r w:rsidR="0012381F">
        <w:t>n</w:t>
      </w:r>
      <w:r w:rsidR="009A09A9" w:rsidRPr="00742A04">
        <w:t xml:space="preserve"> u</w:t>
      </w:r>
      <w:r w:rsidR="00101B8C" w:rsidRPr="00742A04">
        <w:t>na guía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B34C1" w:rsidRPr="00742A04">
        <w:t>un folleto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C82671" w:rsidRPr="00742A04">
        <w:t>sugerencias</w:t>
      </w:r>
      <w:r w:rsidR="002E5047" w:rsidRPr="00742A04">
        <w:t xml:space="preserve"> e i</w:t>
      </w:r>
      <w:r w:rsidR="00545D1B" w:rsidRPr="00742A04">
        <w:t xml:space="preserve">deas </w:t>
      </w:r>
      <w:r w:rsidR="00F43124" w:rsidRPr="00742A04">
        <w:t>para</w:t>
      </w:r>
      <w:r w:rsidR="00545D1B" w:rsidRPr="00742A04">
        <w:t xml:space="preserve"> </w:t>
      </w:r>
      <w:r w:rsidR="00242371" w:rsidRPr="00742A04">
        <w:t>promover</w:t>
      </w:r>
      <w:r w:rsidR="00545D1B" w:rsidRPr="00742A04">
        <w:t xml:space="preserve"> </w:t>
      </w:r>
      <w:r w:rsidR="009A09A9" w:rsidRPr="00742A04">
        <w:t>a una mayor cantidad de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posi</w:t>
      </w:r>
      <w:r w:rsidR="008907B8" w:rsidRPr="00742A04">
        <w:t>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220D6" w:rsidRPr="00742A04">
        <w:t>poder</w:t>
      </w:r>
      <w:r w:rsidR="009A09A9" w:rsidRPr="00742A04">
        <w:t xml:space="preserve"> en la política local</w:t>
      </w:r>
      <w:r w:rsidR="00545D1B" w:rsidRPr="00742A04">
        <w:t xml:space="preserve">. </w:t>
      </w:r>
      <w:r w:rsidR="00021DB5" w:rsidRPr="00742A04">
        <w:t>Hay</w:t>
      </w:r>
      <w:r w:rsidR="00545D1B" w:rsidRPr="00742A04">
        <w:t xml:space="preserve"> </w:t>
      </w:r>
      <w:r w:rsidR="00242371" w:rsidRPr="00742A04">
        <w:t>planes</w:t>
      </w:r>
      <w:r w:rsidR="00545D1B" w:rsidRPr="00742A04">
        <w:t xml:space="preserve"> </w:t>
      </w:r>
      <w:r w:rsidR="009A09A9" w:rsidRPr="00742A04">
        <w:t>par</w:t>
      </w:r>
      <w:r w:rsidR="0030626A" w:rsidRPr="00742A04">
        <w:t>a</w:t>
      </w:r>
      <w:r w:rsidR="00545D1B" w:rsidRPr="00742A04">
        <w:t xml:space="preserve"> establ</w:t>
      </w:r>
      <w:r w:rsidR="009A09A9" w:rsidRPr="00742A04">
        <w:t xml:space="preserve">ecer un sitio Web </w:t>
      </w:r>
      <w:r w:rsidR="00877AA0" w:rsidRPr="00742A04">
        <w:t>y</w:t>
      </w:r>
      <w:r w:rsidR="00545D1B" w:rsidRPr="00742A04">
        <w:t xml:space="preserve"> </w:t>
      </w:r>
      <w:r w:rsidR="009A09A9" w:rsidRPr="00742A04">
        <w:t xml:space="preserve">un </w:t>
      </w:r>
      <w:r w:rsidR="00545D1B" w:rsidRPr="00742A04">
        <w:t xml:space="preserve">blog </w:t>
      </w:r>
      <w:r w:rsidR="009A09A9" w:rsidRPr="00742A04">
        <w:t xml:space="preserve">especiales </w:t>
      </w:r>
      <w:r w:rsidR="00F43124" w:rsidRPr="00742A04">
        <w:t>para</w:t>
      </w:r>
      <w:r w:rsidR="00545D1B" w:rsidRPr="00742A04">
        <w:t xml:space="preserve"> </w:t>
      </w:r>
      <w:r w:rsidR="002213CF" w:rsidRPr="00742A04">
        <w:t>el pr</w:t>
      </w:r>
      <w:r w:rsidR="002213CF" w:rsidRPr="00742A04">
        <w:t>o</w:t>
      </w:r>
      <w:r w:rsidR="002213CF" w:rsidRPr="00742A04">
        <w:t>yecto</w:t>
      </w:r>
      <w:r w:rsidR="00545D1B" w:rsidRPr="00742A04">
        <w:t>.</w:t>
      </w:r>
    </w:p>
    <w:p w:rsidR="00545D1B" w:rsidRPr="00742A04" w:rsidRDefault="0041033B" w:rsidP="002C4922">
      <w:pPr>
        <w:pStyle w:val="SingleTxt"/>
        <w:rPr>
          <w:b/>
        </w:rPr>
      </w:pPr>
      <w:r w:rsidRPr="00742A04">
        <w:rPr>
          <w:b/>
        </w:rPr>
        <w:t>El Parlamento</w:t>
      </w:r>
      <w:r w:rsidR="00CB2022" w:rsidRPr="00742A04">
        <w:rPr>
          <w:b/>
        </w:rPr>
        <w:t xml:space="preserve"> Saami</w:t>
      </w:r>
    </w:p>
    <w:p w:rsidR="00545D1B" w:rsidRPr="00742A04" w:rsidRDefault="0041033B" w:rsidP="001C0056">
      <w:pPr>
        <w:pStyle w:val="SingleTxt"/>
        <w:ind w:firstLine="475"/>
      </w:pPr>
      <w:r w:rsidRPr="00742A04">
        <w:t>El Parlamento</w:t>
      </w:r>
      <w:r w:rsidR="00CB2022" w:rsidRPr="00742A04">
        <w:t xml:space="preserve"> Saami</w:t>
      </w:r>
      <w:r w:rsidR="00545D1B" w:rsidRPr="00742A04">
        <w:t xml:space="preserve"> </w:t>
      </w:r>
      <w:r w:rsidR="00BE1768" w:rsidRPr="00742A04">
        <w:t>se estableció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1989</w:t>
      </w:r>
      <w:r w:rsidR="002E5047" w:rsidRPr="00742A04">
        <w:t xml:space="preserve"> </w:t>
      </w:r>
      <w:r w:rsidR="00AC5D28" w:rsidRPr="00742A04">
        <w:t>y</w:t>
      </w:r>
      <w:r w:rsidR="002E5047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C5D28" w:rsidRPr="00742A04">
        <w:t>el órgano electivo</w:t>
      </w:r>
      <w:r w:rsidR="00545D1B" w:rsidRPr="00742A04">
        <w:t xml:space="preserve"> </w:t>
      </w:r>
      <w:r w:rsidR="00AC5D28" w:rsidRPr="00742A04">
        <w:t>del pueblo saami.</w:t>
      </w:r>
      <w:r w:rsidR="00545D1B" w:rsidRPr="00742A04">
        <w:t xml:space="preserve"> </w:t>
      </w:r>
      <w:r w:rsidR="00AC5D28" w:rsidRPr="00742A04">
        <w:t>Antes de</w:t>
      </w:r>
      <w:r w:rsidR="00545D1B" w:rsidRPr="00742A04">
        <w:t xml:space="preserve"> </w:t>
      </w:r>
      <w:r w:rsidR="00AC5D28" w:rsidRPr="00742A04">
        <w:t>la elección</w:t>
      </w:r>
      <w:r w:rsidR="00C14BFF" w:rsidRPr="00742A04">
        <w:t xml:space="preserve"> </w:t>
      </w:r>
      <w:r w:rsidR="004A0730" w:rsidRPr="00742A04">
        <w:t>de</w:t>
      </w:r>
      <w:r w:rsidR="00B05988" w:rsidRPr="00742A04">
        <w:t xml:space="preserve"> un nuevo</w:t>
      </w:r>
      <w:r w:rsidR="00545D1B" w:rsidRPr="00742A04">
        <w:t xml:space="preserve"> </w:t>
      </w:r>
      <w:r w:rsidR="00CB2022" w:rsidRPr="00742A04">
        <w:t>Parlamento Saami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2005, </w:t>
      </w:r>
      <w:r w:rsidR="007F6C30" w:rsidRPr="00742A04">
        <w:t xml:space="preserve">el </w:t>
      </w:r>
      <w:r w:rsidR="00CB2022" w:rsidRPr="00742A04">
        <w:t>Parlamento Saami</w:t>
      </w:r>
      <w:r w:rsidR="00545D1B" w:rsidRPr="00742A04">
        <w:t xml:space="preserve"> </w:t>
      </w:r>
      <w:r w:rsidR="00AC5D28" w:rsidRPr="00742A04">
        <w:t>entonces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C5D28" w:rsidRPr="00742A04">
        <w:t>funciones</w:t>
      </w:r>
      <w:r w:rsidR="00545D1B" w:rsidRPr="00742A04">
        <w:t xml:space="preserve"> </w:t>
      </w:r>
      <w:r w:rsidR="00AC5D28" w:rsidRPr="00742A04">
        <w:t>lanzó una campaña</w:t>
      </w:r>
      <w:r w:rsidR="00545D1B" w:rsidRPr="00742A04">
        <w:t xml:space="preserve"> </w:t>
      </w:r>
      <w:r w:rsidR="00AC5D28" w:rsidRPr="00742A04">
        <w:t>par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73E8E" w:rsidRPr="00742A04">
        <w:t>la proporción</w:t>
      </w:r>
      <w:r w:rsidR="00C14BFF" w:rsidRPr="00742A04">
        <w:t xml:space="preserve"> </w:t>
      </w:r>
      <w:r w:rsidR="00C076F2" w:rsidRPr="00742A04">
        <w:t xml:space="preserve">de </w:t>
      </w:r>
      <w:r w:rsidR="00A24287" w:rsidRPr="00742A04">
        <w:t>jóvenes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AC5D28" w:rsidRPr="00742A04">
        <w:t>en las listas de candidatos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7F6C30" w:rsidRPr="00742A04">
        <w:t xml:space="preserve">el </w:t>
      </w:r>
      <w:r w:rsidR="00CB2022" w:rsidRPr="00742A04">
        <w:t>Parlamento Saami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C5D28" w:rsidRPr="00742A04">
        <w:t>por esa vía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A71D42" w:rsidRPr="00742A04">
        <w:t xml:space="preserve">la </w:t>
      </w:r>
      <w:r w:rsidR="00AC5D28" w:rsidRPr="00742A04">
        <w:t>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F6C30" w:rsidRPr="00742A04">
        <w:t xml:space="preserve">el </w:t>
      </w:r>
      <w:r w:rsidR="00CB2022" w:rsidRPr="00742A04">
        <w:t>Parlamento Saami</w:t>
      </w:r>
      <w:r w:rsidR="00545D1B" w:rsidRPr="00742A04">
        <w:t xml:space="preserve">. </w:t>
      </w:r>
      <w:r w:rsidR="00AC5D28" w:rsidRPr="00742A04">
        <w:t>La</w:t>
      </w:r>
      <w:r w:rsidR="00545D1B" w:rsidRPr="00742A04">
        <w:t xml:space="preserve"> </w:t>
      </w:r>
      <w:r w:rsidR="0058540F" w:rsidRPr="00742A04">
        <w:t>campaña</w:t>
      </w:r>
      <w:r w:rsidR="00545D1B" w:rsidRPr="00742A04">
        <w:t xml:space="preserve"> </w:t>
      </w:r>
      <w:r w:rsidR="00AC5D28" w:rsidRPr="00742A04">
        <w:t>se dir</w:t>
      </w:r>
      <w:r w:rsidR="00AC5D28" w:rsidRPr="00742A04">
        <w:t>i</w:t>
      </w:r>
      <w:r w:rsidR="00AC5D28" w:rsidRPr="00742A04">
        <w:t>gía a hacer que quienes presentaran</w:t>
      </w:r>
      <w:r w:rsidR="00545D1B" w:rsidRPr="00742A04">
        <w:t xml:space="preserve"> </w:t>
      </w:r>
      <w:r w:rsidR="0028385C" w:rsidRPr="00742A04">
        <w:t>las listas</w:t>
      </w:r>
      <w:r w:rsidR="00545D1B" w:rsidRPr="00742A04">
        <w:t xml:space="preserve"> </w:t>
      </w:r>
      <w:r w:rsidR="00AC5D28" w:rsidRPr="00742A04">
        <w:t xml:space="preserve">fueran </w:t>
      </w:r>
      <w:r w:rsidR="004F2F8A" w:rsidRPr="00742A04">
        <w:t>responsables</w:t>
      </w:r>
      <w:r w:rsidR="00545D1B" w:rsidRPr="00742A04">
        <w:t xml:space="preserve"> </w:t>
      </w:r>
      <w:r w:rsidR="00AC5D28" w:rsidRPr="00742A04">
        <w:t>d</w:t>
      </w:r>
      <w:r w:rsidR="00E542AA" w:rsidRPr="00742A04">
        <w:t>el incr</w:t>
      </w:r>
      <w:r w:rsidR="00E542AA" w:rsidRPr="00742A04">
        <w:t>e</w:t>
      </w:r>
      <w:r w:rsidR="00E542AA" w:rsidRPr="00742A04">
        <w:t>mento de</w:t>
      </w:r>
      <w:r w:rsidR="00545D1B" w:rsidRPr="00742A04">
        <w:t xml:space="preserve"> </w:t>
      </w:r>
      <w:r w:rsidR="00AC5D28" w:rsidRPr="00742A04">
        <w:t>la</w:t>
      </w:r>
      <w:r w:rsidR="00545D1B" w:rsidRPr="00742A04">
        <w:t xml:space="preserve"> representa</w:t>
      </w:r>
      <w:r w:rsidR="00C14BFF" w:rsidRPr="00742A04">
        <w:t xml:space="preserve">ción </w:t>
      </w:r>
      <w:r w:rsidR="004D313C" w:rsidRPr="00742A04">
        <w:t>de las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F6C30" w:rsidRPr="00742A04">
        <w:t xml:space="preserve">el </w:t>
      </w:r>
      <w:r w:rsidR="00CB2022" w:rsidRPr="00742A04">
        <w:t>Parlamento Saami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C5D28" w:rsidRPr="00742A04">
        <w:t>la elección</w:t>
      </w:r>
      <w:r w:rsidR="00935A90" w:rsidRPr="00742A04">
        <w:t>,</w:t>
      </w:r>
      <w:r w:rsidR="00545D1B" w:rsidRPr="00742A04">
        <w:t xml:space="preserve"> </w:t>
      </w:r>
      <w:r w:rsidR="00CE7870" w:rsidRPr="00742A04">
        <w:t>contribuir a</w:t>
      </w:r>
      <w:r w:rsidR="00545D1B" w:rsidRPr="00742A04">
        <w:t xml:space="preserve"> motiva</w:t>
      </w:r>
      <w:r w:rsidR="00AC5D28" w:rsidRPr="00742A04">
        <w:t>r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AC5D28" w:rsidRPr="00742A04">
        <w:t>para</w:t>
      </w:r>
      <w:r w:rsidR="00545D1B" w:rsidRPr="00742A04">
        <w:t xml:space="preserve"> </w:t>
      </w:r>
      <w:r w:rsidR="00AC5D28" w:rsidRPr="00742A04">
        <w:t>ocupar</w:t>
      </w:r>
      <w:r w:rsidR="00545D1B" w:rsidRPr="00742A04">
        <w:t xml:space="preserve"> </w:t>
      </w:r>
      <w:r w:rsidR="00AC5D28" w:rsidRPr="00742A04">
        <w:t>el primer lugar</w:t>
      </w:r>
      <w:r w:rsidR="00545D1B" w:rsidRPr="00742A04">
        <w:t xml:space="preserve"> </w:t>
      </w:r>
      <w:r w:rsidR="00AC5D28" w:rsidRPr="00742A04">
        <w:t>en las listas de candidatos</w:t>
      </w:r>
      <w:r w:rsidR="00545D1B" w:rsidRPr="00742A04">
        <w:t xml:space="preserve"> </w:t>
      </w:r>
      <w:r w:rsidR="00877AA0" w:rsidRPr="00742A04">
        <w:t>y</w:t>
      </w:r>
      <w:r w:rsidR="00EA6AC2" w:rsidRPr="00742A04">
        <w:t xml:space="preserve"> pr</w:t>
      </w:r>
      <w:r w:rsidR="00EA6AC2" w:rsidRPr="00742A04">
        <w:t>o</w:t>
      </w:r>
      <w:r w:rsidR="00EA6AC2" w:rsidRPr="00742A04">
        <w:t xml:space="preserve">mover </w:t>
      </w:r>
      <w:r w:rsidR="00AC5D28" w:rsidRPr="00742A04">
        <w:t>la creación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C5D28" w:rsidRPr="00742A04">
        <w:t>redes de mujeres</w:t>
      </w:r>
      <w:r w:rsidR="00545D1B" w:rsidRPr="00742A04">
        <w:t>.</w:t>
      </w:r>
      <w:r w:rsidR="001167D2" w:rsidRPr="00742A04">
        <w:t xml:space="preserve"> </w:t>
      </w:r>
      <w:r w:rsidRPr="00742A04">
        <w:t>E</w:t>
      </w:r>
      <w:r w:rsidR="001167D2" w:rsidRPr="00742A04">
        <w:t xml:space="preserve">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93381" w:rsidRPr="00742A04">
        <w:t>Gobierno Local y Desarr</w:t>
      </w:r>
      <w:r w:rsidR="00C93381" w:rsidRPr="00742A04">
        <w:t>o</w:t>
      </w:r>
      <w:r w:rsidR="00C93381" w:rsidRPr="00742A04">
        <w:t>llo Regional</w:t>
      </w:r>
      <w:r w:rsidR="00545D1B" w:rsidRPr="00742A04">
        <w:t xml:space="preserve"> </w:t>
      </w:r>
      <w:r w:rsidR="000A5430" w:rsidRPr="00742A04">
        <w:t>contribu</w:t>
      </w:r>
      <w:r w:rsidR="00AC5D28" w:rsidRPr="00742A04">
        <w:t>yó a la</w:t>
      </w:r>
      <w:r w:rsidR="00545D1B" w:rsidRPr="00742A04">
        <w:t xml:space="preserve"> financi</w:t>
      </w:r>
      <w:r w:rsidR="00AC5D28" w:rsidRPr="00742A04">
        <w:t>ación de</w:t>
      </w:r>
      <w:r w:rsidR="00545D1B" w:rsidRPr="00742A04">
        <w:t xml:space="preserve"> </w:t>
      </w:r>
      <w:r w:rsidR="00AC5D28" w:rsidRPr="00742A04">
        <w:t>la campaña</w:t>
      </w:r>
      <w:r w:rsidR="00545D1B" w:rsidRPr="00742A04">
        <w:t xml:space="preserve">. </w:t>
      </w:r>
      <w:r w:rsidR="00F43124" w:rsidRPr="00742A04">
        <w:t>Esos</w:t>
      </w:r>
      <w:r w:rsidR="00502E16" w:rsidRPr="00742A04">
        <w:t xml:space="preserve"> esfuerzos</w:t>
      </w:r>
      <w:r w:rsidR="00545D1B" w:rsidRPr="00742A04">
        <w:t xml:space="preserve"> </w:t>
      </w:r>
      <w:r w:rsidR="00AC5D28" w:rsidRPr="00742A04">
        <w:t>tuvieron</w:t>
      </w:r>
      <w:r w:rsidR="00545D1B" w:rsidRPr="00742A04">
        <w:t xml:space="preserve"> </w:t>
      </w:r>
      <w:r w:rsidR="001C54BB" w:rsidRPr="00742A04">
        <w:t>muy</w:t>
      </w:r>
      <w:r w:rsidR="00545D1B" w:rsidRPr="00742A04">
        <w:t xml:space="preserve"> </w:t>
      </w:r>
      <w:r w:rsidR="0012381F">
        <w:t>bueno</w:t>
      </w:r>
      <w:r w:rsidR="005C19C7" w:rsidRPr="00742A04">
        <w:t>s</w:t>
      </w:r>
      <w:r w:rsidR="00545D1B" w:rsidRPr="00742A04">
        <w:t xml:space="preserve"> </w:t>
      </w:r>
      <w:r w:rsidR="004F2F8A" w:rsidRPr="00742A04">
        <w:t>resultados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AC5D28" w:rsidRPr="00742A04">
        <w:t>aumentó del</w:t>
      </w:r>
      <w:r w:rsidR="00545D1B" w:rsidRPr="00742A04">
        <w:t xml:space="preserve"> 18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2001 </w:t>
      </w:r>
      <w:r w:rsidR="0030626A" w:rsidRPr="00742A04">
        <w:t>a</w:t>
      </w:r>
      <w:r w:rsidR="00AC5D28" w:rsidRPr="00742A04">
        <w:t>l</w:t>
      </w:r>
      <w:r w:rsidR="00545D1B" w:rsidRPr="00742A04">
        <w:t xml:space="preserve"> 51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2005. </w:t>
      </w:r>
      <w:r w:rsidRPr="00742A04">
        <w:t>El Parlamento</w:t>
      </w:r>
      <w:r w:rsidR="00CB2022" w:rsidRPr="00742A04">
        <w:t xml:space="preserve"> Saami</w:t>
      </w:r>
      <w:r w:rsidR="00545D1B" w:rsidRPr="00742A04">
        <w:t xml:space="preserve"> </w:t>
      </w:r>
      <w:r w:rsidR="0012381F">
        <w:t xml:space="preserve">tiene </w:t>
      </w:r>
      <w:r w:rsidR="00E06311" w:rsidRPr="00742A04">
        <w:t>ahora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AC5D28" w:rsidRPr="00742A04">
        <w:t>por primera vez a una</w:t>
      </w:r>
      <w:r w:rsidR="00545D1B" w:rsidRPr="00742A04">
        <w:t xml:space="preserve"> </w:t>
      </w:r>
      <w:r w:rsidR="00AC5D28" w:rsidRPr="00742A04">
        <w:t>mujer c</w:t>
      </w:r>
      <w:r w:rsidR="00AC5D28" w:rsidRPr="00742A04">
        <w:t>o</w:t>
      </w:r>
      <w:r w:rsidR="00AC5D28" w:rsidRPr="00742A04">
        <w:t>mo</w:t>
      </w:r>
      <w:r w:rsidR="00545D1B" w:rsidRPr="00742A04">
        <w:t xml:space="preserve"> </w:t>
      </w:r>
      <w:r w:rsidR="00AC5D28" w:rsidRPr="00742A04">
        <w:t>presidente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7F6C30" w:rsidRPr="00742A04">
        <w:t xml:space="preserve">el </w:t>
      </w:r>
      <w:r w:rsidR="00CB2022" w:rsidRPr="00742A04">
        <w:t>Parlamento Saami</w:t>
      </w:r>
      <w:r w:rsidR="00545D1B" w:rsidRPr="00742A04">
        <w:t xml:space="preserve"> </w:t>
      </w:r>
      <w:r w:rsidR="0012381F">
        <w:t>ofrece</w:t>
      </w:r>
      <w:r w:rsidR="00AC5D28" w:rsidRPr="00742A04">
        <w:t xml:space="preserve"> planes</w:t>
      </w:r>
      <w:r w:rsidR="00545D1B" w:rsidRPr="00742A04">
        <w:t xml:space="preserve"> flexible</w:t>
      </w:r>
      <w:r w:rsidR="00AC5D28" w:rsidRPr="00742A04">
        <w:t>s de</w:t>
      </w:r>
      <w:r w:rsidR="00545D1B" w:rsidRPr="00742A04">
        <w:t xml:space="preserve"> </w:t>
      </w:r>
      <w:r w:rsidR="00AC5D28" w:rsidRPr="00742A04">
        <w:t>cuidado de los hijos</w:t>
      </w:r>
      <w:r w:rsidR="00545D1B" w:rsidRPr="00742A04">
        <w:t xml:space="preserve"> </w:t>
      </w:r>
      <w:r w:rsidR="00AC5D28" w:rsidRPr="00742A04">
        <w:t>para facilitar que las madres y los padres</w:t>
      </w:r>
      <w:r w:rsidR="0012381F">
        <w:t xml:space="preserve"> de</w:t>
      </w:r>
      <w:r w:rsidR="00AC5D28" w:rsidRPr="00742A04">
        <w:t xml:space="preserve"> hijos pequeños</w:t>
      </w:r>
      <w:r w:rsidR="00545D1B" w:rsidRPr="00742A04">
        <w:t xml:space="preserve"> </w:t>
      </w:r>
      <w:r w:rsidR="00AC5D28" w:rsidRPr="00742A04">
        <w:t>sean</w:t>
      </w:r>
      <w:r w:rsidR="00545D1B" w:rsidRPr="00742A04">
        <w:t xml:space="preserve"> </w:t>
      </w:r>
      <w:r w:rsidR="00AC5D28" w:rsidRPr="00742A04">
        <w:t>miembros</w:t>
      </w:r>
      <w:r w:rsidR="00545D1B" w:rsidRPr="00742A04">
        <w:t xml:space="preserve"> </w:t>
      </w:r>
      <w:r w:rsidR="004A0730" w:rsidRPr="00742A04">
        <w:t>de</w:t>
      </w:r>
      <w:r w:rsidR="00AC5D28" w:rsidRPr="00742A04">
        <w:t>l</w:t>
      </w:r>
      <w:r w:rsidR="00545D1B" w:rsidRPr="00742A04">
        <w:t xml:space="preserve"> </w:t>
      </w:r>
      <w:r w:rsidR="00BD47D3" w:rsidRPr="00742A04">
        <w:t>parlamento</w:t>
      </w:r>
      <w:r w:rsidR="00545D1B" w:rsidRPr="00742A04">
        <w:t xml:space="preserve">. </w:t>
      </w:r>
      <w:r w:rsidR="00AC5D28" w:rsidRPr="00742A04">
        <w:t>Los r</w:t>
      </w:r>
      <w:r w:rsidR="007A4A10" w:rsidRPr="00742A04">
        <w:t>epresentantes</w:t>
      </w:r>
      <w:r w:rsidR="00C07ED9" w:rsidRPr="00742A04">
        <w:t xml:space="preserve"> del </w:t>
      </w:r>
      <w:r w:rsidR="00CB2022" w:rsidRPr="00742A04">
        <w:t>Parlamento Saami</w:t>
      </w:r>
      <w:r w:rsidR="00545D1B" w:rsidRPr="00742A04">
        <w:t xml:space="preserve"> </w:t>
      </w:r>
      <w:r w:rsidR="00AC5D28" w:rsidRPr="00742A04">
        <w:t>pueden traer a</w:t>
      </w:r>
      <w:r w:rsidR="00545D1B" w:rsidRPr="00742A04">
        <w:t xml:space="preserve"> </w:t>
      </w:r>
      <w:r w:rsidR="005C6D40" w:rsidRPr="00742A04">
        <w:t>sus hijos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C5D28" w:rsidRPr="00742A04">
        <w:t>a quienes los cuidan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AC5D28" w:rsidRPr="00742A04">
        <w:t xml:space="preserve"> que se les reembolsen los gastos de</w:t>
      </w:r>
      <w:r w:rsidR="00545D1B" w:rsidRPr="00742A04">
        <w:t xml:space="preserve"> </w:t>
      </w:r>
      <w:r w:rsidR="00AC5D28" w:rsidRPr="00742A04">
        <w:t>cuidado de los hijos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A5364F" w:rsidRPr="00742A04">
        <w:t>febrero de</w:t>
      </w:r>
      <w:r w:rsidR="00545D1B" w:rsidRPr="00742A04">
        <w:t xml:space="preserve"> 2006</w:t>
      </w:r>
      <w:r w:rsidR="00AC5D28" w:rsidRPr="00742A04">
        <w:t>,</w:t>
      </w:r>
      <w:r w:rsidR="00545D1B" w:rsidRPr="00742A04">
        <w:t xml:space="preserve"> </w:t>
      </w:r>
      <w:r w:rsidR="007F6C30" w:rsidRPr="00742A04">
        <w:t xml:space="preserve">el </w:t>
      </w:r>
      <w:r w:rsidR="00AC5D28" w:rsidRPr="00742A04">
        <w:t xml:space="preserve">Consejo del </w:t>
      </w:r>
      <w:r w:rsidR="00CB2022" w:rsidRPr="00742A04">
        <w:t>Parlamento Saami</w:t>
      </w:r>
      <w:r w:rsidR="00545D1B" w:rsidRPr="00742A04">
        <w:t xml:space="preserve"> </w:t>
      </w:r>
      <w:r w:rsidR="00B31D97" w:rsidRPr="00742A04">
        <w:t>presentó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AC5D28" w:rsidRPr="00742A04">
        <w:t>cua</w:t>
      </w:r>
      <w:r w:rsidR="00AC5D28" w:rsidRPr="00742A04">
        <w:t>r</w:t>
      </w:r>
      <w:r w:rsidR="00AC5D28" w:rsidRPr="00742A04">
        <w:t>to</w:t>
      </w:r>
      <w:r w:rsidR="00545D1B" w:rsidRPr="00742A04">
        <w:t xml:space="preserve"> </w:t>
      </w:r>
      <w:r w:rsidR="00B31D97" w:rsidRPr="00742A04">
        <w:t>informe</w:t>
      </w:r>
      <w:r w:rsidR="00545D1B" w:rsidRPr="00742A04">
        <w:t xml:space="preserve"> </w:t>
      </w:r>
      <w:r w:rsidR="00AC5D28" w:rsidRPr="00742A04">
        <w:t>sobre</w:t>
      </w:r>
      <w:r w:rsidR="0077058E" w:rsidRPr="00742A04">
        <w:t xml:space="preserve"> </w:t>
      </w:r>
      <w:r w:rsidR="00AC5D28" w:rsidRPr="00742A04">
        <w:t>la política de igualdad de género</w:t>
      </w:r>
      <w:r w:rsidR="00E575DB" w:rsidRPr="00742A04">
        <w:t xml:space="preserve"> a</w:t>
      </w:r>
      <w:r w:rsidR="00AC5D28" w:rsidRPr="00742A04">
        <w:t xml:space="preserve"> la Asamblea Plenaria de</w:t>
      </w:r>
      <w:r w:rsidR="00E575DB" w:rsidRPr="00742A04">
        <w:t xml:space="preserve">l </w:t>
      </w:r>
      <w:r w:rsidR="00CB2022" w:rsidRPr="00742A04">
        <w:t>Parl</w:t>
      </w:r>
      <w:r w:rsidR="00CB2022" w:rsidRPr="00742A04">
        <w:t>a</w:t>
      </w:r>
      <w:r w:rsidR="00CB2022" w:rsidRPr="00742A04">
        <w:t>mento Saami</w:t>
      </w:r>
      <w:r w:rsidR="00545D1B" w:rsidRPr="00742A04">
        <w:t>.</w:t>
      </w:r>
    </w:p>
    <w:p w:rsidR="00545D1B" w:rsidRPr="00742A04" w:rsidRDefault="005E2D7A" w:rsidP="002C4922">
      <w:pPr>
        <w:pStyle w:val="SingleTxt"/>
        <w:rPr>
          <w:b/>
        </w:rPr>
      </w:pPr>
      <w:r w:rsidRPr="00742A04">
        <w:rPr>
          <w:b/>
        </w:rPr>
        <w:t>Los inmigrantes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545D1B" w:rsidRPr="00742A04">
        <w:rPr>
          <w:b/>
        </w:rPr>
        <w:t xml:space="preserve"> </w:t>
      </w:r>
      <w:r w:rsidR="00AC5D28" w:rsidRPr="00742A04">
        <w:rPr>
          <w:b/>
        </w:rPr>
        <w:t>la participación electoral</w:t>
      </w:r>
    </w:p>
    <w:p w:rsidR="00545D1B" w:rsidRPr="00742A04" w:rsidRDefault="00DD710E" w:rsidP="001C0056">
      <w:pPr>
        <w:pStyle w:val="SingleTxt"/>
        <w:ind w:firstLine="475"/>
      </w:pPr>
      <w:r w:rsidRPr="00742A04">
        <w:t>A comienzos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2006, </w:t>
      </w:r>
      <w:r w:rsidR="0028385C" w:rsidRPr="00742A04">
        <w:t>había</w:t>
      </w:r>
      <w:r w:rsidR="00545D1B" w:rsidRPr="00742A04">
        <w:t xml:space="preserve"> 387</w:t>
      </w:r>
      <w:r w:rsidR="00E575DB" w:rsidRPr="00742A04">
        <w:t>.000</w:t>
      </w:r>
      <w:r w:rsidR="00545D1B" w:rsidRPr="00742A04">
        <w:t xml:space="preserve"> </w:t>
      </w:r>
      <w:r w:rsidR="00B82A08" w:rsidRPr="00742A04">
        <w:t>personas</w:t>
      </w:r>
      <w:r w:rsidR="00545D1B" w:rsidRPr="00742A04">
        <w:t xml:space="preserve"> </w:t>
      </w:r>
      <w:r w:rsidRPr="00742A04">
        <w:t>de origen inmigratorio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</w:t>
      </w:r>
      <w:r w:rsidR="00EA26AB" w:rsidRPr="00742A04">
        <w:t>o</w:t>
      </w:r>
      <w:r w:rsidR="00EA26AB" w:rsidRPr="00742A04">
        <w:t>ruega</w:t>
      </w:r>
      <w:r w:rsidR="00545D1B" w:rsidRPr="00742A04">
        <w:t xml:space="preserve">, </w:t>
      </w:r>
      <w:r w:rsidRPr="00742A04">
        <w:t>lo cual equivale</w:t>
      </w:r>
      <w:r w:rsidR="00545D1B" w:rsidRPr="00742A04">
        <w:t xml:space="preserve"> </w:t>
      </w:r>
      <w:r w:rsidR="0030626A" w:rsidRPr="00742A04">
        <w:t>a</w:t>
      </w:r>
      <w:r w:rsidRPr="00742A04">
        <w:t>l 8,</w:t>
      </w:r>
      <w:r w:rsidR="00545D1B" w:rsidRPr="00742A04">
        <w:t>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 población</w:t>
      </w:r>
      <w:r w:rsidR="00C27C42" w:rsidRPr="00742A04">
        <w:t>.</w:t>
      </w:r>
      <w:r w:rsidR="00545D1B" w:rsidRPr="00742A04">
        <w:t xml:space="preserve"> </w:t>
      </w:r>
      <w:r w:rsidRPr="00742A04">
        <w:t>La población de origen inmigratorio</w:t>
      </w:r>
      <w:r w:rsidR="00C14BFF" w:rsidRPr="00742A04">
        <w:t xml:space="preserve"> </w:t>
      </w:r>
      <w:r w:rsidRPr="00742A04">
        <w:t>aumentó un 6,</w:t>
      </w:r>
      <w:r w:rsidR="00545D1B" w:rsidRPr="00742A04">
        <w:t>0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2005. </w:t>
      </w:r>
      <w:r w:rsidR="004A0730" w:rsidRPr="00742A04">
        <w:t>En</w:t>
      </w:r>
      <w:r w:rsidR="00545D1B" w:rsidRPr="00742A04">
        <w:t xml:space="preserve"> </w:t>
      </w:r>
      <w:r w:rsidRPr="00742A04">
        <w:t>comparación</w:t>
      </w:r>
      <w:r w:rsidR="00545D1B" w:rsidRPr="00742A04">
        <w:t xml:space="preserve">, </w:t>
      </w:r>
      <w:r w:rsidRPr="00742A04">
        <w:t>la población total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Pr="00742A04">
        <w:t>aumentó un 0,</w:t>
      </w:r>
      <w:r w:rsidR="00545D1B" w:rsidRPr="00742A04">
        <w:t>73</w:t>
      </w:r>
      <w:r w:rsidR="001167D2" w:rsidRPr="00742A04">
        <w:t>%</w:t>
      </w:r>
      <w:r w:rsidR="00545D1B" w:rsidRPr="00742A04">
        <w:t xml:space="preserve"> </w:t>
      </w:r>
      <w:r w:rsidR="00EF5B12">
        <w:t>el último</w:t>
      </w:r>
      <w:r w:rsidR="00545D1B" w:rsidRPr="00742A04">
        <w:t xml:space="preserve"> </w:t>
      </w:r>
      <w:r w:rsidR="004D313C" w:rsidRPr="00742A04">
        <w:t>año</w:t>
      </w:r>
      <w:r w:rsidR="00545D1B" w:rsidRPr="00742A04">
        <w:t xml:space="preserve">. </w:t>
      </w:r>
      <w:r w:rsidR="00AE29D3" w:rsidRPr="00742A04">
        <w:t>El 6,</w:t>
      </w:r>
      <w:r w:rsidR="00545D1B" w:rsidRPr="00742A04">
        <w:t>1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E29D3" w:rsidRPr="00742A04">
        <w:t>la población de Noruega</w:t>
      </w:r>
      <w:r w:rsidR="00C14BFF" w:rsidRPr="00742A04">
        <w:t xml:space="preserve"> </w:t>
      </w:r>
      <w:r w:rsidR="00AE29D3" w:rsidRPr="00742A04">
        <w:t>es de origen inmigrat</w:t>
      </w:r>
      <w:r w:rsidR="00AE29D3" w:rsidRPr="00742A04">
        <w:t>o</w:t>
      </w:r>
      <w:r w:rsidR="00AE29D3" w:rsidRPr="00742A04">
        <w:t>rio no occidental</w:t>
      </w:r>
      <w:r w:rsidR="00545D1B" w:rsidRPr="00742A04">
        <w:t xml:space="preserve">, </w:t>
      </w:r>
      <w:r w:rsidR="00AE29D3" w:rsidRPr="00742A04">
        <w:t>mientras que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AE29D3" w:rsidRPr="00742A04">
        <w:t>de origen inmigratorio occidental</w:t>
      </w:r>
      <w:r w:rsidR="00545D1B" w:rsidRPr="00742A04">
        <w:t xml:space="preserve"> </w:t>
      </w:r>
      <w:r w:rsidR="00AE29D3" w:rsidRPr="00742A04">
        <w:t>repr</w:t>
      </w:r>
      <w:r w:rsidR="00AE29D3" w:rsidRPr="00742A04">
        <w:t>e</w:t>
      </w:r>
      <w:r w:rsidR="00AE29D3" w:rsidRPr="00742A04">
        <w:t>sentan el</w:t>
      </w:r>
      <w:r w:rsidR="00545D1B" w:rsidRPr="00742A04">
        <w:t xml:space="preserve"> 2</w:t>
      </w:r>
      <w:r w:rsidR="00AE29D3" w:rsidRPr="00742A04">
        <w:t>,</w:t>
      </w:r>
      <w:r w:rsidR="00545D1B" w:rsidRPr="00742A04">
        <w:t>2</w:t>
      </w:r>
      <w:r w:rsidR="001167D2" w:rsidRPr="00742A04">
        <w:t>%</w:t>
      </w:r>
      <w:r w:rsidR="00545D1B" w:rsidRPr="00742A04">
        <w:t xml:space="preserve">. </w:t>
      </w:r>
      <w:r w:rsidR="00AE29D3" w:rsidRPr="00742A04">
        <w:t>Cinco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="00AE29D3" w:rsidRPr="00742A04">
        <w:t>atrás</w:t>
      </w:r>
      <w:r w:rsidR="00545D1B" w:rsidRPr="00742A04">
        <w:t xml:space="preserve">, </w:t>
      </w:r>
      <w:r w:rsidR="00AE29D3" w:rsidRPr="00742A04">
        <w:t>a</w:t>
      </w:r>
      <w:r w:rsidRPr="00742A04">
        <w:t xml:space="preserve"> comienzos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2001, </w:t>
      </w:r>
      <w:r w:rsidRPr="00742A04">
        <w:t>la población de origen inm</w:t>
      </w:r>
      <w:r w:rsidRPr="00742A04">
        <w:t>i</w:t>
      </w:r>
      <w:r w:rsidRPr="00742A04">
        <w:t>gratorio</w:t>
      </w:r>
      <w:r w:rsidR="00C14BFF" w:rsidRPr="00742A04">
        <w:t xml:space="preserve"> </w:t>
      </w:r>
      <w:r w:rsidR="00AE29D3" w:rsidRPr="00742A04">
        <w:t>representaba el</w:t>
      </w:r>
      <w:r w:rsidR="00545D1B" w:rsidRPr="00742A04">
        <w:t xml:space="preserve"> 6</w:t>
      </w:r>
      <w:r w:rsidR="00AE29D3" w:rsidRPr="00742A04">
        <w:t>,</w:t>
      </w:r>
      <w:r w:rsidR="00545D1B" w:rsidRPr="00742A04">
        <w:t>6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E29D3" w:rsidRPr="00742A04">
        <w:t>la población de Noruega</w:t>
      </w:r>
      <w:r w:rsidR="00545D1B" w:rsidRPr="00742A04">
        <w:t xml:space="preserve">; </w:t>
      </w:r>
      <w:r w:rsidR="00AE29D3" w:rsidRPr="00742A04">
        <w:t xml:space="preserve">el </w:t>
      </w:r>
      <w:r w:rsidR="00545D1B" w:rsidRPr="00742A04">
        <w:t>2</w:t>
      </w:r>
      <w:r w:rsidR="00AE29D3" w:rsidRPr="00742A04">
        <w:t>,</w:t>
      </w:r>
      <w:r w:rsidR="00545D1B" w:rsidRPr="00742A04">
        <w:t>1</w:t>
      </w:r>
      <w:r w:rsidR="001167D2" w:rsidRPr="00742A04">
        <w:t>%</w:t>
      </w:r>
      <w:r w:rsidR="00545D1B" w:rsidRPr="00742A04">
        <w:t xml:space="preserve"> </w:t>
      </w:r>
      <w:r w:rsidR="00AE29D3" w:rsidRPr="00742A04">
        <w:t>era de origen o</w:t>
      </w:r>
      <w:r w:rsidR="00AE29D3" w:rsidRPr="00742A04">
        <w:t>c</w:t>
      </w:r>
      <w:r w:rsidR="00AE29D3" w:rsidRPr="00742A04">
        <w:t>cidental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E29D3" w:rsidRPr="00742A04">
        <w:t xml:space="preserve">el </w:t>
      </w:r>
      <w:r w:rsidR="00545D1B" w:rsidRPr="00742A04">
        <w:t>4</w:t>
      </w:r>
      <w:r w:rsidR="00AE29D3" w:rsidRPr="00742A04">
        <w:t>,</w:t>
      </w:r>
      <w:r w:rsidR="00545D1B" w:rsidRPr="00742A04">
        <w:t>5</w:t>
      </w:r>
      <w:r w:rsidR="001167D2" w:rsidRPr="00742A04">
        <w:t>%</w:t>
      </w:r>
      <w:r w:rsidR="00545D1B" w:rsidRPr="00742A04">
        <w:t xml:space="preserve"> </w:t>
      </w:r>
      <w:r w:rsidR="00AE29D3" w:rsidRPr="00742A04">
        <w:t>de origen no occidental</w:t>
      </w:r>
      <w:r w:rsidR="00545D1B" w:rsidRPr="00742A04">
        <w:t xml:space="preserve">. </w:t>
      </w:r>
      <w:r w:rsidR="00B82A08" w:rsidRPr="00742A04">
        <w:t>Las personas</w:t>
      </w:r>
      <w:r w:rsidR="00545D1B" w:rsidRPr="00742A04">
        <w:t xml:space="preserve"> </w:t>
      </w:r>
      <w:r w:rsidRPr="00742A04">
        <w:t>de origen inmigratorio</w:t>
      </w:r>
      <w:r w:rsidR="00545D1B" w:rsidRPr="00742A04">
        <w:t xml:space="preserve"> </w:t>
      </w:r>
      <w:r w:rsidR="00AE29D3" w:rsidRPr="00742A04">
        <w:t>v</w:t>
      </w:r>
      <w:r w:rsidR="00AE29D3" w:rsidRPr="00742A04">
        <w:t>i</w:t>
      </w:r>
      <w:r w:rsidR="00AE29D3" w:rsidRPr="00742A04">
        <w:t>ven en todas las</w:t>
      </w:r>
      <w:r w:rsidR="00545D1B" w:rsidRPr="00742A04">
        <w:t xml:space="preserve"> municipal</w:t>
      </w:r>
      <w:r w:rsidR="00502E16" w:rsidRPr="00742A04">
        <w:t>idad</w:t>
      </w:r>
      <w:r w:rsidR="00AE29D3" w:rsidRPr="00742A04">
        <w:t>es</w:t>
      </w:r>
      <w:r w:rsidR="00545D1B" w:rsidRPr="00742A04">
        <w:t xml:space="preserve"> </w:t>
      </w:r>
      <w:r w:rsidR="00AE29D3" w:rsidRPr="00742A04">
        <w:t>d</w:t>
      </w:r>
      <w:r w:rsidR="00C14BFF" w:rsidRPr="00742A04">
        <w:t>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constitu</w:t>
      </w:r>
      <w:r w:rsidR="00AE29D3" w:rsidRPr="00742A04">
        <w:t>yen</w:t>
      </w:r>
      <w:r w:rsidR="00545D1B" w:rsidRPr="00742A04">
        <w:t xml:space="preserve"> </w:t>
      </w:r>
      <w:r w:rsidR="00E575DB" w:rsidRPr="00742A04">
        <w:t>más de</w:t>
      </w:r>
      <w:r w:rsidR="00AE29D3" w:rsidRPr="00742A04">
        <w:t>l</w:t>
      </w:r>
      <w:r w:rsidR="00545D1B" w:rsidRPr="00742A04">
        <w:t xml:space="preserve"> 10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 p</w:t>
      </w:r>
      <w:r w:rsidRPr="00742A04">
        <w:t>o</w:t>
      </w:r>
      <w:r w:rsidRPr="00742A04">
        <w:t>blación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14</w:t>
      </w:r>
      <w:r w:rsidR="00AE29D3" w:rsidRPr="00742A04">
        <w:t> de</w:t>
      </w:r>
      <w:r w:rsidR="00545D1B" w:rsidRPr="00742A04">
        <w:t xml:space="preserve"> </w:t>
      </w:r>
      <w:r w:rsidR="00F43124" w:rsidRPr="00742A04">
        <w:t>las municipalidades</w:t>
      </w:r>
      <w:r w:rsidR="00545D1B" w:rsidRPr="00742A04">
        <w:t xml:space="preserve">. Oslo, </w:t>
      </w:r>
      <w:r w:rsidR="00AE29D3" w:rsidRPr="00742A04">
        <w:t>la capital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, </w:t>
      </w:r>
      <w:r w:rsidR="00AE29D3" w:rsidRPr="00742A04">
        <w:t>tiene la mayor</w:t>
      </w:r>
      <w:r w:rsidR="00545D1B" w:rsidRPr="00742A04">
        <w:t xml:space="preserve"> propor</w:t>
      </w:r>
      <w:r w:rsidR="00C14BFF" w:rsidRPr="00742A04">
        <w:t xml:space="preserve">ción </w:t>
      </w:r>
      <w:r w:rsidR="004A0730" w:rsidRPr="00742A04">
        <w:t>de</w:t>
      </w:r>
      <w:r w:rsidR="00B82A08" w:rsidRPr="00742A04">
        <w:t xml:space="preserve"> personas</w:t>
      </w:r>
      <w:r w:rsidR="00545D1B" w:rsidRPr="00742A04">
        <w:t xml:space="preserve"> </w:t>
      </w:r>
      <w:r w:rsidRPr="00742A04">
        <w:t>de origen i</w:t>
      </w:r>
      <w:r w:rsidRPr="00742A04">
        <w:t>n</w:t>
      </w:r>
      <w:r w:rsidRPr="00742A04">
        <w:t>migratorio</w:t>
      </w:r>
      <w:r w:rsidR="00545D1B" w:rsidRPr="00742A04">
        <w:t xml:space="preserve">, </w:t>
      </w:r>
      <w:r w:rsidR="00AE29D3" w:rsidRPr="00742A04">
        <w:t xml:space="preserve">el </w:t>
      </w:r>
      <w:r w:rsidR="00545D1B" w:rsidRPr="00742A04">
        <w:t>23</w:t>
      </w:r>
      <w:r w:rsidR="001167D2" w:rsidRPr="00742A04">
        <w:t>%</w:t>
      </w:r>
      <w:r w:rsidR="00545D1B" w:rsidRPr="00742A04">
        <w:t>.</w:t>
      </w:r>
    </w:p>
    <w:p w:rsidR="00545D1B" w:rsidRPr="00742A04" w:rsidRDefault="004A0730" w:rsidP="001C0056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AE29D3" w:rsidRPr="00742A04">
        <w:t>las elecciones locales de 2003</w:t>
      </w:r>
      <w:r w:rsidR="00545D1B" w:rsidRPr="00742A04">
        <w:t xml:space="preserve">, </w:t>
      </w:r>
      <w:r w:rsidR="001D532F" w:rsidRPr="00742A04">
        <w:t>la tasa total de participación electoral</w:t>
      </w:r>
      <w:r w:rsidR="00545D1B" w:rsidRPr="00742A04">
        <w:t xml:space="preserve"> </w:t>
      </w:r>
      <w:r w:rsidR="001D532F" w:rsidRPr="00742A04">
        <w:t>de</w:t>
      </w:r>
      <w:r w:rsidR="00545D1B" w:rsidRPr="00742A04">
        <w:t xml:space="preserve"> </w:t>
      </w:r>
      <w:r w:rsidR="005E2D7A" w:rsidRPr="00742A04">
        <w:t>los inmigrantes</w:t>
      </w:r>
      <w:r w:rsidR="00545D1B" w:rsidRPr="00742A04">
        <w:t xml:space="preserve"> (</w:t>
      </w:r>
      <w:r w:rsidR="001D532F" w:rsidRPr="00742A04">
        <w:t>nacionales de países extranjeros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D532F" w:rsidRPr="00742A04">
        <w:t>nacionales de Noruega</w:t>
      </w:r>
      <w:r w:rsidR="00545D1B" w:rsidRPr="00742A04">
        <w:t xml:space="preserve"> </w:t>
      </w:r>
      <w:r w:rsidR="001D532F" w:rsidRPr="00742A04">
        <w:t>de origen e</w:t>
      </w:r>
      <w:r w:rsidR="001D532F" w:rsidRPr="00742A04">
        <w:t>x</w:t>
      </w:r>
      <w:r w:rsidR="001D532F" w:rsidRPr="00742A04">
        <w:t>tranjero</w:t>
      </w:r>
      <w:r w:rsidR="00545D1B" w:rsidRPr="00742A04">
        <w:t xml:space="preserve">) </w:t>
      </w:r>
      <w:r w:rsidR="001D532F" w:rsidRPr="00742A04">
        <w:t>fue del</w:t>
      </w:r>
      <w:r w:rsidR="00545D1B" w:rsidRPr="00742A04">
        <w:t xml:space="preserve"> 41</w:t>
      </w:r>
      <w:r w:rsidR="001167D2" w:rsidRPr="00742A04">
        <w:t>%</w:t>
      </w:r>
      <w:r w:rsidR="00545D1B" w:rsidRPr="00742A04">
        <w:t xml:space="preserve">. </w:t>
      </w:r>
      <w:r w:rsidR="001D532F" w:rsidRPr="00742A04">
        <w:t>Ello representa</w:t>
      </w:r>
      <w:r w:rsidR="00545D1B" w:rsidRPr="00742A04">
        <w:t xml:space="preserve"> </w:t>
      </w:r>
      <w:r w:rsidR="001D532F" w:rsidRPr="00742A04">
        <w:t>una disminución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2 </w:t>
      </w:r>
      <w:r w:rsidR="001D532F" w:rsidRPr="00742A04">
        <w:t>puntos</w:t>
      </w:r>
      <w:r w:rsidR="001F6F1A" w:rsidRPr="00742A04">
        <w:t xml:space="preserve"> porcentuales</w:t>
      </w:r>
      <w:r w:rsidR="00545D1B" w:rsidRPr="00742A04">
        <w:t xml:space="preserve"> </w:t>
      </w:r>
      <w:r w:rsidR="001D532F" w:rsidRPr="00742A04">
        <w:t xml:space="preserve">respecto </w:t>
      </w:r>
      <w:r w:rsidR="008F0C8E" w:rsidRPr="00742A04">
        <w:t>de</w:t>
      </w:r>
      <w:r w:rsidR="00545D1B" w:rsidRPr="00742A04">
        <w:t xml:space="preserve"> </w:t>
      </w:r>
      <w:r w:rsidR="001D532F" w:rsidRPr="00742A04">
        <w:t>las elecciones locales de 1999</w:t>
      </w:r>
      <w:r w:rsidR="00545D1B" w:rsidRPr="00742A04">
        <w:t xml:space="preserve">. </w:t>
      </w:r>
      <w:r w:rsidR="001D532F" w:rsidRPr="00742A04">
        <w:t>La disminución</w:t>
      </w:r>
      <w:r w:rsidR="00545D1B" w:rsidRPr="00742A04">
        <w:t xml:space="preserve"> </w:t>
      </w:r>
      <w:r w:rsidR="001D532F" w:rsidRPr="00742A04">
        <w:t>puede deberse</w:t>
      </w:r>
      <w:r w:rsidR="00545D1B" w:rsidRPr="00742A04">
        <w:t xml:space="preserve"> </w:t>
      </w:r>
      <w:r w:rsidR="00BC2FBE" w:rsidRPr="00742A04">
        <w:t>en gran medida</w:t>
      </w:r>
      <w:r w:rsidR="00545D1B" w:rsidRPr="00742A04">
        <w:t xml:space="preserve"> </w:t>
      </w:r>
      <w:r w:rsidR="001D532F" w:rsidRPr="00742A04">
        <w:t>a que</w:t>
      </w:r>
      <w:r w:rsidR="00545D1B" w:rsidRPr="00742A04">
        <w:t xml:space="preserve"> </w:t>
      </w:r>
      <w:r w:rsidR="001D532F" w:rsidRPr="00742A04">
        <w:t xml:space="preserve">la proporción de jóvenes en la población </w:t>
      </w:r>
      <w:r w:rsidR="00313439">
        <w:t xml:space="preserve">de origen </w:t>
      </w:r>
      <w:r w:rsidR="001D532F" w:rsidRPr="00742A04">
        <w:t>inmigra</w:t>
      </w:r>
      <w:r w:rsidR="00313439">
        <w:t>torio</w:t>
      </w:r>
      <w:r w:rsidR="001D532F" w:rsidRPr="00742A04">
        <w:t xml:space="preserve"> es c</w:t>
      </w:r>
      <w:r w:rsidR="001D532F" w:rsidRPr="00742A04">
        <w:t>a</w:t>
      </w:r>
      <w:r w:rsidR="001D532F" w:rsidRPr="00742A04">
        <w:t>da vez mayor</w:t>
      </w:r>
      <w:r w:rsidR="00C27C42" w:rsidRPr="00742A04">
        <w:t>.</w:t>
      </w:r>
    </w:p>
    <w:p w:rsidR="00545D1B" w:rsidRPr="00742A04" w:rsidRDefault="001D532F" w:rsidP="001C0056">
      <w:pPr>
        <w:pStyle w:val="SingleTxt"/>
        <w:ind w:firstLine="475"/>
      </w:pPr>
      <w:r w:rsidRPr="00742A04">
        <w:t>Entre</w:t>
      </w:r>
      <w:r w:rsidR="00545D1B" w:rsidRPr="00742A04">
        <w:t xml:space="preserve"> </w:t>
      </w:r>
      <w:r w:rsidRPr="00742A04">
        <w:t>los nacionales de Noruega</w:t>
      </w:r>
      <w:r w:rsidR="00545D1B" w:rsidRPr="00742A04">
        <w:t xml:space="preserve"> </w:t>
      </w:r>
      <w:r w:rsidR="00DD710E" w:rsidRPr="00742A04">
        <w:t>de origen inmigratorio</w:t>
      </w:r>
      <w:r w:rsidR="00545D1B" w:rsidRPr="00742A04">
        <w:t xml:space="preserve">, </w:t>
      </w:r>
      <w:r w:rsidRPr="00742A04">
        <w:t>no hay diferencias</w:t>
      </w:r>
      <w:r w:rsidR="00545D1B" w:rsidRPr="00742A04">
        <w:t xml:space="preserve"> </w:t>
      </w:r>
      <w:r w:rsidR="007D66F2" w:rsidRPr="00742A04">
        <w:t>e</w:t>
      </w:r>
      <w:r w:rsidR="007D66F2" w:rsidRPr="00742A04">
        <w:t>n</w:t>
      </w:r>
      <w:r w:rsidR="007D66F2" w:rsidRPr="00742A04">
        <w:t>tre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F43124" w:rsidRPr="00742A04">
        <w:t>en lo tocante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la participación electoral</w:t>
      </w:r>
      <w:r w:rsidR="00C27C42" w:rsidRPr="00742A04">
        <w:t>.</w:t>
      </w:r>
      <w:r w:rsidR="00545D1B" w:rsidRPr="00742A04">
        <w:t xml:space="preserve"> </w:t>
      </w:r>
      <w:r w:rsidR="004A0730" w:rsidRPr="00742A04">
        <w:t>En</w:t>
      </w:r>
      <w:r w:rsidR="00545D1B" w:rsidRPr="00742A04">
        <w:t xml:space="preserve"> </w:t>
      </w:r>
      <w:r w:rsidR="006A0F02" w:rsidRPr="00742A04">
        <w:t>elecciones ant</w:t>
      </w:r>
      <w:r w:rsidR="006A0F02" w:rsidRPr="00742A04">
        <w:t>e</w:t>
      </w:r>
      <w:r w:rsidR="006A0F02" w:rsidRPr="00742A04">
        <w:t>riores</w:t>
      </w:r>
      <w:r w:rsidR="00545D1B" w:rsidRPr="00742A04">
        <w:t xml:space="preserve">, </w:t>
      </w:r>
      <w:r w:rsidRPr="00742A04">
        <w:t>la participación electoral</w:t>
      </w:r>
      <w:r w:rsidR="00C14BFF" w:rsidRPr="00742A04">
        <w:t xml:space="preserve"> </w:t>
      </w:r>
      <w:r w:rsidR="006A0F02" w:rsidRPr="00742A04">
        <w:t>de las mujeres d</w:t>
      </w:r>
      <w:r w:rsidR="00C14BFF" w:rsidRPr="00742A04">
        <w:t>e</w:t>
      </w:r>
      <w:r w:rsidR="00545D1B" w:rsidRPr="00742A04">
        <w:t xml:space="preserve"> </w:t>
      </w:r>
      <w:r w:rsidR="00116976" w:rsidRPr="00742A04">
        <w:t>este grupo</w:t>
      </w:r>
      <w:r w:rsidR="00545D1B" w:rsidRPr="00742A04">
        <w:t xml:space="preserve"> </w:t>
      </w:r>
      <w:r w:rsidR="006D7D2F" w:rsidRPr="00742A04">
        <w:t>ha</w:t>
      </w:r>
      <w:r w:rsidR="006A0F02" w:rsidRPr="00742A04">
        <w:t>bía</w:t>
      </w:r>
      <w:r w:rsidR="006D7D2F" w:rsidRPr="00742A04">
        <w:t xml:space="preserve"> sido</w:t>
      </w:r>
      <w:r w:rsidR="00545D1B" w:rsidRPr="00742A04">
        <w:t xml:space="preserve"> </w:t>
      </w:r>
      <w:r w:rsidR="006A0F02" w:rsidRPr="00742A04">
        <w:t>levemente superior</w:t>
      </w:r>
      <w:r w:rsidR="00545D1B" w:rsidRPr="00742A04">
        <w:t xml:space="preserve"> </w:t>
      </w:r>
      <w:r w:rsidR="006A0F02" w:rsidRPr="00742A04">
        <w:t>a la d</w:t>
      </w:r>
      <w:r w:rsidR="0081178E" w:rsidRPr="00742A04">
        <w:t>e los hombres</w:t>
      </w:r>
      <w:r w:rsidR="00545D1B" w:rsidRPr="00742A04">
        <w:t xml:space="preserve">. </w:t>
      </w:r>
      <w:r w:rsidR="006A0F02" w:rsidRPr="00742A04">
        <w:t>La</w:t>
      </w:r>
      <w:r w:rsidR="00545D1B" w:rsidRPr="00742A04">
        <w:t xml:space="preserve"> </w:t>
      </w:r>
      <w:r w:rsidR="00964178" w:rsidRPr="00742A04">
        <w:t>principal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 participación electoral</w:t>
      </w:r>
      <w:r w:rsidR="00C14BFF" w:rsidRPr="00742A04">
        <w:t xml:space="preserve"> en</w:t>
      </w:r>
      <w:r w:rsidR="00545D1B" w:rsidRPr="00742A04">
        <w:t xml:space="preserve"> </w:t>
      </w:r>
      <w:r w:rsidR="00116976" w:rsidRPr="00742A04">
        <w:t>este grupo</w:t>
      </w:r>
      <w:r w:rsidR="00545D1B" w:rsidRPr="00742A04">
        <w:t xml:space="preserve"> </w:t>
      </w:r>
      <w:r w:rsidR="006A0F02" w:rsidRPr="00742A04">
        <w:t>no depende de</w:t>
      </w:r>
      <w:r w:rsidR="00072AD7" w:rsidRPr="00742A04">
        <w:t>l</w:t>
      </w:r>
      <w:r w:rsidR="006A0F02" w:rsidRPr="00742A04">
        <w:t xml:space="preserve"> sexo</w:t>
      </w:r>
      <w:r w:rsidR="00545D1B" w:rsidRPr="00742A04">
        <w:t xml:space="preserve">, </w:t>
      </w:r>
      <w:r w:rsidR="006A0F02" w:rsidRPr="00742A04">
        <w:t xml:space="preserve">sino de si se trata de personas de </w:t>
      </w:r>
      <w:r w:rsidRPr="00742A04">
        <w:t xml:space="preserve">origen </w:t>
      </w:r>
      <w:r w:rsidR="006A0F02" w:rsidRPr="00742A04">
        <w:t xml:space="preserve">occidental o </w:t>
      </w:r>
      <w:r w:rsidRPr="00742A04">
        <w:t>no occ</w:t>
      </w:r>
      <w:r w:rsidRPr="00742A04">
        <w:t>i</w:t>
      </w:r>
      <w:r w:rsidRPr="00742A04">
        <w:t>dental</w:t>
      </w:r>
      <w:r w:rsidR="00545D1B" w:rsidRPr="00742A04">
        <w:t>.</w:t>
      </w:r>
    </w:p>
    <w:p w:rsidR="00545D1B" w:rsidRPr="00742A04" w:rsidRDefault="001D532F" w:rsidP="001C0056">
      <w:pPr>
        <w:pStyle w:val="SingleTxt"/>
        <w:ind w:firstLine="475"/>
      </w:pPr>
      <w:r w:rsidRPr="00742A04">
        <w:t>Entre</w:t>
      </w:r>
      <w:r w:rsidR="00545D1B" w:rsidRPr="00742A04">
        <w:t xml:space="preserve"> </w:t>
      </w:r>
      <w:r w:rsidR="006A0F02" w:rsidRPr="00742A04">
        <w:t xml:space="preserve">los </w:t>
      </w:r>
      <w:r w:rsidRPr="00742A04">
        <w:t>nacionales de países extranjeros</w:t>
      </w:r>
      <w:r w:rsidR="00545D1B" w:rsidRPr="00742A04">
        <w:t xml:space="preserve">, </w:t>
      </w:r>
      <w:r w:rsidR="006A0F02" w:rsidRPr="00742A04">
        <w:t xml:space="preserve">el </w:t>
      </w:r>
      <w:r w:rsidR="00545D1B" w:rsidRPr="00742A04">
        <w:t>35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2F3238" w:rsidRPr="00742A04">
        <w:t>votó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A0F02" w:rsidRPr="00742A04">
        <w:t xml:space="preserve">las </w:t>
      </w:r>
      <w:r w:rsidR="00545D1B" w:rsidRPr="00742A04">
        <w:t>elec</w:t>
      </w:r>
      <w:r w:rsidR="008907B8" w:rsidRPr="00742A04">
        <w:t>ciones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6A0F02" w:rsidRPr="00742A04">
        <w:t xml:space="preserve">el </w:t>
      </w:r>
      <w:r w:rsidR="00545D1B" w:rsidRPr="00742A04">
        <w:t>33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A0F02" w:rsidRPr="00742A04">
        <w:t xml:space="preserve">los </w:t>
      </w:r>
      <w:r w:rsidR="00072AD7" w:rsidRPr="00742A04">
        <w:t>hombres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elec</w:t>
      </w:r>
      <w:r w:rsidR="008907B8" w:rsidRPr="00742A04">
        <w:t>ciones</w:t>
      </w:r>
      <w:r w:rsidR="006A0F02" w:rsidRPr="00742A04">
        <w:t xml:space="preserve"> anteriores</w:t>
      </w:r>
      <w:r w:rsidR="00545D1B" w:rsidRPr="00742A04">
        <w:t xml:space="preserve">, </w:t>
      </w:r>
      <w:r w:rsidR="00E542AA" w:rsidRPr="00742A04">
        <w:t xml:space="preserve">la </w:t>
      </w:r>
      <w:r w:rsidR="006A0F02" w:rsidRPr="00742A04">
        <w:t>tasa de participación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6D7D2F" w:rsidRPr="00742A04">
        <w:t>ha</w:t>
      </w:r>
      <w:r w:rsidR="006A0F02" w:rsidRPr="00742A04">
        <w:t>bía</w:t>
      </w:r>
      <w:r w:rsidR="006D7D2F" w:rsidRPr="00742A04">
        <w:t xml:space="preserve"> sido</w:t>
      </w:r>
      <w:r w:rsidR="00545D1B" w:rsidRPr="00742A04">
        <w:t xml:space="preserve"> </w:t>
      </w:r>
      <w:r w:rsidR="001A1CB5" w:rsidRPr="00742A04">
        <w:t>sustanci</w:t>
      </w:r>
      <w:r w:rsidR="00545D1B" w:rsidRPr="00742A04">
        <w:t>a</w:t>
      </w:r>
      <w:r w:rsidR="005F7B32" w:rsidRPr="00742A04">
        <w:t xml:space="preserve">lmente </w:t>
      </w:r>
      <w:r w:rsidR="006A0F02" w:rsidRPr="00742A04">
        <w:t>mayor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6A0F02" w:rsidRPr="00742A04">
        <w:t>la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A0F02" w:rsidRPr="00742A04">
        <w:t xml:space="preserve">los </w:t>
      </w:r>
      <w:r w:rsidR="00072AD7" w:rsidRPr="00742A04">
        <w:t>hombres</w:t>
      </w:r>
      <w:r w:rsidR="00545D1B" w:rsidRPr="00742A04">
        <w:t xml:space="preserve">. </w:t>
      </w:r>
      <w:r w:rsidR="006A0F02" w:rsidRPr="00742A04">
        <w:t>Ahora esa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 </w:t>
      </w:r>
      <w:r w:rsidR="006A0F02" w:rsidRPr="00742A04">
        <w:t>se ha reducido</w:t>
      </w:r>
      <w:r w:rsidR="00545D1B" w:rsidRPr="00742A04">
        <w:t xml:space="preserve">. </w:t>
      </w:r>
      <w:r w:rsidR="00811D75" w:rsidRPr="00742A04">
        <w:t>También e</w:t>
      </w:r>
      <w:r w:rsidR="004A0730" w:rsidRPr="00742A04">
        <w:t>n</w:t>
      </w:r>
      <w:r w:rsidR="00545D1B" w:rsidRPr="00742A04">
        <w:t xml:space="preserve"> </w:t>
      </w:r>
      <w:r w:rsidR="006A0F02" w:rsidRPr="00742A04">
        <w:t>la categoría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nacionales de países extranjeros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6A0F02" w:rsidRPr="00742A04">
        <w:t>derecho a voto</w:t>
      </w:r>
      <w:r w:rsidR="00545D1B" w:rsidRPr="00742A04">
        <w:t xml:space="preserve"> </w:t>
      </w:r>
      <w:r w:rsidR="00E542AA" w:rsidRPr="00742A04">
        <w:t xml:space="preserve">la </w:t>
      </w:r>
      <w:r w:rsidR="006A0F02" w:rsidRPr="00742A04">
        <w:t>tasa de participación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11D75" w:rsidRPr="00742A04">
        <w:t>las personas de</w:t>
      </w:r>
      <w:r w:rsidRPr="00742A04">
        <w:t xml:space="preserve"> origen occidental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5D2D07" w:rsidRPr="00742A04">
        <w:t>significativamente</w:t>
      </w:r>
      <w:r w:rsidR="00545D1B" w:rsidRPr="00742A04">
        <w:t xml:space="preserve"> </w:t>
      </w:r>
      <w:r w:rsidR="006A0F02" w:rsidRPr="00742A04">
        <w:t>mayor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811D75" w:rsidRPr="00742A04">
        <w:t>la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11D75" w:rsidRPr="00742A04">
        <w:t>las personas de</w:t>
      </w:r>
      <w:r w:rsidRPr="00742A04">
        <w:t xml:space="preserve"> origen no occidental</w:t>
      </w:r>
      <w:r w:rsidR="00545D1B" w:rsidRPr="00742A04">
        <w:t xml:space="preserve">. </w:t>
      </w:r>
      <w:r w:rsidR="00811D75" w:rsidRPr="00742A04">
        <w:t>Las diferencias de género</w:t>
      </w:r>
      <w:r w:rsidR="00545D1B" w:rsidRPr="00742A04">
        <w:t xml:space="preserve"> </w:t>
      </w:r>
      <w:r w:rsidR="00C07ED9" w:rsidRPr="00742A04">
        <w:t>dentro de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="00811D75" w:rsidRPr="00742A04">
        <w:t xml:space="preserve">uno </w:t>
      </w:r>
      <w:r w:rsidR="004A0730" w:rsidRPr="00742A04">
        <w:t>de</w:t>
      </w:r>
      <w:r w:rsidR="00545D1B" w:rsidRPr="00742A04">
        <w:t xml:space="preserve"> </w:t>
      </w:r>
      <w:r w:rsidR="00811D75" w:rsidRPr="00742A04">
        <w:t>esos</w:t>
      </w:r>
      <w:r w:rsidR="00545D1B" w:rsidRPr="00742A04">
        <w:t xml:space="preserve"> </w:t>
      </w:r>
      <w:r w:rsidR="0081178E" w:rsidRPr="00742A04">
        <w:t>grupos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marg</w:t>
      </w:r>
      <w:r w:rsidR="00545D1B" w:rsidRPr="00742A04">
        <w:t>i</w:t>
      </w:r>
      <w:r w:rsidR="00545D1B" w:rsidRPr="00742A04">
        <w:t>nal</w:t>
      </w:r>
      <w:r w:rsidR="00811D75" w:rsidRPr="00742A04">
        <w:t>es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811D75" w:rsidRPr="00742A04">
        <w:t>mayores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A0F02" w:rsidRPr="00742A04">
        <w:t>la categoría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nacionales de países extranjeros</w:t>
      </w:r>
      <w:r w:rsidR="00545D1B" w:rsidRPr="00742A04">
        <w:t xml:space="preserve"> </w:t>
      </w:r>
      <w:r w:rsidRPr="00742A04">
        <w:t>de or</w:t>
      </w:r>
      <w:r w:rsidRPr="00742A04">
        <w:t>i</w:t>
      </w:r>
      <w:r w:rsidRPr="00742A04">
        <w:t>gen no occidental</w:t>
      </w:r>
      <w:r w:rsidR="00545D1B" w:rsidRPr="00742A04">
        <w:t xml:space="preserve">, </w:t>
      </w:r>
      <w:r w:rsidR="00056EF1" w:rsidRPr="00742A04">
        <w:t xml:space="preserve">en </w:t>
      </w:r>
      <w:r w:rsidR="00811D75" w:rsidRPr="00742A04">
        <w:t>la cual el</w:t>
      </w:r>
      <w:r w:rsidR="00545D1B" w:rsidRPr="00742A04">
        <w:t xml:space="preserve"> 26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811D75" w:rsidRPr="00742A04">
        <w:t xml:space="preserve"> vota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11D75" w:rsidRPr="00742A04">
        <w:t xml:space="preserve">las </w:t>
      </w:r>
      <w:r w:rsidR="00545D1B" w:rsidRPr="00742A04">
        <w:t>elec</w:t>
      </w:r>
      <w:r w:rsidR="008907B8" w:rsidRPr="00742A04">
        <w:t>ciones</w:t>
      </w:r>
      <w:r w:rsidR="000971E8">
        <w:t>,</w:t>
      </w:r>
      <w:r w:rsidR="00545D1B" w:rsidRPr="00742A04">
        <w:t xml:space="preserve"> </w:t>
      </w:r>
      <w:r w:rsidR="00E73E8E" w:rsidRPr="00742A04">
        <w:t>en co</w:t>
      </w:r>
      <w:r w:rsidR="00E73E8E" w:rsidRPr="00742A04">
        <w:t>m</w:t>
      </w:r>
      <w:r w:rsidR="00E73E8E" w:rsidRPr="00742A04">
        <w:t>paración con</w:t>
      </w:r>
      <w:r w:rsidR="00545D1B" w:rsidRPr="00742A04">
        <w:t xml:space="preserve"> </w:t>
      </w:r>
      <w:r w:rsidR="00811D75" w:rsidRPr="00742A04">
        <w:t xml:space="preserve">el </w:t>
      </w:r>
      <w:r w:rsidR="00545D1B" w:rsidRPr="00742A04">
        <w:t>23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11D75" w:rsidRPr="00742A04">
        <w:t xml:space="preserve">los </w:t>
      </w:r>
      <w:r w:rsidR="00072AD7" w:rsidRPr="00742A04">
        <w:t>hombres</w:t>
      </w:r>
      <w:r w:rsidR="00545D1B" w:rsidRPr="00742A04">
        <w:t>.</w:t>
      </w:r>
    </w:p>
    <w:p w:rsidR="00B85C95" w:rsidRPr="00742A04" w:rsidRDefault="00B85C95" w:rsidP="00B85C95">
      <w:pPr>
        <w:pStyle w:val="H23"/>
        <w:spacing w:line="120" w:lineRule="exact"/>
        <w:ind w:left="1267"/>
        <w:rPr>
          <w:bCs/>
          <w:sz w:val="10"/>
        </w:rPr>
      </w:pPr>
      <w:bookmarkStart w:id="48" w:name="_Toc147129464"/>
      <w:bookmarkEnd w:id="44"/>
      <w:bookmarkEnd w:id="45"/>
      <w:bookmarkEnd w:id="46"/>
      <w:bookmarkEnd w:id="47"/>
    </w:p>
    <w:p w:rsidR="00B85C95" w:rsidRPr="00742A04" w:rsidRDefault="00814B5D" w:rsidP="00A71D42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B85C95" w:rsidRPr="00742A04">
        <w:rPr>
          <w:bCs/>
        </w:rPr>
        <w:t xml:space="preserve"> 7</w:t>
      </w:r>
      <w:r w:rsidR="00A71D42" w:rsidRPr="00742A04">
        <w:rPr>
          <w:bCs/>
        </w:rPr>
        <w:t xml:space="preserve"> </w:t>
      </w:r>
      <w:r w:rsidR="00B85C95" w:rsidRPr="00742A04">
        <w:rPr>
          <w:bCs/>
          <w:i/>
        </w:rPr>
        <w:t>b</w:t>
      </w:r>
    </w:p>
    <w:p w:rsidR="00545D1B" w:rsidRPr="00742A04" w:rsidRDefault="00A05847" w:rsidP="00A71D42">
      <w:pPr>
        <w:pStyle w:val="H23"/>
        <w:ind w:left="1267"/>
        <w:rPr>
          <w:bCs/>
        </w:rPr>
      </w:pPr>
      <w:r w:rsidRPr="00742A04">
        <w:rPr>
          <w:bCs/>
        </w:rPr>
        <w:t>Cargos públicos</w:t>
      </w:r>
      <w:bookmarkEnd w:id="48"/>
    </w:p>
    <w:p w:rsidR="00B85C95" w:rsidRPr="00742A04" w:rsidRDefault="00B85C95" w:rsidP="00B85C95">
      <w:pPr>
        <w:pStyle w:val="SingleTxt"/>
        <w:spacing w:after="0" w:line="120" w:lineRule="exact"/>
        <w:rPr>
          <w:sz w:val="10"/>
        </w:rPr>
      </w:pPr>
      <w:bookmarkStart w:id="49" w:name="_Toc131924676"/>
    </w:p>
    <w:p w:rsidR="000A08D8" w:rsidRPr="00742A04" w:rsidRDefault="0046110E" w:rsidP="001C0056">
      <w:pPr>
        <w:pStyle w:val="SingleTxt"/>
        <w:ind w:firstLine="475"/>
      </w:pPr>
      <w:r w:rsidRPr="00742A04">
        <w:t>Cabe remitirse al artículo</w:t>
      </w:r>
      <w:r w:rsidR="00545D1B" w:rsidRPr="00742A04">
        <w:t xml:space="preserve"> 11 </w:t>
      </w:r>
      <w:r w:rsidR="00545D1B" w:rsidRPr="00742A04">
        <w:rPr>
          <w:i/>
        </w:rPr>
        <w:t>b</w:t>
      </w:r>
      <w:r w:rsidR="00545D1B" w:rsidRPr="00742A04">
        <w:t xml:space="preserve"> </w:t>
      </w:r>
      <w:r w:rsidR="002F3238" w:rsidRPr="00742A04">
        <w:t>relativo a</w:t>
      </w:r>
      <w:r w:rsidR="00545D1B" w:rsidRPr="00742A04">
        <w:t xml:space="preserve"> </w:t>
      </w:r>
      <w:r w:rsidR="00811D75" w:rsidRPr="00742A04">
        <w:t>los cargos de dirección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574C4" w:rsidRPr="00742A04">
        <w:t>el sector público</w:t>
      </w:r>
      <w:r w:rsidR="000A08D8" w:rsidRPr="00742A04">
        <w:t>.</w:t>
      </w:r>
    </w:p>
    <w:p w:rsidR="00B85C95" w:rsidRPr="00742A04" w:rsidRDefault="00B85C95" w:rsidP="00B85C95">
      <w:pPr>
        <w:pStyle w:val="H23"/>
        <w:spacing w:line="120" w:lineRule="exact"/>
        <w:ind w:left="1267"/>
        <w:rPr>
          <w:bCs/>
          <w:sz w:val="10"/>
        </w:rPr>
      </w:pPr>
      <w:bookmarkStart w:id="50" w:name="_Toc147129465"/>
    </w:p>
    <w:p w:rsidR="00B85C95" w:rsidRPr="00742A04" w:rsidRDefault="00814B5D" w:rsidP="00A71D42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7</w:t>
      </w:r>
      <w:r w:rsidR="00A71D42" w:rsidRPr="00742A04">
        <w:rPr>
          <w:bCs/>
        </w:rPr>
        <w:t xml:space="preserve"> </w:t>
      </w:r>
      <w:r w:rsidR="00545D1B" w:rsidRPr="00742A04">
        <w:rPr>
          <w:bCs/>
          <w:i/>
        </w:rPr>
        <w:t>c</w:t>
      </w:r>
      <w:bookmarkEnd w:id="49"/>
    </w:p>
    <w:p w:rsidR="00545D1B" w:rsidRPr="00742A04" w:rsidRDefault="00A71D42" w:rsidP="00A71D42">
      <w:pPr>
        <w:pStyle w:val="H23"/>
        <w:ind w:left="1267"/>
        <w:rPr>
          <w:bCs/>
        </w:rPr>
      </w:pPr>
      <w:r w:rsidRPr="00742A04">
        <w:rPr>
          <w:bCs/>
        </w:rPr>
        <w:t>O</w:t>
      </w:r>
      <w:r w:rsidR="00AE7B93" w:rsidRPr="00742A04">
        <w:rPr>
          <w:bCs/>
        </w:rPr>
        <w:t>rganizaciones no gubernamentales</w:t>
      </w:r>
      <w:bookmarkEnd w:id="50"/>
    </w:p>
    <w:p w:rsidR="00B85C95" w:rsidRPr="00742A04" w:rsidRDefault="00B85C95" w:rsidP="00B85C95">
      <w:pPr>
        <w:pStyle w:val="SingleTxt"/>
        <w:spacing w:after="0" w:line="120" w:lineRule="exact"/>
        <w:rPr>
          <w:sz w:val="10"/>
        </w:rPr>
      </w:pPr>
    </w:p>
    <w:p w:rsidR="00545D1B" w:rsidRPr="00742A04" w:rsidRDefault="00811D75" w:rsidP="001C0056">
      <w:pPr>
        <w:pStyle w:val="SingleTxt"/>
        <w:ind w:firstLine="475"/>
      </w:pPr>
      <w:r w:rsidRPr="00742A04">
        <w:t xml:space="preserve">Las </w:t>
      </w:r>
      <w:r w:rsidR="00AE7B93" w:rsidRPr="00742A04">
        <w:t>organizaciones no gubernamentales</w:t>
      </w:r>
      <w:r w:rsidR="00545D1B" w:rsidRPr="00742A04">
        <w:t xml:space="preserve"> </w:t>
      </w:r>
      <w:r w:rsidRPr="00742A04">
        <w:t>desempeñan un papel fundamental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 desarrollo</w:t>
      </w:r>
      <w:r w:rsidR="00545D1B" w:rsidRPr="00742A04">
        <w:t xml:space="preserve"> </w:t>
      </w:r>
      <w:r w:rsidRPr="00742A04">
        <w:t>del Estado de bienestar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</w:t>
      </w:r>
      <w:r w:rsidRPr="00742A04">
        <w:t xml:space="preserve">por el </w:t>
      </w:r>
      <w:r w:rsidR="00B31D97" w:rsidRPr="00742A04">
        <w:t>fortaleci</w:t>
      </w:r>
      <w:r w:rsidRPr="00742A04">
        <w:t>mient</w:t>
      </w:r>
      <w:r w:rsidR="00B31D97" w:rsidRPr="00742A04">
        <w:t>o</w:t>
      </w:r>
      <w:r w:rsidRPr="00742A04">
        <w:t xml:space="preserve"> de los</w:t>
      </w:r>
      <w:r w:rsidR="00545D1B" w:rsidRPr="00742A04">
        <w:t xml:space="preserve"> </w:t>
      </w:r>
      <w:r w:rsidRPr="00742A04">
        <w:t>derechos democráticos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 promoción de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. </w:t>
      </w:r>
      <w:r w:rsidR="00BB4DB1" w:rsidRPr="00742A04">
        <w:t>Las autoridades</w:t>
      </w:r>
      <w:r w:rsidR="00545D1B" w:rsidRPr="00742A04">
        <w:t xml:space="preserve"> </w:t>
      </w:r>
      <w:r w:rsidRPr="00742A04">
        <w:t>consideran que el</w:t>
      </w:r>
      <w:r w:rsidR="00545D1B" w:rsidRPr="00742A04">
        <w:t xml:space="preserve"> </w:t>
      </w:r>
      <w:r w:rsidR="00802868" w:rsidRPr="00742A04">
        <w:t>contacto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 </w:t>
      </w:r>
      <w:r w:rsidR="00935A90" w:rsidRPr="00742A04">
        <w:t>colab</w:t>
      </w:r>
      <w:r w:rsidR="00545D1B" w:rsidRPr="00742A04">
        <w:t>ora</w:t>
      </w:r>
      <w:r w:rsidR="00C14BFF" w:rsidRPr="00742A04">
        <w:t xml:space="preserve">ción </w:t>
      </w:r>
      <w:r w:rsidR="004A0730" w:rsidRPr="00742A04">
        <w:t>con</w:t>
      </w:r>
      <w:r w:rsidR="00545D1B" w:rsidRPr="00742A04">
        <w:t xml:space="preserve"> </w:t>
      </w:r>
      <w:r w:rsidRPr="00742A04">
        <w:t>esas</w:t>
      </w:r>
      <w:r w:rsidR="00545D1B" w:rsidRPr="00742A04">
        <w:t xml:space="preserve"> </w:t>
      </w:r>
      <w:r w:rsidR="00FB5EDF" w:rsidRPr="00742A04">
        <w:t>organizaciones</w:t>
      </w:r>
      <w:r w:rsidR="00545D1B" w:rsidRPr="00742A04">
        <w:t xml:space="preserve"> </w:t>
      </w:r>
      <w:r w:rsidRPr="00742A04">
        <w:t>es un</w:t>
      </w:r>
      <w:r w:rsidR="00545D1B" w:rsidRPr="00742A04">
        <w:t xml:space="preserve"> factor</w:t>
      </w:r>
      <w:r w:rsidRPr="00742A04">
        <w:t xml:space="preserve"> importante</w:t>
      </w:r>
      <w:r w:rsidR="00545D1B" w:rsidRPr="00742A04">
        <w:t xml:space="preserve">.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 comentarios formulados en las consultas</w:t>
      </w:r>
      <w:r w:rsidR="00545D1B" w:rsidRPr="00742A04">
        <w:t xml:space="preserve"> </w:t>
      </w:r>
      <w:r w:rsidRPr="00742A04">
        <w:t>sobre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Pr="00742A04">
        <w:t>fue que</w:t>
      </w:r>
      <w:r w:rsidR="00545D1B" w:rsidRPr="00742A04">
        <w:t xml:space="preserve"> </w:t>
      </w:r>
      <w:r w:rsidR="00BB4DB1" w:rsidRPr="00742A04">
        <w:t>las autoridades</w:t>
      </w:r>
      <w:r w:rsidR="00545D1B" w:rsidRPr="00742A04">
        <w:t xml:space="preserve"> </w:t>
      </w:r>
      <w:r w:rsidR="009F34B6" w:rsidRPr="00742A04">
        <w:t>deberían hacer</w:t>
      </w:r>
      <w:r w:rsidR="00545D1B" w:rsidRPr="00742A04">
        <w:t xml:space="preserve"> </w:t>
      </w:r>
      <w:r w:rsidR="00982243" w:rsidRPr="00742A04">
        <w:t xml:space="preserve">un mayor </w:t>
      </w:r>
      <w:r w:rsidR="00242371" w:rsidRPr="00742A04">
        <w:t>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42371" w:rsidRPr="00742A04">
        <w:t>las capacidades especializ</w:t>
      </w:r>
      <w:r w:rsidR="00242371" w:rsidRPr="00742A04">
        <w:t>a</w:t>
      </w:r>
      <w:r w:rsidR="00242371" w:rsidRPr="00742A04">
        <w:t>das</w:t>
      </w:r>
      <w:r w:rsidR="00545D1B" w:rsidRPr="00742A04">
        <w:t xml:space="preserve"> </w:t>
      </w:r>
      <w:r w:rsidR="009F34B6" w:rsidRPr="00742A04">
        <w:t>de estas organizaciones en la</w:t>
      </w:r>
      <w:r w:rsidR="00545D1B" w:rsidRPr="00742A04">
        <w:t xml:space="preserve"> </w:t>
      </w:r>
      <w:r w:rsidR="009F34B6" w:rsidRPr="00742A04">
        <w:t>contratación de</w:t>
      </w:r>
      <w:r w:rsidR="00545D1B" w:rsidRPr="00742A04">
        <w:t xml:space="preserve"> </w:t>
      </w:r>
      <w:r w:rsidR="00177E2E" w:rsidRPr="00742A04">
        <w:t>participantes</w:t>
      </w:r>
      <w:r w:rsidR="00545D1B" w:rsidRPr="00742A04">
        <w:t xml:space="preserve"> </w:t>
      </w:r>
      <w:r w:rsidR="009F34B6" w:rsidRPr="00742A04">
        <w:t>en</w:t>
      </w:r>
      <w:r w:rsidR="00545D1B" w:rsidRPr="00742A04">
        <w:t xml:space="preserve"> </w:t>
      </w:r>
      <w:r w:rsidR="00A836A1" w:rsidRPr="00742A04">
        <w:t>comités</w:t>
      </w:r>
      <w:r w:rsidR="00545D1B" w:rsidRPr="00742A04">
        <w:t>, deleg</w:t>
      </w:r>
      <w:r w:rsidR="00545D1B" w:rsidRPr="00742A04">
        <w:t>a</w:t>
      </w:r>
      <w:r w:rsidR="008907B8" w:rsidRPr="00742A04">
        <w:t>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1178E" w:rsidRPr="00742A04">
        <w:t>grupos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176B2" w:rsidRPr="00742A04">
        <w:t>expe</w:t>
      </w:r>
      <w:r w:rsidR="008176B2" w:rsidRPr="00742A04">
        <w:t>r</w:t>
      </w:r>
      <w:r w:rsidR="008176B2" w:rsidRPr="00742A04">
        <w:t>tos</w:t>
      </w:r>
      <w:r w:rsidR="00545D1B" w:rsidRPr="00742A04">
        <w:t>.</w:t>
      </w:r>
    </w:p>
    <w:p w:rsidR="00545D1B" w:rsidRPr="00742A04" w:rsidRDefault="009F34B6" w:rsidP="001C0056">
      <w:pPr>
        <w:pStyle w:val="SingleTxt"/>
        <w:ind w:firstLine="475"/>
      </w:pPr>
      <w:r w:rsidRPr="00742A04">
        <w:t>A partir de</w:t>
      </w:r>
      <w:r w:rsidR="00C07379">
        <w:t>l año</w:t>
      </w:r>
      <w:r w:rsidRPr="00742A04">
        <w:t xml:space="preserve"> 2000 el Gobierno, en cooperación con la organización coord</w:t>
      </w:r>
      <w:r w:rsidRPr="00742A04">
        <w:t>i</w:t>
      </w:r>
      <w:r w:rsidRPr="00742A04">
        <w:t>nadora FOKUS y el anterior Centro para la Igualdad de Género, organiza anualme</w:t>
      </w:r>
      <w:r w:rsidRPr="00742A04">
        <w:t>n</w:t>
      </w:r>
      <w:r w:rsidRPr="00742A04">
        <w:t xml:space="preserve">te una </w:t>
      </w:r>
      <w:r w:rsidR="003673DD">
        <w:t>conferencia denominada Jalones</w:t>
      </w:r>
      <w:r w:rsidRPr="00742A04">
        <w:t xml:space="preserve"> (</w:t>
      </w:r>
      <w:r w:rsidRPr="00742A04">
        <w:rPr>
          <w:i/>
        </w:rPr>
        <w:t>Milestones</w:t>
      </w:r>
      <w:r w:rsidRPr="00742A04">
        <w:t>) para monitorear el seguimiento de la Plataforma de Acción de Beijing. FOKUS coordina a las organizaciones no gubernamentales noruegas dedicadas a la cooperación para el desarrollo que real</w:t>
      </w:r>
      <w:r w:rsidRPr="00742A04">
        <w:t>i</w:t>
      </w:r>
      <w:r w:rsidRPr="00742A04">
        <w:t>zan actividades para la mujer y recibe apoyo financiero del Ministerio de Relaciones Exteriores. Entre los temas de la conferencia de 2004 figuraron el examen del sexto informe periódico de Noruega llevado a cabo por el Comité para la Eliminación de la Discriminación contra la Mujer en enero de 2003 y la aplicación por parte de N</w:t>
      </w:r>
      <w:r w:rsidRPr="00742A04">
        <w:t>o</w:t>
      </w:r>
      <w:r w:rsidRPr="00742A04">
        <w:t>ruega de la Convención sobre la eliminación de todas las formas de discriminación contra la mujer</w:t>
      </w:r>
    </w:p>
    <w:p w:rsidR="00545D1B" w:rsidRPr="00742A04" w:rsidRDefault="009F34B6" w:rsidP="001C0056">
      <w:pPr>
        <w:pStyle w:val="SingleTxt"/>
        <w:ind w:firstLine="475"/>
      </w:pPr>
      <w:r w:rsidRPr="00742A04">
        <w:t xml:space="preserve">Es </w:t>
      </w:r>
      <w:r w:rsidR="00545D1B" w:rsidRPr="00742A04">
        <w:t>relativ</w:t>
      </w:r>
      <w:r w:rsidR="00BC2FBE" w:rsidRPr="00742A04">
        <w:t xml:space="preserve">amente </w:t>
      </w:r>
      <w:r w:rsidRPr="00742A04">
        <w:t>escasa la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Pr="00742A04">
        <w:t>las cantidades totales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miembros masculinos y femeninos</w:t>
      </w:r>
      <w:r w:rsidR="00545D1B" w:rsidRPr="00742A04">
        <w:t xml:space="preserve"> </w:t>
      </w:r>
      <w:r w:rsidRPr="00742A04">
        <w:t>de las</w:t>
      </w:r>
      <w:r w:rsidR="00545D1B" w:rsidRPr="00742A04">
        <w:t xml:space="preserve"> </w:t>
      </w:r>
      <w:r w:rsidR="00FB5EDF" w:rsidRPr="00742A04">
        <w:t>organizaciones</w:t>
      </w:r>
      <w:r w:rsidR="00545D1B" w:rsidRPr="00742A04">
        <w:t xml:space="preserve">. </w:t>
      </w:r>
      <w:r w:rsidRPr="00742A04">
        <w:t>Aproximadamente el</w:t>
      </w:r>
      <w:r w:rsidR="00545D1B" w:rsidRPr="00742A04">
        <w:t xml:space="preserve"> 50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cada uno de los</w:t>
      </w:r>
      <w:r w:rsidR="00545D1B" w:rsidRPr="00742A04">
        <w:t xml:space="preserve"> </w:t>
      </w:r>
      <w:r w:rsidRPr="00742A04">
        <w:t>sexos</w:t>
      </w:r>
      <w:r w:rsidR="00545D1B" w:rsidRPr="00742A04">
        <w:t xml:space="preserve"> </w:t>
      </w:r>
      <w:r w:rsidRPr="00742A04">
        <w:t>tiene actividad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una</w:t>
      </w:r>
      <w:r w:rsidR="00545D1B" w:rsidRPr="00742A04">
        <w:t xml:space="preserve"> </w:t>
      </w:r>
      <w:r w:rsidR="008F0C8E" w:rsidRPr="00742A04">
        <w:t>organiza</w:t>
      </w:r>
      <w:r w:rsidR="00C14BFF" w:rsidRPr="00742A04">
        <w:t xml:space="preserve">ción </w:t>
      </w:r>
      <w:r w:rsidR="008E5EBF" w:rsidRPr="00742A04">
        <w:t>o</w:t>
      </w:r>
      <w:r w:rsidR="00545D1B" w:rsidRPr="00742A04">
        <w:t xml:space="preserve"> </w:t>
      </w:r>
      <w:r w:rsidR="000A5430" w:rsidRPr="00742A04">
        <w:t>aso</w:t>
      </w:r>
      <w:r w:rsidR="00545D1B" w:rsidRPr="00742A04">
        <w:t>cia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Pr="00742A04">
        <w:t>Esa</w:t>
      </w:r>
      <w:r w:rsidR="00545D1B" w:rsidRPr="00742A04">
        <w:t xml:space="preserve"> activ</w:t>
      </w:r>
      <w:r w:rsidR="00502E16" w:rsidRPr="00742A04">
        <w:t>idad</w:t>
      </w:r>
      <w:r w:rsidR="00545D1B" w:rsidRPr="00742A04">
        <w:t xml:space="preserve"> </w:t>
      </w:r>
      <w:r w:rsidRPr="00742A04">
        <w:t xml:space="preserve">se incrementa </w:t>
      </w:r>
      <w:r w:rsidR="00032136" w:rsidRPr="00742A04">
        <w:t>claramente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la </w:t>
      </w:r>
      <w:r w:rsidR="00A93B9E" w:rsidRPr="00742A04">
        <w:t>edad</w:t>
      </w:r>
      <w:r w:rsidR="00545D1B" w:rsidRPr="00742A04">
        <w:t xml:space="preserve">. </w:t>
      </w:r>
      <w:r w:rsidR="00DC57F7" w:rsidRPr="00742A04">
        <w:t xml:space="preserve">El </w:t>
      </w:r>
      <w:r w:rsidR="00545D1B" w:rsidRPr="00742A04">
        <w:t>18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C57F7" w:rsidRPr="00742A04">
        <w:t>l</w:t>
      </w:r>
      <w:r w:rsidR="005C19C7" w:rsidRPr="00742A04">
        <w:t>as mujeres</w:t>
      </w:r>
      <w:r w:rsidR="00545D1B" w:rsidRPr="00742A04">
        <w:t xml:space="preserve"> act</w:t>
      </w:r>
      <w:r w:rsidR="00DC57F7" w:rsidRPr="00742A04">
        <w:t xml:space="preserve">uaban </w:t>
      </w:r>
      <w:r w:rsidR="00C14BFF" w:rsidRPr="00742A04">
        <w:t>en</w:t>
      </w:r>
      <w:r w:rsidR="00545D1B" w:rsidRPr="00742A04">
        <w:t xml:space="preserve"> </w:t>
      </w:r>
      <w:r w:rsidR="00FB5EDF" w:rsidRPr="00742A04">
        <w:t>organizaci</w:t>
      </w:r>
      <w:r w:rsidR="00FB5EDF" w:rsidRPr="00742A04">
        <w:t>o</w:t>
      </w:r>
      <w:r w:rsidR="00FB5EDF" w:rsidRPr="00742A04">
        <w:t>nes</w:t>
      </w:r>
      <w:r w:rsidR="00DC57F7" w:rsidRPr="00742A04">
        <w:t xml:space="preserve"> sindicales o profesionales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DC57F7" w:rsidRPr="00742A04">
        <w:t xml:space="preserve">el </w:t>
      </w:r>
      <w:r w:rsidR="00545D1B" w:rsidRPr="00742A04">
        <w:t>17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F5B12">
        <w:t>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</w:t>
      </w:r>
      <w:r w:rsidR="00DC57F7" w:rsidRPr="00742A04">
        <w:t>El 2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C57F7" w:rsidRPr="00742A04">
        <w:t>l</w:t>
      </w:r>
      <w:r w:rsidR="005C19C7" w:rsidRPr="00742A04">
        <w:t>as mujeres</w:t>
      </w:r>
      <w:r w:rsidR="00545D1B" w:rsidRPr="00742A04">
        <w:t xml:space="preserve"> </w:t>
      </w:r>
      <w:r w:rsidR="00DC57F7" w:rsidRPr="00742A04">
        <w:t>declararon que participaban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C57F7" w:rsidRPr="00742A04">
        <w:t>organizaciones femeninas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2004, </w:t>
      </w:r>
      <w:r w:rsidR="001D532F" w:rsidRPr="00742A04">
        <w:t>una disminución</w:t>
      </w:r>
      <w:r w:rsidR="00545D1B" w:rsidRPr="00742A04">
        <w:t xml:space="preserve"> </w:t>
      </w:r>
      <w:r w:rsidR="004A0730" w:rsidRPr="00742A04">
        <w:t>de</w:t>
      </w:r>
      <w:r w:rsidR="00DC57F7" w:rsidRPr="00742A04">
        <w:t>l</w:t>
      </w:r>
      <w:r w:rsidR="00545D1B" w:rsidRPr="00742A04">
        <w:t xml:space="preserve"> 50 % </w:t>
      </w:r>
      <w:r w:rsidR="00DC57F7" w:rsidRPr="00742A04">
        <w:t>des</w:t>
      </w:r>
      <w:r w:rsidR="00B34971" w:rsidRPr="00742A04">
        <w:t>de</w:t>
      </w:r>
      <w:r w:rsidR="00545D1B" w:rsidRPr="00742A04">
        <w:t xml:space="preserve"> 1997. </w:t>
      </w:r>
      <w:r w:rsidR="00DC57F7" w:rsidRPr="00742A04">
        <w:t xml:space="preserve">La cantidad de </w:t>
      </w:r>
      <w:r w:rsidR="00072AD7" w:rsidRPr="00742A04">
        <w:t>mujeres</w:t>
      </w:r>
      <w:r w:rsidR="00545D1B" w:rsidRPr="00742A04">
        <w:t xml:space="preserve"> </w:t>
      </w:r>
      <w:r w:rsidR="00DC57F7" w:rsidRPr="00742A04">
        <w:t>de</w:t>
      </w:r>
      <w:r w:rsidR="00545D1B" w:rsidRPr="00742A04">
        <w:t xml:space="preserve"> 45 </w:t>
      </w:r>
      <w:r w:rsidR="00877AA0" w:rsidRPr="00742A04">
        <w:t>y</w:t>
      </w:r>
      <w:r w:rsidR="00545D1B" w:rsidRPr="00742A04">
        <w:t xml:space="preserve"> </w:t>
      </w:r>
      <w:r w:rsidR="00DC57F7" w:rsidRPr="00742A04">
        <w:t xml:space="preserve">más años de edad que tienen </w:t>
      </w:r>
      <w:r w:rsidR="00545D1B" w:rsidRPr="00742A04">
        <w:t>ac</w:t>
      </w:r>
      <w:r w:rsidR="00DC57F7" w:rsidRPr="00742A04">
        <w:t>tividad es sustancialmente mayor</w:t>
      </w:r>
      <w:r w:rsidR="00545D1B" w:rsidRPr="00742A04">
        <w:t xml:space="preserve">. </w:t>
      </w:r>
      <w:r w:rsidR="00DC57F7" w:rsidRPr="00742A04">
        <w:t>El 2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C57F7" w:rsidRPr="00742A04">
        <w:t>l</w:t>
      </w:r>
      <w:r w:rsidR="005C19C7" w:rsidRPr="00742A04">
        <w:t>as mujeres</w:t>
      </w:r>
      <w:r w:rsidR="00545D1B" w:rsidRPr="00742A04">
        <w:t xml:space="preserve"> act</w:t>
      </w:r>
      <w:r w:rsidR="00DC57F7" w:rsidRPr="00742A04">
        <w:t>uaban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C57F7" w:rsidRPr="00742A04">
        <w:t>un partido político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2004, </w:t>
      </w:r>
      <w:r w:rsidR="00E73E8E" w:rsidRPr="00742A04">
        <w:t>en comparación con</w:t>
      </w:r>
      <w:r w:rsidR="00545D1B" w:rsidRPr="00742A04">
        <w:t xml:space="preserve"> </w:t>
      </w:r>
      <w:r w:rsidR="00DC57F7" w:rsidRPr="00742A04">
        <w:t>el 3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2001.</w:t>
      </w:r>
    </w:p>
    <w:p w:rsidR="00545D1B" w:rsidRPr="00742A04" w:rsidRDefault="00EF5B12" w:rsidP="001C0056">
      <w:pPr>
        <w:pStyle w:val="SingleTxt"/>
        <w:ind w:firstLine="475"/>
      </w:pPr>
      <w:r w:rsidRPr="00742A04">
        <w:t>La Dirección de la Infancia, la Juventud y los Asuntos de Familia de Noruega (BUFDIR) asigna la financiación gubernamental para apoyo operacional y activid</w:t>
      </w:r>
      <w:r w:rsidRPr="00742A04">
        <w:t>a</w:t>
      </w:r>
      <w:r w:rsidRPr="00742A04">
        <w:t>des a las organizaciones no gubernamental</w:t>
      </w:r>
      <w:r w:rsidR="00470D84">
        <w:t>es</w:t>
      </w:r>
      <w:r>
        <w:t xml:space="preserve"> que</w:t>
      </w:r>
      <w:r w:rsidRPr="00742A04">
        <w:t xml:space="preserve"> trabajan en la esfera de asuntos de familia e igualdad de género. </w:t>
      </w:r>
      <w:r w:rsidR="004A0730" w:rsidRPr="00742A04">
        <w:t>En</w:t>
      </w:r>
      <w:r w:rsidR="00545D1B" w:rsidRPr="00742A04">
        <w:t xml:space="preserve"> 2005, </w:t>
      </w:r>
      <w:r w:rsidR="00DC57F7" w:rsidRPr="00742A04">
        <w:t xml:space="preserve">se destinaron </w:t>
      </w:r>
      <w:r w:rsidR="00F43124" w:rsidRPr="00742A04">
        <w:t>fondos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DC57F7" w:rsidRPr="00742A04">
        <w:t>subsidios de viaje</w:t>
      </w:r>
      <w:r w:rsidR="00545D1B" w:rsidRPr="00742A04">
        <w:t xml:space="preserve"> </w:t>
      </w:r>
      <w:r w:rsidR="00F43124" w:rsidRPr="00742A04">
        <w:t>a</w:t>
      </w:r>
      <w:r w:rsidR="00545D1B" w:rsidRPr="00742A04">
        <w:t xml:space="preserve"> 20 </w:t>
      </w:r>
      <w:r w:rsidR="00FB5EDF" w:rsidRPr="00742A04">
        <w:t>organizaciones</w:t>
      </w:r>
      <w:r w:rsidR="00545D1B" w:rsidRPr="00742A04">
        <w:t xml:space="preserve"> </w:t>
      </w:r>
      <w:r w:rsidR="00DC57F7" w:rsidRPr="00742A04">
        <w:t>para que pudieran asistir a</w:t>
      </w:r>
      <w:r w:rsidR="00545D1B" w:rsidRPr="00742A04">
        <w:t xml:space="preserve"> </w:t>
      </w:r>
      <w:r w:rsidR="0030626A" w:rsidRPr="00742A04">
        <w:t>la reunión</w:t>
      </w:r>
      <w:r w:rsidR="00FF575F" w:rsidRPr="00742A04">
        <w:t xml:space="preserve"> del </w:t>
      </w:r>
      <w:r w:rsidR="0030626A" w:rsidRPr="00742A04">
        <w:t>Comité para la Elim</w:t>
      </w:r>
      <w:r w:rsidR="0030626A" w:rsidRPr="00742A04">
        <w:t>i</w:t>
      </w:r>
      <w:r w:rsidR="0030626A" w:rsidRPr="00742A04">
        <w:t xml:space="preserve">nación </w:t>
      </w:r>
      <w:r w:rsidR="00F43124" w:rsidRPr="00742A04">
        <w:t xml:space="preserve">de la </w:t>
      </w:r>
      <w:r w:rsidR="0030626A" w:rsidRPr="00742A04">
        <w:t>Discriminación contra la Mujer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776F" w:rsidRPr="00742A04">
        <w:t>marzo de</w:t>
      </w:r>
      <w:r w:rsidR="00545D1B" w:rsidRPr="00742A04">
        <w:t xml:space="preserve"> 2005.</w:t>
      </w:r>
      <w:r w:rsidR="003E5775" w:rsidRPr="00742A04">
        <w:t xml:space="preserve"> </w:t>
      </w:r>
      <w:r w:rsidR="00DC57F7" w:rsidRPr="00742A04">
        <w:t>A partir de</w:t>
      </w:r>
      <w:r w:rsidR="003E5775" w:rsidRPr="00742A04">
        <w:t xml:space="preserve"> </w:t>
      </w:r>
      <w:r w:rsidR="00545D1B" w:rsidRPr="00742A04">
        <w:t>2005</w:t>
      </w:r>
      <w:r w:rsidR="00DC57F7" w:rsidRPr="00742A04">
        <w:t>, se incluyó a</w:t>
      </w:r>
      <w:r w:rsidR="00116976" w:rsidRPr="00742A04">
        <w:t>l trabajo</w:t>
      </w:r>
      <w:r w:rsidR="00545D1B" w:rsidRPr="00742A04">
        <w:t xml:space="preserve"> </w:t>
      </w:r>
      <w:r w:rsidR="00DC57F7" w:rsidRPr="00742A04">
        <w:t>relacionado con</w:t>
      </w:r>
      <w:r w:rsidR="00545D1B" w:rsidRPr="00742A04">
        <w:t xml:space="preserve"> </w:t>
      </w:r>
      <w:r w:rsidR="004D313C" w:rsidRPr="00742A04">
        <w:t xml:space="preserve">la </w:t>
      </w:r>
      <w:r w:rsidR="00040B78" w:rsidRPr="00742A04">
        <w:t>resolución 1325 (2000) del Consejo de Segur</w:t>
      </w:r>
      <w:r w:rsidR="00040B78" w:rsidRPr="00742A04">
        <w:t>i</w:t>
      </w:r>
      <w:r w:rsidR="00040B78" w:rsidRPr="00742A04">
        <w:t>dad de las Naciones Unidas</w:t>
      </w:r>
      <w:r w:rsidR="00F650F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E603B" w:rsidRPr="00742A04">
        <w:t>las directrices</w:t>
      </w:r>
      <w:r w:rsidR="00545D1B" w:rsidRPr="00742A04">
        <w:t xml:space="preserve"> </w:t>
      </w:r>
      <w:r w:rsidR="00DC57F7" w:rsidRPr="00742A04">
        <w:t>como</w:t>
      </w:r>
      <w:r w:rsidR="00545D1B" w:rsidRPr="00742A04">
        <w:t xml:space="preserve"> </w:t>
      </w:r>
      <w:r w:rsidR="00C27C42" w:rsidRPr="00742A04">
        <w:t>posible</w:t>
      </w:r>
      <w:r w:rsidR="00545D1B" w:rsidRPr="00742A04">
        <w:t xml:space="preserve"> </w:t>
      </w:r>
      <w:r w:rsidR="00DC57F7" w:rsidRPr="00742A04">
        <w:t>criterio</w:t>
      </w:r>
      <w:r w:rsidR="005E6919" w:rsidRPr="00742A04">
        <w:t xml:space="preserve"> </w:t>
      </w:r>
      <w:r w:rsidR="00DC57F7" w:rsidRPr="00742A04">
        <w:t>de</w:t>
      </w:r>
      <w:r w:rsidR="00545D1B" w:rsidRPr="00742A04">
        <w:t xml:space="preserve"> </w:t>
      </w:r>
      <w:r w:rsidR="006B65CD" w:rsidRPr="00742A04">
        <w:t>fina</w:t>
      </w:r>
      <w:r w:rsidR="006B65CD" w:rsidRPr="00742A04">
        <w:t>n</w:t>
      </w:r>
      <w:r w:rsidR="006B65CD" w:rsidRPr="00742A04">
        <w:t>ciación</w:t>
      </w:r>
      <w:r w:rsidR="00545D1B" w:rsidRPr="00742A04">
        <w:t>.</w:t>
      </w:r>
    </w:p>
    <w:p w:rsidR="00545D1B" w:rsidRPr="00742A04" w:rsidRDefault="00DC57F7" w:rsidP="001C0056">
      <w:pPr>
        <w:pStyle w:val="SingleTxt"/>
        <w:ind w:firstLine="475"/>
      </w:pPr>
      <w:r w:rsidRPr="00742A04">
        <w:t>Numerosas</w:t>
      </w:r>
      <w:r w:rsidR="00545D1B" w:rsidRPr="00742A04">
        <w:t xml:space="preserve"> </w:t>
      </w:r>
      <w:r w:rsidR="00FB5EDF" w:rsidRPr="00742A04">
        <w:t>organizaciones</w:t>
      </w:r>
      <w:r w:rsidRPr="00742A04">
        <w:t xml:space="preserve"> grandes</w:t>
      </w:r>
      <w:r w:rsidR="00545D1B" w:rsidRPr="00742A04">
        <w:t xml:space="preserve"> </w:t>
      </w:r>
      <w:r w:rsidRPr="00742A04">
        <w:t xml:space="preserve">han dado al trabajo en pro de </w:t>
      </w:r>
      <w:r w:rsidR="00242371" w:rsidRPr="00742A04">
        <w:t>la igualdad</w:t>
      </w:r>
      <w:r w:rsidR="00A05847" w:rsidRPr="00742A04">
        <w:t xml:space="preserve"> de género</w:t>
      </w:r>
      <w:r w:rsidR="00545D1B" w:rsidRPr="00742A04">
        <w:t xml:space="preserve"> </w:t>
      </w:r>
      <w:r w:rsidR="00C33C47" w:rsidRPr="00742A04">
        <w:t>el carácter de cuestión</w:t>
      </w:r>
      <w:r w:rsidR="00545D1B" w:rsidRPr="00742A04">
        <w:t xml:space="preserve"> central </w:t>
      </w:r>
      <w:r w:rsidR="00C14BFF" w:rsidRPr="00742A04">
        <w:t>en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C33C47" w:rsidRPr="00742A04">
        <w:t>propia</w:t>
      </w:r>
      <w:r w:rsidR="00545D1B" w:rsidRPr="00742A04">
        <w:t xml:space="preserve"> </w:t>
      </w:r>
      <w:r w:rsidR="008F0C8E" w:rsidRPr="00742A04">
        <w:t>organiza</w:t>
      </w:r>
      <w:r w:rsidR="00935A90" w:rsidRPr="00742A04">
        <w:t>ción,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33C47" w:rsidRPr="00742A04">
        <w:t>varia</w:t>
      </w:r>
      <w:r w:rsidR="004D313C" w:rsidRPr="00742A04">
        <w:t>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33C47" w:rsidRPr="00742A04">
        <w:t xml:space="preserve">ellas </w:t>
      </w:r>
      <w:r w:rsidR="00545D1B" w:rsidRPr="00742A04">
        <w:t>ha</w:t>
      </w:r>
      <w:r w:rsidR="00C33C47" w:rsidRPr="00742A04">
        <w:t>n mencionado</w:t>
      </w:r>
      <w:r w:rsidR="00545D1B" w:rsidRPr="00742A04">
        <w:t xml:space="preserve"> </w:t>
      </w:r>
      <w:r w:rsidR="003E4840" w:rsidRPr="00742A04">
        <w:t>sus</w:t>
      </w:r>
      <w:r w:rsidR="00502E16" w:rsidRPr="00742A04">
        <w:t xml:space="preserve"> esfuerzos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33C47" w:rsidRPr="00742A04">
        <w:t>sus comentarios consultivos</w:t>
      </w:r>
      <w:r w:rsidR="00545D1B" w:rsidRPr="00742A04">
        <w:t xml:space="preserve">. </w:t>
      </w:r>
      <w:r w:rsidR="00C33C47" w:rsidRPr="00742A04">
        <w:t>Las e</w:t>
      </w:r>
      <w:r w:rsidR="00C33C47" w:rsidRPr="00742A04">
        <w:t>s</w:t>
      </w:r>
      <w:r w:rsidR="00C33C47" w:rsidRPr="00742A04">
        <w:t>feras en las cuales</w:t>
      </w:r>
      <w:r w:rsidR="00545D1B" w:rsidRPr="00742A04">
        <w:t xml:space="preserve"> </w:t>
      </w:r>
      <w:r w:rsidR="00C33C47" w:rsidRPr="00742A04">
        <w:t>se centró</w:t>
      </w:r>
      <w:r w:rsidR="00545D1B" w:rsidRPr="00742A04">
        <w:t xml:space="preserve"> particular</w:t>
      </w:r>
      <w:r w:rsidR="00C33C47" w:rsidRPr="00742A04">
        <w:t>mente la</w:t>
      </w:r>
      <w:r w:rsidR="00545D1B" w:rsidRPr="00742A04">
        <w:t xml:space="preserve"> </w:t>
      </w:r>
      <w:r w:rsidR="00D66FC2" w:rsidRPr="00742A04">
        <w:t>ate</w:t>
      </w:r>
      <w:r w:rsidR="00545D1B" w:rsidRPr="00742A04">
        <w:t>n</w:t>
      </w:r>
      <w:r w:rsidR="00C14BFF" w:rsidRPr="00742A04">
        <w:t xml:space="preserve">ción </w:t>
      </w:r>
      <w:r w:rsidR="00C33C47" w:rsidRPr="00742A04">
        <w:t>fuero</w:t>
      </w:r>
      <w:r w:rsidR="006137EC" w:rsidRPr="00742A04">
        <w:t>n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B31D97" w:rsidRPr="00742A04">
        <w:t>mejorar</w:t>
      </w:r>
      <w:r w:rsidR="00545D1B" w:rsidRPr="00742A04">
        <w:t xml:space="preserve"> </w:t>
      </w:r>
      <w:r w:rsidR="00C33C47" w:rsidRPr="00742A04">
        <w:t>el equilibrio</w:t>
      </w:r>
      <w:r w:rsidR="0083129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E6919" w:rsidRPr="00742A04">
        <w:t>los procesos de adopción de decisiones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33C47" w:rsidRPr="00742A04">
        <w:t>la lucha contra</w:t>
      </w:r>
      <w:r w:rsidR="00545D1B" w:rsidRPr="00742A04">
        <w:t xml:space="preserve"> </w:t>
      </w:r>
      <w:r w:rsidR="00550986" w:rsidRPr="00742A04">
        <w:t>la violencia contra la m</w:t>
      </w:r>
      <w:r w:rsidR="00550986" w:rsidRPr="00742A04">
        <w:t>u</w:t>
      </w:r>
      <w:r w:rsidR="00550986" w:rsidRPr="00742A04">
        <w:t>jer</w:t>
      </w:r>
      <w:r w:rsidR="00545D1B" w:rsidRPr="00742A04">
        <w:t>.</w:t>
      </w:r>
    </w:p>
    <w:p w:rsidR="00545D1B" w:rsidRPr="00742A04" w:rsidRDefault="00C33C47" w:rsidP="001C0056">
      <w:pPr>
        <w:pStyle w:val="SingleTxt"/>
        <w:ind w:firstLine="475"/>
      </w:pPr>
      <w:r w:rsidRPr="00742A04">
        <w:t>La</w:t>
      </w:r>
      <w:r w:rsidR="00545D1B" w:rsidRPr="00742A04">
        <w:t xml:space="preserve"> </w:t>
      </w:r>
      <w:r w:rsidR="000A5430" w:rsidRPr="00742A04">
        <w:t>Aso</w:t>
      </w:r>
      <w:r w:rsidR="00545D1B" w:rsidRPr="00742A04">
        <w:t>cia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56679F" w:rsidRPr="00742A04">
        <w:t>Autoridades</w:t>
      </w:r>
      <w:r w:rsidR="00545D1B" w:rsidRPr="00742A04">
        <w:t xml:space="preserve"> </w:t>
      </w:r>
      <w:r w:rsidR="00E80722" w:rsidRPr="00742A04">
        <w:t>Local</w:t>
      </w:r>
      <w:r w:rsidR="00E80722">
        <w:t>es</w:t>
      </w:r>
      <w:r w:rsidR="00E80722" w:rsidRPr="00742A04">
        <w:t xml:space="preserve"> </w:t>
      </w:r>
      <w:r w:rsidRPr="00742A04">
        <w:t xml:space="preserve">de Noruega </w:t>
      </w:r>
      <w:r w:rsidR="00545D1B" w:rsidRPr="00742A04">
        <w:t xml:space="preserve">(KS) </w:t>
      </w:r>
      <w:r w:rsidRPr="00742A04">
        <w:t>trabaja en pro del ad</w:t>
      </w:r>
      <w:r w:rsidRPr="00742A04">
        <w:t>e</w:t>
      </w:r>
      <w:r w:rsidRPr="00742A04">
        <w:t>lanto de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 </w:t>
      </w:r>
      <w:r w:rsidR="00BD47D3" w:rsidRPr="00742A04">
        <w:t>en los planos nacional e internacional</w:t>
      </w:r>
      <w:r w:rsidR="00545D1B" w:rsidRPr="00742A04">
        <w:t xml:space="preserve">, </w:t>
      </w:r>
      <w:r w:rsidR="006137EC" w:rsidRPr="00742A04">
        <w:t xml:space="preserve">por </w:t>
      </w:r>
      <w:r w:rsidR="00040B78" w:rsidRPr="00742A04">
        <w:t>ejemplo</w:t>
      </w:r>
      <w:r w:rsidR="00545D1B" w:rsidRPr="00742A04">
        <w:t xml:space="preserve"> </w:t>
      </w:r>
      <w:r w:rsidRPr="00742A04">
        <w:t>promoviendo el</w:t>
      </w:r>
      <w:r w:rsidR="00545D1B" w:rsidRPr="00742A04">
        <w:t xml:space="preserve"> </w:t>
      </w:r>
      <w:r w:rsidR="00AC1BF5" w:rsidRPr="00742A04">
        <w:t>incremento de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 </w:t>
      </w:r>
      <w:r w:rsidR="005E2D7A" w:rsidRPr="00742A04">
        <w:t>planificación</w:t>
      </w:r>
      <w:r w:rsidR="00545D1B" w:rsidRPr="00742A04">
        <w:t xml:space="preserve"> </w:t>
      </w:r>
      <w:r w:rsidRPr="00742A04">
        <w:t>local y r</w:t>
      </w:r>
      <w:r w:rsidRPr="00742A04">
        <w:t>e</w:t>
      </w:r>
      <w:r w:rsidRPr="00742A04">
        <w:t>gional, así como</w:t>
      </w:r>
      <w:r w:rsidR="00545D1B" w:rsidRPr="00742A04">
        <w:t xml:space="preserve"> </w:t>
      </w:r>
      <w:r w:rsidR="005E6919" w:rsidRPr="00742A04">
        <w:t>un m</w:t>
      </w:r>
      <w:r w:rsidRPr="00742A04">
        <w:t>ay</w:t>
      </w:r>
      <w:r w:rsidR="005E6919" w:rsidRPr="00742A04">
        <w:t>or equilibrio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E6919" w:rsidRPr="00742A04">
        <w:t>los procesos de adopción de dec</w:t>
      </w:r>
      <w:r w:rsidR="005E6919" w:rsidRPr="00742A04">
        <w:t>i</w:t>
      </w:r>
      <w:r w:rsidR="005E6919" w:rsidRPr="00742A04">
        <w:t>siones</w:t>
      </w:r>
      <w:r w:rsidR="00545D1B" w:rsidRPr="00742A04">
        <w:t>.</w:t>
      </w:r>
    </w:p>
    <w:p w:rsidR="00545D1B" w:rsidRPr="00742A04" w:rsidRDefault="00C33C47" w:rsidP="001C0056">
      <w:pPr>
        <w:pStyle w:val="SingleTxt"/>
        <w:ind w:firstLine="475"/>
      </w:pPr>
      <w:r w:rsidRPr="00742A04">
        <w:t>La mayor</w:t>
      </w:r>
      <w:r w:rsidR="00545D1B" w:rsidRPr="00742A04">
        <w:t xml:space="preserve"> </w:t>
      </w:r>
      <w:r w:rsidR="008F0C8E" w:rsidRPr="00742A04">
        <w:t>organiza</w:t>
      </w:r>
      <w:r w:rsidR="00935A90" w:rsidRPr="00742A04">
        <w:t>ción</w:t>
      </w:r>
      <w:r w:rsidRPr="00742A04">
        <w:t xml:space="preserve"> de empleados de Noruega</w:t>
      </w:r>
      <w:r w:rsidR="00935A90" w:rsidRPr="00742A04">
        <w:t>,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</w:t>
      </w:r>
      <w:r w:rsidR="001725A9" w:rsidRPr="00742A04">
        <w:t>Confederación Noruega de Sindicatos</w:t>
      </w:r>
      <w:r w:rsidR="00545D1B" w:rsidRPr="00742A04">
        <w:t xml:space="preserve"> (LO), </w:t>
      </w:r>
      <w:r w:rsidRPr="00742A04">
        <w:t>ha incorporado</w:t>
      </w:r>
      <w:r w:rsidR="00CF2F77" w:rsidRPr="00742A04">
        <w:t xml:space="preserve"> una perspectiva</w:t>
      </w:r>
      <w:r w:rsidR="00587443" w:rsidRPr="00742A04">
        <w:t xml:space="preserve"> de género</w:t>
      </w:r>
      <w:r w:rsidR="00545D1B" w:rsidRPr="00742A04">
        <w:t xml:space="preserve"> </w:t>
      </w:r>
      <w:r w:rsidRPr="00742A04">
        <w:t>en todos sus</w:t>
      </w:r>
      <w:r w:rsidR="00545D1B" w:rsidRPr="00742A04">
        <w:t xml:space="preserve"> </w:t>
      </w:r>
      <w:r w:rsidR="0056679F" w:rsidRPr="00742A04">
        <w:t>proc</w:t>
      </w:r>
      <w:r w:rsidR="0056679F" w:rsidRPr="00742A04">
        <w:t>e</w:t>
      </w:r>
      <w:r w:rsidR="0056679F" w:rsidRPr="00742A04">
        <w:t>dimientos administrativos</w:t>
      </w:r>
      <w:r w:rsidR="00545D1B" w:rsidRPr="00742A04">
        <w:t xml:space="preserve">. </w:t>
      </w:r>
      <w:r w:rsidRPr="00742A04">
        <w:t xml:space="preserve">En </w:t>
      </w:r>
      <w:r w:rsidR="004A0730" w:rsidRPr="00742A04">
        <w:t>su</w:t>
      </w:r>
      <w:r w:rsidR="00545D1B" w:rsidRPr="00742A04">
        <w:t xml:space="preserve"> conven</w:t>
      </w:r>
      <w:r w:rsidR="00C14BFF" w:rsidRPr="00742A04">
        <w:t xml:space="preserve">ción </w:t>
      </w:r>
      <w:r w:rsidRPr="00742A04">
        <w:t>d</w:t>
      </w:r>
      <w:r w:rsidR="00C14BFF" w:rsidRPr="00742A04">
        <w:t>e</w:t>
      </w:r>
      <w:r w:rsidR="00545D1B" w:rsidRPr="00742A04">
        <w:t xml:space="preserve"> 2005, </w:t>
      </w:r>
      <w:r w:rsidR="006137EC" w:rsidRPr="00742A04">
        <w:t xml:space="preserve">por </w:t>
      </w:r>
      <w:r w:rsidR="00040B78" w:rsidRPr="00742A04">
        <w:t>ejemplo</w:t>
      </w:r>
      <w:r w:rsidR="00545D1B" w:rsidRPr="00742A04">
        <w:t xml:space="preserve">, </w:t>
      </w:r>
      <w:r w:rsidRPr="00742A04">
        <w:t xml:space="preserve">la </w:t>
      </w:r>
      <w:r w:rsidR="00545D1B" w:rsidRPr="00742A04">
        <w:t xml:space="preserve">LO </w:t>
      </w:r>
      <w:r w:rsidR="004D313C" w:rsidRPr="00742A04">
        <w:t>adoptó</w:t>
      </w:r>
      <w:r w:rsidR="00B05988" w:rsidRPr="00742A04">
        <w:t xml:space="preserve"> un nuevo</w:t>
      </w:r>
      <w:r w:rsidR="00FF575F" w:rsidRPr="00742A04">
        <w:t xml:space="preserve"> artículo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su</w:t>
      </w:r>
      <w:r w:rsidRPr="00742A04">
        <w:t>s estatutos para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, </w:t>
      </w:r>
      <w:r w:rsidRPr="00742A04">
        <w:t>en la medida de lo posible</w:t>
      </w:r>
      <w:r w:rsidR="00545D1B" w:rsidRPr="00742A04">
        <w:t xml:space="preserve">, </w:t>
      </w:r>
      <w:r w:rsidRPr="00742A04">
        <w:t>un mayor</w:t>
      </w:r>
      <w:r w:rsidR="00545D1B" w:rsidRPr="00742A04">
        <w:t xml:space="preserve"> </w:t>
      </w:r>
      <w:r w:rsidR="00831293" w:rsidRPr="00742A04">
        <w:t>equilibrio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todos sus</w:t>
      </w:r>
      <w:r w:rsidR="00545D1B" w:rsidRPr="00742A04">
        <w:t xml:space="preserve"> </w:t>
      </w:r>
      <w:r w:rsidR="00A836A1" w:rsidRPr="00742A04">
        <w:t>consejos</w:t>
      </w:r>
      <w:r w:rsidR="00545D1B" w:rsidRPr="00742A04">
        <w:t xml:space="preserve">, </w:t>
      </w:r>
      <w:r w:rsidR="00A836A1" w:rsidRPr="00742A04">
        <w:t>juntas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57260" w:rsidRPr="00742A04">
        <w:t>comité</w:t>
      </w:r>
      <w:r w:rsidR="00E80722">
        <w:t>s</w:t>
      </w:r>
      <w:r w:rsidR="00545D1B" w:rsidRPr="00742A04">
        <w:t>: “</w:t>
      </w:r>
      <w:r w:rsidR="00814B5D" w:rsidRPr="00742A04">
        <w:t>Artículo</w:t>
      </w:r>
      <w:r w:rsidR="00545D1B" w:rsidRPr="00742A04">
        <w:t xml:space="preserve"> 11. </w:t>
      </w:r>
      <w:r w:rsidR="00A05847" w:rsidRPr="00742A04">
        <w:t>Igualdad de género</w:t>
      </w:r>
      <w:r w:rsidR="00545D1B" w:rsidRPr="00742A04">
        <w:t xml:space="preserve">: </w:t>
      </w:r>
      <w:r w:rsidR="004A0730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las </w:t>
      </w:r>
      <w:r w:rsidR="00545D1B" w:rsidRPr="00742A04">
        <w:t>elec</w:t>
      </w:r>
      <w:r w:rsidR="008907B8" w:rsidRPr="00742A04">
        <w:t>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</w:t>
      </w:r>
      <w:r w:rsidR="002E5047" w:rsidRPr="00742A04">
        <w:t>nombramientos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</w:t>
      </w:r>
      <w:r w:rsidR="001725A9" w:rsidRPr="00742A04">
        <w:t>Confederación Noruega de Sindicatos</w:t>
      </w:r>
      <w:r w:rsidR="00545D1B" w:rsidRPr="00742A04">
        <w:t xml:space="preserve">, </w:t>
      </w:r>
      <w:r w:rsidR="007D4688" w:rsidRPr="00742A04">
        <w:t>cada</w:t>
      </w:r>
      <w:r w:rsidR="00545D1B" w:rsidRPr="00742A04">
        <w:t xml:space="preserve"> </w:t>
      </w:r>
      <w:r w:rsidR="00101B8C" w:rsidRPr="00742A04">
        <w:t>sexo</w:t>
      </w:r>
      <w:r w:rsidR="00545D1B" w:rsidRPr="00742A04">
        <w:t xml:space="preserve"> </w:t>
      </w:r>
      <w:r w:rsidRPr="00742A04">
        <w:t xml:space="preserve">deberá </w:t>
      </w:r>
      <w:r w:rsidR="00545D1B" w:rsidRPr="00742A04">
        <w:t>e</w:t>
      </w:r>
      <w:r w:rsidRPr="00742A04">
        <w:t>star</w:t>
      </w:r>
      <w:r w:rsidR="00545D1B" w:rsidRPr="00742A04">
        <w:t xml:space="preserve"> re</w:t>
      </w:r>
      <w:r w:rsidRPr="00742A04">
        <w:t>presentado</w:t>
      </w:r>
      <w:r w:rsidR="00545D1B" w:rsidRPr="00742A04">
        <w:t xml:space="preserve"> </w:t>
      </w:r>
      <w:r w:rsidR="00657260" w:rsidRPr="00742A04">
        <w:t>por lo menos</w:t>
      </w:r>
      <w:r w:rsidR="00545D1B" w:rsidRPr="00742A04">
        <w:t xml:space="preserve"> </w:t>
      </w:r>
      <w:r w:rsidRPr="00742A04">
        <w:t xml:space="preserve">por el </w:t>
      </w:r>
      <w:r w:rsidR="00545D1B" w:rsidRPr="00742A04">
        <w:t>40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73E8E" w:rsidRPr="00742A04">
        <w:t>los miembros</w:t>
      </w:r>
      <w:r w:rsidR="00545D1B" w:rsidRPr="00742A04">
        <w:t xml:space="preserve"> </w:t>
      </w:r>
      <w:r w:rsidR="00056EF1" w:rsidRPr="00742A04">
        <w:t>cuando</w:t>
      </w:r>
      <w:r w:rsidR="00545D1B" w:rsidRPr="00742A04">
        <w:t xml:space="preserve"> </w:t>
      </w:r>
      <w:r w:rsidRPr="00742A04">
        <w:t>ello sea</w:t>
      </w:r>
      <w:r w:rsidR="00545D1B" w:rsidRPr="00742A04">
        <w:t xml:space="preserve"> </w:t>
      </w:r>
      <w:r w:rsidR="00C27C42" w:rsidRPr="00742A04">
        <w:t>posible</w:t>
      </w:r>
      <w:r w:rsidR="00545D1B" w:rsidRPr="00742A04">
        <w:t xml:space="preserve">.” </w:t>
      </w:r>
      <w:r w:rsidR="00995D97" w:rsidRPr="00742A04">
        <w:t>Como</w:t>
      </w:r>
      <w:r w:rsidR="00545D1B" w:rsidRPr="00742A04">
        <w:t xml:space="preserve"> </w:t>
      </w:r>
      <w:r w:rsidR="00995D97" w:rsidRPr="00742A04">
        <w:t>varia</w:t>
      </w:r>
      <w:r w:rsidR="004D313C" w:rsidRPr="00742A04">
        <w:t>s</w:t>
      </w:r>
      <w:r w:rsidR="00545D1B" w:rsidRPr="00742A04">
        <w:t xml:space="preserve"> </w:t>
      </w:r>
      <w:r w:rsidR="00FB5EDF" w:rsidRPr="00742A04">
        <w:t>organizaciones</w:t>
      </w:r>
      <w:r w:rsidR="00995D97" w:rsidRPr="00742A04">
        <w:t xml:space="preserve"> </w:t>
      </w:r>
      <w:r w:rsidR="00EF5B12" w:rsidRPr="00742A04">
        <w:t>hum</w:t>
      </w:r>
      <w:r w:rsidR="00EF5B12" w:rsidRPr="00742A04">
        <w:t>a</w:t>
      </w:r>
      <w:r w:rsidR="00EF5B12" w:rsidRPr="00742A04">
        <w:t>nitarias</w:t>
      </w:r>
      <w:r w:rsidR="00545D1B" w:rsidRPr="00742A04">
        <w:t xml:space="preserve">, </w:t>
      </w:r>
      <w:r w:rsidR="00995D97" w:rsidRPr="00742A04">
        <w:t xml:space="preserve">la </w:t>
      </w:r>
      <w:r w:rsidR="00545D1B" w:rsidRPr="00742A04">
        <w:t xml:space="preserve">LO </w:t>
      </w:r>
      <w:r w:rsidR="0030626A" w:rsidRPr="00742A04">
        <w:t>también</w:t>
      </w:r>
      <w:r w:rsidR="00545D1B" w:rsidRPr="00742A04">
        <w:t xml:space="preserve"> </w:t>
      </w:r>
      <w:r w:rsidR="00995D97" w:rsidRPr="00742A04">
        <w:t xml:space="preserve">ha implantado </w:t>
      </w:r>
      <w:r w:rsidR="006D079E" w:rsidRPr="00742A04">
        <w:t>directrices éticas</w:t>
      </w:r>
      <w:r w:rsidR="00545D1B" w:rsidRPr="00742A04">
        <w:t xml:space="preserve"> </w:t>
      </w:r>
      <w:r w:rsidR="00995D97" w:rsidRPr="00742A04">
        <w:t>en las que se prohí</w:t>
      </w:r>
      <w:r w:rsidR="00545D1B" w:rsidRPr="00742A04">
        <w:t>b</w:t>
      </w:r>
      <w:r w:rsidR="00995D97" w:rsidRPr="00742A04">
        <w:t>e</w:t>
      </w:r>
      <w:r w:rsidR="00545D1B" w:rsidRPr="00742A04">
        <w:t xml:space="preserve"> </w:t>
      </w:r>
      <w:r w:rsidR="00E32F2A" w:rsidRPr="00742A04">
        <w:t>la compra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32F2A" w:rsidRPr="00742A04">
        <w:t>servicios sexuales</w:t>
      </w:r>
      <w:r w:rsidR="00545D1B" w:rsidRPr="00742A04">
        <w:t xml:space="preserve"> </w:t>
      </w:r>
      <w:r w:rsidR="00995D97" w:rsidRPr="00742A04">
        <w:t>durante los viajes u otras asignaciones</w:t>
      </w:r>
      <w:r w:rsidR="00116976" w:rsidRPr="00742A04">
        <w:t xml:space="preserve"> </w:t>
      </w:r>
      <w:r w:rsidR="00995D97" w:rsidRPr="00742A04">
        <w:t>relacionadas con el trabajo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995D97" w:rsidRPr="00742A04">
        <w:t xml:space="preserve">la </w:t>
      </w:r>
      <w:r w:rsidR="00545D1B" w:rsidRPr="00742A04">
        <w:t>LO ha</w:t>
      </w:r>
      <w:r w:rsidR="00995D97" w:rsidRPr="00742A04">
        <w:t xml:space="preserve"> promovido la ratificación</w:t>
      </w:r>
      <w:r w:rsidR="00BB4DB1" w:rsidRPr="00742A04">
        <w:t xml:space="preserve"> </w:t>
      </w:r>
      <w:r w:rsidR="00995D97" w:rsidRPr="00742A04">
        <w:t>por parte de Noruega d</w:t>
      </w:r>
      <w:r w:rsidR="00BB4DB1" w:rsidRPr="00742A04">
        <w:t xml:space="preserve">el </w:t>
      </w:r>
      <w:r w:rsidR="007F6C30" w:rsidRPr="00742A04">
        <w:t>Convenio Interna</w:t>
      </w:r>
      <w:r w:rsidR="00995D97" w:rsidRPr="00742A04">
        <w:t>cional del T</w:t>
      </w:r>
      <w:r w:rsidR="007F6C30" w:rsidRPr="00742A04">
        <w:t>rabajo</w:t>
      </w:r>
      <w:r w:rsidR="00C14BFF" w:rsidRPr="00742A04">
        <w:t xml:space="preserve"> </w:t>
      </w:r>
      <w:r w:rsidR="00545D1B" w:rsidRPr="00742A04">
        <w:t>183</w:t>
      </w:r>
      <w:r w:rsidR="00995D97" w:rsidRPr="00742A04">
        <w:t>,</w:t>
      </w:r>
      <w:r w:rsidR="00545D1B" w:rsidRPr="00742A04">
        <w:t xml:space="preserve"> </w:t>
      </w:r>
      <w:r w:rsidR="007F6C30" w:rsidRPr="00742A04">
        <w:t>relativo</w:t>
      </w:r>
      <w:r w:rsidR="001E30D6" w:rsidRPr="00742A04">
        <w:t xml:space="preserve"> </w:t>
      </w:r>
      <w:r w:rsidR="00995D97" w:rsidRPr="00742A04">
        <w:t>a l</w:t>
      </w:r>
      <w:r w:rsidR="001E30D6" w:rsidRPr="00742A04">
        <w:t xml:space="preserve">a </w:t>
      </w:r>
      <w:r w:rsidR="007F6C30" w:rsidRPr="00742A04">
        <w:t>p</w:t>
      </w:r>
      <w:r w:rsidR="00545D1B" w:rsidRPr="00742A04">
        <w:t>rotec</w:t>
      </w:r>
      <w:r w:rsidR="00C27C42" w:rsidRPr="00742A04">
        <w:t>ci</w:t>
      </w:r>
      <w:r w:rsidR="00C14BFF" w:rsidRPr="00742A04">
        <w:t>ón</w:t>
      </w:r>
      <w:r w:rsidR="007F6C30" w:rsidRPr="00742A04">
        <w:t xml:space="preserve"> </w:t>
      </w:r>
      <w:r w:rsidR="00F43124" w:rsidRPr="00742A04">
        <w:t xml:space="preserve">de la </w:t>
      </w:r>
      <w:r w:rsidR="007F6C30" w:rsidRPr="00742A04">
        <w:t>m</w:t>
      </w:r>
      <w:r w:rsidR="007F6C30" w:rsidRPr="00742A04">
        <w:t>a</w:t>
      </w:r>
      <w:r w:rsidR="007F6C30" w:rsidRPr="00742A04">
        <w:t>ternidad</w:t>
      </w:r>
      <w:r w:rsidR="00C27C42" w:rsidRPr="00742A04">
        <w:t>.</w:t>
      </w:r>
    </w:p>
    <w:p w:rsidR="00B85C95" w:rsidRPr="00742A04" w:rsidRDefault="00B85C95" w:rsidP="00B85C95">
      <w:pPr>
        <w:pStyle w:val="H23"/>
        <w:spacing w:line="120" w:lineRule="exact"/>
        <w:ind w:left="1267"/>
        <w:rPr>
          <w:bCs/>
          <w:sz w:val="10"/>
        </w:rPr>
      </w:pPr>
      <w:bookmarkStart w:id="51" w:name="_Toc147129466"/>
    </w:p>
    <w:p w:rsidR="00B85C95" w:rsidRPr="00742A04" w:rsidRDefault="00814B5D" w:rsidP="00381B36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B85C95" w:rsidRPr="00742A04">
        <w:rPr>
          <w:bCs/>
        </w:rPr>
        <w:t xml:space="preserve"> 8</w:t>
      </w:r>
    </w:p>
    <w:p w:rsidR="00545D1B" w:rsidRPr="00742A04" w:rsidRDefault="00A05847" w:rsidP="00381B36">
      <w:pPr>
        <w:pStyle w:val="H1"/>
        <w:ind w:left="1267"/>
        <w:rPr>
          <w:bCs/>
        </w:rPr>
      </w:pPr>
      <w:r w:rsidRPr="00742A04">
        <w:rPr>
          <w:bCs/>
        </w:rPr>
        <w:t>Representación a nivel internacional</w:t>
      </w:r>
      <w:bookmarkEnd w:id="51"/>
    </w:p>
    <w:p w:rsidR="00B85C95" w:rsidRPr="00742A04" w:rsidRDefault="00B85C95" w:rsidP="00B85C95">
      <w:pPr>
        <w:pStyle w:val="SingleTxt"/>
        <w:spacing w:after="0" w:line="120" w:lineRule="exact"/>
        <w:rPr>
          <w:sz w:val="10"/>
        </w:rPr>
      </w:pPr>
    </w:p>
    <w:p w:rsidR="00545D1B" w:rsidRPr="00742A04" w:rsidRDefault="004A0730" w:rsidP="001C0056">
      <w:pPr>
        <w:pStyle w:val="SingleTxt"/>
        <w:ind w:firstLine="475"/>
      </w:pPr>
      <w:r w:rsidRPr="00742A04">
        <w:t>En</w:t>
      </w:r>
      <w:r w:rsidR="00545D1B" w:rsidRPr="00742A04">
        <w:t xml:space="preserve"> 2006, </w:t>
      </w:r>
      <w:r w:rsidR="00DA28CE" w:rsidRPr="00742A04">
        <w:t xml:space="preserve">hay </w:t>
      </w:r>
      <w:r w:rsidR="00545D1B" w:rsidRPr="00742A04">
        <w:t xml:space="preserve">431 </w:t>
      </w:r>
      <w:r w:rsidR="00DA28CE" w:rsidRPr="00742A04">
        <w:t>noruego</w:t>
      </w:r>
      <w:r w:rsidR="00545D1B" w:rsidRPr="00742A04">
        <w:t xml:space="preserve">s </w:t>
      </w:r>
      <w:r w:rsidR="00116976" w:rsidRPr="00742A04">
        <w:t>trabaj</w:t>
      </w:r>
      <w:r w:rsidR="00DA28CE" w:rsidRPr="00742A04">
        <w:t>ando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DA28CE" w:rsidRPr="00742A04">
        <w:t>organizaciones internacionales</w:t>
      </w:r>
      <w:r w:rsidR="00545D1B" w:rsidRPr="00742A04">
        <w:t xml:space="preserve">, </w:t>
      </w:r>
      <w:r w:rsidR="00DA28CE" w:rsidRPr="00742A04">
        <w:t xml:space="preserve">y </w:t>
      </w:r>
      <w:r w:rsidR="00545D1B" w:rsidRPr="00742A04">
        <w:t xml:space="preserve">172 </w:t>
      </w:r>
      <w:r w:rsidRPr="00742A04">
        <w:t>de</w:t>
      </w:r>
      <w:r w:rsidR="00545D1B" w:rsidRPr="00742A04">
        <w:t xml:space="preserve"> </w:t>
      </w:r>
      <w:r w:rsidR="00DA28CE" w:rsidRPr="00742A04">
        <w:t>ellos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DA28CE" w:rsidRPr="00742A04">
        <w:t>De los</w:t>
      </w:r>
      <w:r w:rsidR="00545D1B" w:rsidRPr="00742A04">
        <w:t xml:space="preserve"> 225 </w:t>
      </w:r>
      <w:r w:rsidR="00DA28CE" w:rsidRPr="00742A04">
        <w:t>funcionarios noruegos</w:t>
      </w:r>
      <w:r w:rsidR="00545D1B" w:rsidRPr="00742A04">
        <w:t xml:space="preserve"> </w:t>
      </w:r>
      <w:r w:rsidR="00DA28CE" w:rsidRPr="00742A04">
        <w:t>en</w:t>
      </w:r>
      <w:r w:rsidR="00545D1B" w:rsidRPr="00742A04">
        <w:t xml:space="preserve"> </w:t>
      </w:r>
      <w:r w:rsidR="00D515FC" w:rsidRPr="00742A04">
        <w:t>las Naciones Un</w:t>
      </w:r>
      <w:r w:rsidR="00D515FC" w:rsidRPr="00742A04">
        <w:t>i</w:t>
      </w:r>
      <w:r w:rsidR="00D515FC" w:rsidRPr="00742A04">
        <w:t>das</w:t>
      </w:r>
      <w:r w:rsidR="00545D1B" w:rsidRPr="00742A04">
        <w:t xml:space="preserve">, 94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; </w:t>
      </w:r>
      <w:r w:rsidRPr="00742A04">
        <w:t>de</w:t>
      </w:r>
      <w:r w:rsidR="00545D1B" w:rsidRPr="00742A04">
        <w:t xml:space="preserve"> </w:t>
      </w:r>
      <w:r w:rsidR="00DA28CE" w:rsidRPr="00742A04">
        <w:t>los</w:t>
      </w:r>
      <w:r w:rsidR="00545D1B" w:rsidRPr="00742A04">
        <w:t xml:space="preserve"> 166 </w:t>
      </w:r>
      <w:r w:rsidR="00DA28CE" w:rsidRPr="00742A04">
        <w:t>funcionarios noruegos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B5EDF" w:rsidRPr="00742A04">
        <w:t>organizaciones</w:t>
      </w:r>
      <w:r w:rsidR="00DA28CE" w:rsidRPr="00742A04">
        <w:t xml:space="preserve"> europeas</w:t>
      </w:r>
      <w:r w:rsidR="00545D1B" w:rsidRPr="00742A04">
        <w:t>, i</w:t>
      </w:r>
      <w:r w:rsidR="00545D1B" w:rsidRPr="00742A04">
        <w:t>n</w:t>
      </w:r>
      <w:r w:rsidR="00545D1B" w:rsidRPr="00742A04">
        <w:t>clu</w:t>
      </w:r>
      <w:r w:rsidR="00DA28CE" w:rsidRPr="00742A04">
        <w:t>idas</w:t>
      </w:r>
      <w:r w:rsidR="00545D1B" w:rsidRPr="00742A04">
        <w:t xml:space="preserve"> </w:t>
      </w:r>
      <w:r w:rsidR="00D515FC" w:rsidRPr="00742A04">
        <w:t>la OSCE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15FC" w:rsidRPr="00742A04">
        <w:t>la OTAN</w:t>
      </w:r>
      <w:r w:rsidR="00545D1B" w:rsidRPr="00742A04">
        <w:t xml:space="preserve">, 63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; </w:t>
      </w:r>
      <w:r w:rsidR="00877AA0" w:rsidRPr="00742A04">
        <w:t>y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DA28CE" w:rsidRPr="00742A04">
        <w:t>los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40 </w:t>
      </w:r>
      <w:r w:rsidR="00380AC9" w:rsidRPr="00742A04">
        <w:t>empleados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DA28CE" w:rsidRPr="00742A04">
        <w:t xml:space="preserve">los bancos de </w:t>
      </w:r>
      <w:r w:rsidR="006B65CD" w:rsidRPr="00742A04">
        <w:t>desarrollo</w:t>
      </w:r>
      <w:r w:rsidR="00545D1B" w:rsidRPr="00742A04">
        <w:t>*</w:t>
      </w:r>
      <w:r w:rsidR="00DA28CE" w:rsidRPr="00742A04">
        <w:t>,</w:t>
      </w:r>
      <w:r w:rsidR="00545D1B" w:rsidRPr="00742A04">
        <w:t xml:space="preserve"> </w:t>
      </w:r>
      <w:r w:rsidR="00DA28CE" w:rsidRPr="00742A04">
        <w:t>la</w:t>
      </w:r>
      <w:r w:rsidR="00545D1B" w:rsidRPr="00742A04">
        <w:t xml:space="preserve"> </w:t>
      </w:r>
      <w:r w:rsidR="00DA28CE" w:rsidRPr="00742A04">
        <w:t>OCDE</w:t>
      </w:r>
      <w:r w:rsidR="00545D1B" w:rsidRPr="00742A04">
        <w:t>, etc.</w:t>
      </w:r>
      <w:r w:rsidR="00DA28CE" w:rsidRPr="00742A04">
        <w:t>,</w:t>
      </w:r>
      <w:r w:rsidR="00545D1B" w:rsidRPr="00742A04">
        <w:t xml:space="preserve"> </w:t>
      </w:r>
      <w:r w:rsidR="00657260" w:rsidRPr="00742A04">
        <w:t>por lo menos</w:t>
      </w:r>
      <w:r w:rsidR="00545D1B" w:rsidRPr="00742A04">
        <w:t xml:space="preserve"> 15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3F4852" w:rsidRPr="00742A04">
        <w:t>Había 35 muj</w:t>
      </w:r>
      <w:r w:rsidR="003F4852" w:rsidRPr="00742A04">
        <w:t>e</w:t>
      </w:r>
      <w:r w:rsidR="003F4852" w:rsidRPr="00742A04">
        <w:t>res entr</w:t>
      </w:r>
      <w:r w:rsidR="00DA28CE" w:rsidRPr="00742A04">
        <w:t>e los</w:t>
      </w:r>
      <w:r w:rsidR="00545D1B" w:rsidRPr="00742A04">
        <w:t xml:space="preserve"> 45 </w:t>
      </w:r>
      <w:r w:rsidR="003F4852" w:rsidRPr="00742A04">
        <w:t>jóvenes</w:t>
      </w:r>
      <w:r w:rsidR="00545D1B" w:rsidRPr="00742A04">
        <w:t xml:space="preserve"> </w:t>
      </w:r>
      <w:r w:rsidR="008176B2" w:rsidRPr="00742A04">
        <w:t>expertos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3F4852" w:rsidRPr="00742A04">
        <w:t>fueron contratados para desempeñar funci</w:t>
      </w:r>
      <w:r w:rsidR="008907B8" w:rsidRPr="00742A04">
        <w:t>ones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87443" w:rsidRPr="00742A04">
        <w:t>diversos</w:t>
      </w:r>
      <w:r w:rsidR="00545D1B" w:rsidRPr="00742A04">
        <w:t xml:space="preserve"> </w:t>
      </w:r>
      <w:r w:rsidR="00F13355" w:rsidRPr="00742A04">
        <w:t>organismos del sistema de las Naciones Unidas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2005.</w:t>
      </w:r>
    </w:p>
    <w:p w:rsidR="000A08D8" w:rsidRPr="00742A04" w:rsidRDefault="00EF5B12" w:rsidP="001C0056">
      <w:pPr>
        <w:pStyle w:val="SingleTxt"/>
        <w:ind w:firstLine="475"/>
      </w:pPr>
      <w:r w:rsidRPr="00742A04">
        <w:t>El artículo 21 de la Ley sobre la Igualdad de Género exige que la represent</w:t>
      </w:r>
      <w:r w:rsidRPr="00742A04">
        <w:t>a</w:t>
      </w:r>
      <w:r w:rsidRPr="00742A04">
        <w:t>ción de cada género sea por lo menos del 40% en todos los  comités, juntas, cons</w:t>
      </w:r>
      <w:r w:rsidRPr="00742A04">
        <w:t>e</w:t>
      </w:r>
      <w:r w:rsidRPr="00742A04">
        <w:t xml:space="preserve">jos, etc. oficiales, y esta norma también se aplica a las </w:t>
      </w:r>
      <w:r>
        <w:t>design</w:t>
      </w:r>
      <w:r w:rsidRPr="00742A04">
        <w:t>aciones de delegaci</w:t>
      </w:r>
      <w:r w:rsidRPr="00742A04">
        <w:t>o</w:t>
      </w:r>
      <w:r w:rsidRPr="00742A04">
        <w:t xml:space="preserve">nes oficiales a foros internacionales. </w:t>
      </w:r>
      <w:r w:rsidR="001C62F9" w:rsidRPr="00742A04">
        <w:t>N</w:t>
      </w:r>
      <w:r w:rsidR="00545D1B" w:rsidRPr="00742A04">
        <w:t xml:space="preserve">o </w:t>
      </w:r>
      <w:r w:rsidR="001C62F9" w:rsidRPr="00742A04">
        <w:t xml:space="preserve">se dispone de </w:t>
      </w:r>
      <w:r w:rsidR="0067405D" w:rsidRPr="00742A04">
        <w:t>estadísticas</w:t>
      </w:r>
      <w:r w:rsidR="00545D1B" w:rsidRPr="00742A04">
        <w:t xml:space="preserve"> </w:t>
      </w:r>
      <w:r w:rsidR="001C62F9" w:rsidRPr="00742A04">
        <w:t>sobre el p</w:t>
      </w:r>
      <w:r w:rsidR="005909B9" w:rsidRPr="00742A04">
        <w:t>orce</w:t>
      </w:r>
      <w:r w:rsidR="005909B9" w:rsidRPr="00742A04">
        <w:t>n</w:t>
      </w:r>
      <w:r w:rsidR="005909B9" w:rsidRPr="00742A04">
        <w:t>taje</w:t>
      </w:r>
      <w:r w:rsidR="001C62F9" w:rsidRPr="00742A04">
        <w:t xml:space="preserve"> efectivo de</w:t>
      </w:r>
      <w:r w:rsidR="00545D1B" w:rsidRPr="00742A04">
        <w:t xml:space="preserve"> repr</w:t>
      </w:r>
      <w:r w:rsidR="00545D1B" w:rsidRPr="00742A04">
        <w:t>e</w:t>
      </w:r>
      <w:r w:rsidR="00545D1B" w:rsidRPr="00742A04">
        <w:t>senta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="00A836A1" w:rsidRPr="00742A04">
        <w:t>género</w:t>
      </w:r>
      <w:r w:rsidR="000A08D8" w:rsidRPr="00742A04">
        <w:t>.</w:t>
      </w:r>
    </w:p>
    <w:p w:rsidR="000A08D8" w:rsidRPr="00742A04" w:rsidRDefault="004B2748" w:rsidP="001C0056">
      <w:pPr>
        <w:pStyle w:val="SingleTxt"/>
        <w:ind w:firstLine="475"/>
      </w:pPr>
      <w:r w:rsidRPr="00742A04">
        <w:t>El Ministerio de Relaciones Exteriores</w:t>
      </w:r>
      <w:r w:rsidR="00545D1B" w:rsidRPr="00742A04">
        <w:t xml:space="preserve"> </w:t>
      </w:r>
      <w:r w:rsidR="001C62F9" w:rsidRPr="00742A04">
        <w:t>tiene</w:t>
      </w:r>
      <w:r w:rsidR="00545D1B" w:rsidRPr="00742A04">
        <w:t xml:space="preserve"> </w:t>
      </w:r>
      <w:r w:rsidR="00A836A1" w:rsidRPr="00742A04">
        <w:t>aproximadamente</w:t>
      </w:r>
      <w:r w:rsidR="001C62F9" w:rsidRPr="00742A04">
        <w:t xml:space="preserve"> 1.</w:t>
      </w:r>
      <w:r w:rsidR="00545D1B" w:rsidRPr="00742A04">
        <w:t xml:space="preserve">430 </w:t>
      </w:r>
      <w:r w:rsidR="00380AC9" w:rsidRPr="00742A04">
        <w:t>emple</w:t>
      </w:r>
      <w:r w:rsidR="00380AC9" w:rsidRPr="00742A04">
        <w:t>a</w:t>
      </w:r>
      <w:r w:rsidR="00380AC9" w:rsidRPr="00742A04">
        <w:t>dos</w:t>
      </w:r>
      <w:r w:rsidR="00545D1B" w:rsidRPr="00742A04">
        <w:t xml:space="preserve">, </w:t>
      </w:r>
      <w:r w:rsidR="001C62F9" w:rsidRPr="00742A04">
        <w:t xml:space="preserve">de los cuales el </w:t>
      </w:r>
      <w:r w:rsidR="00545D1B" w:rsidRPr="00742A04">
        <w:t>52</w:t>
      </w:r>
      <w:r w:rsidR="001167D2" w:rsidRPr="00742A04">
        <w:t>%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1C62F9" w:rsidRPr="00742A04">
        <w:t>Del</w:t>
      </w:r>
      <w:r w:rsidR="00545D1B" w:rsidRPr="00742A04">
        <w:t xml:space="preserve"> total </w:t>
      </w:r>
      <w:r w:rsidR="00C076F2" w:rsidRPr="00742A04">
        <w:t xml:space="preserve">de </w:t>
      </w:r>
      <w:r w:rsidR="00380AC9" w:rsidRPr="00742A04">
        <w:t>empleados</w:t>
      </w:r>
      <w:r w:rsidR="00545D1B" w:rsidRPr="00742A04">
        <w:t xml:space="preserve"> </w:t>
      </w:r>
      <w:r w:rsidR="001C62F9" w:rsidRPr="00742A04">
        <w:t>de cargos superiores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2005, </w:t>
      </w:r>
      <w:r w:rsidR="001C62F9" w:rsidRPr="00742A04">
        <w:t xml:space="preserve">el </w:t>
      </w:r>
      <w:r w:rsidR="00545D1B" w:rsidRPr="00742A04">
        <w:t>29</w:t>
      </w:r>
      <w:r w:rsidR="001167D2" w:rsidRPr="00742A04">
        <w:t>%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1C62F9" w:rsidRPr="00742A04">
        <w:t>Este</w:t>
      </w:r>
      <w:r w:rsidR="00545D1B" w:rsidRPr="00742A04">
        <w:t xml:space="preserve"> </w:t>
      </w:r>
      <w:r w:rsidR="001C62F9" w:rsidRPr="00742A04">
        <w:t>porcentaje</w:t>
      </w:r>
      <w:r w:rsidR="00545D1B" w:rsidRPr="00742A04">
        <w:t xml:space="preserve"> </w:t>
      </w:r>
      <w:r w:rsidR="005C19C7" w:rsidRPr="00742A04">
        <w:t>ha mejorado</w:t>
      </w:r>
      <w:r w:rsidR="00545D1B" w:rsidRPr="00742A04">
        <w:t xml:space="preserve"> </w:t>
      </w:r>
      <w:r w:rsidR="001C62F9" w:rsidRPr="00742A04">
        <w:t>levemente</w:t>
      </w:r>
      <w:r w:rsidR="00545D1B" w:rsidRPr="00742A04">
        <w:t xml:space="preserve"> </w:t>
      </w:r>
      <w:r w:rsidR="00B34971" w:rsidRPr="00742A04">
        <w:t>a partir de</w:t>
      </w:r>
      <w:r w:rsidR="00545D1B" w:rsidRPr="00742A04">
        <w:t xml:space="preserve"> 2001.</w:t>
      </w:r>
      <w:r w:rsidR="001C62F9" w:rsidRPr="00742A04">
        <w:t xml:space="preserve"> El</w:t>
      </w:r>
      <w:r w:rsidR="001167D2" w:rsidRPr="00742A04">
        <w:t xml:space="preserve"> </w:t>
      </w:r>
      <w:r w:rsidR="004A0730" w:rsidRPr="00742A04">
        <w:t>Ministerio</w:t>
      </w:r>
      <w:r w:rsidR="00545D1B" w:rsidRPr="00742A04">
        <w:t xml:space="preserve"> </w:t>
      </w:r>
      <w:r w:rsidR="001C62F9" w:rsidRPr="00742A04">
        <w:t xml:space="preserve">se propone </w:t>
      </w:r>
      <w:r w:rsidR="00242371" w:rsidRPr="00742A04">
        <w:t>incrementar</w:t>
      </w:r>
      <w:r w:rsidR="00545D1B" w:rsidRPr="00742A04">
        <w:t xml:space="preserve"> </w:t>
      </w:r>
      <w:r w:rsidR="003E4840" w:rsidRPr="00742A04">
        <w:t>sus</w:t>
      </w:r>
      <w:r w:rsidR="00502E16" w:rsidRPr="00742A04">
        <w:t xml:space="preserve"> </w:t>
      </w:r>
      <w:r w:rsidR="00935A90" w:rsidRPr="00742A04">
        <w:t xml:space="preserve">esfuerzos por </w:t>
      </w:r>
      <w:r w:rsidR="00B31D97" w:rsidRPr="00742A04">
        <w:t>asegurar que</w:t>
      </w:r>
      <w:r w:rsidR="00545D1B" w:rsidRPr="00742A04">
        <w:t xml:space="preserve"> </w:t>
      </w:r>
      <w:r w:rsidR="00021DB5" w:rsidRPr="00742A04">
        <w:t>hay</w:t>
      </w:r>
      <w:r w:rsidR="001C62F9" w:rsidRPr="00742A04">
        <w:t>a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C62F9" w:rsidRPr="00742A04">
        <w:t>puestos superiores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ha </w:t>
      </w:r>
      <w:r w:rsidR="0079108A" w:rsidRPr="00742A04">
        <w:t>lanzado</w:t>
      </w:r>
      <w:r w:rsidR="00545D1B" w:rsidRPr="00742A04">
        <w:t xml:space="preserve"> </w:t>
      </w:r>
      <w:r w:rsidR="001C62F9" w:rsidRPr="00742A04">
        <w:t>un P</w:t>
      </w:r>
      <w:r w:rsidR="003E4840" w:rsidRPr="00742A04">
        <w:t>la</w:t>
      </w:r>
      <w:r w:rsidR="001C62F9" w:rsidRPr="00742A04">
        <w:t>n de A</w:t>
      </w:r>
      <w:r w:rsidR="003E4840" w:rsidRPr="00742A04">
        <w:t>cción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C62F9" w:rsidRPr="00742A04">
        <w:t>la Igualdad de G</w:t>
      </w:r>
      <w:r w:rsidR="00A05847" w:rsidRPr="00742A04">
        <w:t>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C62F9" w:rsidRPr="00742A04">
        <w:t xml:space="preserve">el </w:t>
      </w:r>
      <w:r w:rsidR="009C08FB" w:rsidRPr="00742A04">
        <w:t>Servicio</w:t>
      </w:r>
      <w:r w:rsidR="001C62F9" w:rsidRPr="00742A04">
        <w:t xml:space="preserve"> Exterior</w:t>
      </w:r>
      <w:r w:rsidR="00545D1B" w:rsidRPr="00742A04">
        <w:t xml:space="preserve"> (2002-2006)</w:t>
      </w:r>
      <w:r w:rsidR="000A08D8" w:rsidRPr="00742A04">
        <w:t>.</w:t>
      </w:r>
    </w:p>
    <w:p w:rsidR="00545D1B" w:rsidRPr="00742A04" w:rsidRDefault="00EA26AB" w:rsidP="001C0056">
      <w:pPr>
        <w:pStyle w:val="SingleTxt"/>
        <w:ind w:firstLine="475"/>
      </w:pPr>
      <w:r w:rsidRPr="00742A04">
        <w:t>Noruega</w:t>
      </w:r>
      <w:r w:rsidR="00545D1B" w:rsidRPr="00742A04">
        <w:t xml:space="preserve"> </w:t>
      </w:r>
      <w:r w:rsidR="00AF6A61" w:rsidRPr="00742A04">
        <w:t>tiene</w:t>
      </w:r>
      <w:r w:rsidR="00545D1B" w:rsidRPr="00742A04">
        <w:t xml:space="preserve"> 100 </w:t>
      </w:r>
      <w:r w:rsidR="00C07ED9" w:rsidRPr="00742A04">
        <w:t>misiones del servicio exterior</w:t>
      </w:r>
      <w:r w:rsidR="00545D1B" w:rsidRPr="00742A04">
        <w:t xml:space="preserve">, </w:t>
      </w:r>
      <w:r w:rsidR="00AF6A61" w:rsidRPr="00742A04">
        <w:t xml:space="preserve">y en </w:t>
      </w:r>
      <w:r w:rsidR="00545D1B" w:rsidRPr="00742A04">
        <w:t xml:space="preserve">15 </w:t>
      </w:r>
      <w:r w:rsidR="004A0730" w:rsidRPr="00742A04">
        <w:t>de</w:t>
      </w:r>
      <w:r w:rsidR="00545D1B" w:rsidRPr="00742A04">
        <w:t xml:space="preserve"> </w:t>
      </w:r>
      <w:r w:rsidR="00AF6A61" w:rsidRPr="00742A04">
        <w:t>ellas hay un</w:t>
      </w:r>
      <w:r w:rsidR="00545D1B" w:rsidRPr="00742A04">
        <w:t xml:space="preserve">a </w:t>
      </w:r>
      <w:r w:rsidR="000220D6" w:rsidRPr="00742A04">
        <w:t>m</w:t>
      </w:r>
      <w:r w:rsidR="000220D6" w:rsidRPr="00742A04">
        <w:t>u</w:t>
      </w:r>
      <w:r w:rsidR="000220D6" w:rsidRPr="00742A04">
        <w:t>jer</w:t>
      </w:r>
      <w:r w:rsidR="00545D1B" w:rsidRPr="00742A04">
        <w:t xml:space="preserve"> </w:t>
      </w:r>
      <w:r w:rsidR="00AF6A61" w:rsidRPr="00742A04">
        <w:t>como jefe de misión</w:t>
      </w:r>
      <w:r w:rsidR="00545D1B" w:rsidRPr="00742A04">
        <w:t xml:space="preserve">, </w:t>
      </w:r>
      <w:r w:rsidR="00AF6A61" w:rsidRPr="00742A04">
        <w:t xml:space="preserve">en calidad de </w:t>
      </w:r>
      <w:r w:rsidR="00EF5B12" w:rsidRPr="00742A04">
        <w:t>Cónsul</w:t>
      </w:r>
      <w:r w:rsidR="00545D1B" w:rsidRPr="00742A04">
        <w:t xml:space="preserve"> General </w:t>
      </w:r>
      <w:r w:rsidR="008E5EBF" w:rsidRPr="00742A04">
        <w:t>o</w:t>
      </w:r>
      <w:r w:rsidR="00545D1B" w:rsidRPr="00742A04">
        <w:t xml:space="preserve"> </w:t>
      </w:r>
      <w:r w:rsidR="00AF6A61" w:rsidRPr="00742A04">
        <w:t>Embaj</w:t>
      </w:r>
      <w:r w:rsidR="00545D1B" w:rsidRPr="00742A04">
        <w:t>ador</w:t>
      </w:r>
      <w:r w:rsidR="00E80722">
        <w:t>a</w:t>
      </w:r>
      <w:r w:rsidR="00545D1B" w:rsidRPr="00742A04">
        <w:t xml:space="preserve">. </w:t>
      </w:r>
      <w:r w:rsidR="00AF6A61" w:rsidRPr="00742A04">
        <w:t>Tres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AF6A61" w:rsidRPr="00742A04">
        <w:t>ejercen embajadas</w:t>
      </w:r>
      <w:r w:rsidR="00545D1B" w:rsidRPr="00742A04">
        <w:t xml:space="preserve"> </w:t>
      </w:r>
      <w:r w:rsidR="00C14BFF" w:rsidRPr="00742A04">
        <w:t>en</w:t>
      </w:r>
      <w:r w:rsidR="00AF6A61" w:rsidRPr="00742A04">
        <w:t xml:space="preserve"> Europa.</w:t>
      </w:r>
    </w:p>
    <w:p w:rsidR="00B85C95" w:rsidRPr="00742A04" w:rsidRDefault="00B85C95" w:rsidP="00B85C95">
      <w:pPr>
        <w:pStyle w:val="H23"/>
        <w:spacing w:line="120" w:lineRule="exact"/>
        <w:ind w:left="1267"/>
        <w:rPr>
          <w:bCs/>
          <w:sz w:val="10"/>
        </w:rPr>
      </w:pPr>
      <w:bookmarkStart w:id="52" w:name="_Toc147129467"/>
    </w:p>
    <w:p w:rsidR="00B85C95" w:rsidRPr="00742A04" w:rsidRDefault="00814B5D" w:rsidP="00381B36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B85C95" w:rsidRPr="00742A04">
        <w:rPr>
          <w:bCs/>
        </w:rPr>
        <w:t xml:space="preserve"> 9</w:t>
      </w:r>
    </w:p>
    <w:p w:rsidR="00545D1B" w:rsidRPr="00742A04" w:rsidRDefault="00A05847" w:rsidP="00381B36">
      <w:pPr>
        <w:pStyle w:val="H1"/>
        <w:ind w:left="1267"/>
        <w:rPr>
          <w:bCs/>
        </w:rPr>
      </w:pPr>
      <w:r w:rsidRPr="00742A04">
        <w:rPr>
          <w:bCs/>
        </w:rPr>
        <w:t>Nacionalidad</w:t>
      </w:r>
      <w:bookmarkEnd w:id="52"/>
    </w:p>
    <w:p w:rsidR="00B85C95" w:rsidRPr="00742A04" w:rsidRDefault="00B85C95" w:rsidP="00B85C95">
      <w:pPr>
        <w:pStyle w:val="SingleTxt"/>
        <w:spacing w:after="0" w:line="120" w:lineRule="exact"/>
        <w:rPr>
          <w:sz w:val="10"/>
        </w:rPr>
      </w:pPr>
    </w:p>
    <w:p w:rsidR="00545D1B" w:rsidRPr="00742A04" w:rsidRDefault="00EA26AB" w:rsidP="001C0056">
      <w:pPr>
        <w:pStyle w:val="SingleTxt"/>
        <w:ind w:firstLine="475"/>
      </w:pPr>
      <w:r w:rsidRPr="00742A04">
        <w:t>Noruega</w:t>
      </w:r>
      <w:r w:rsidR="00545D1B" w:rsidRPr="00742A04">
        <w:t xml:space="preserve"> </w:t>
      </w:r>
      <w:r w:rsidR="00111E2C" w:rsidRPr="00742A04">
        <w:t>tiene una nueva</w:t>
      </w:r>
      <w:r w:rsidR="00545D1B" w:rsidRPr="00742A04">
        <w:t xml:space="preserve"> </w:t>
      </w:r>
      <w:r w:rsidR="001C0056" w:rsidRPr="00742A04">
        <w:t>Ley sobre la Nacionalidad Noruega</w:t>
      </w:r>
      <w:r w:rsidR="00E80722" w:rsidRPr="00E80722">
        <w:t xml:space="preserve"> </w:t>
      </w:r>
      <w:r w:rsidR="00E80722">
        <w:t>(</w:t>
      </w:r>
      <w:r w:rsidR="00E80722" w:rsidRPr="00742A04">
        <w:t>N° 51</w:t>
      </w:r>
      <w:r w:rsidR="00E80722">
        <w:t>,</w:t>
      </w:r>
      <w:r w:rsidR="00E80722" w:rsidRPr="00742A04">
        <w:t xml:space="preserve"> de 10 de junio de 2005</w:t>
      </w:r>
      <w:r w:rsidR="00E80722">
        <w:t>)</w:t>
      </w:r>
      <w:r w:rsidR="00545D1B" w:rsidRPr="00742A04">
        <w:t xml:space="preserve">. </w:t>
      </w:r>
      <w:r w:rsidR="00AF6A61" w:rsidRPr="00742A04">
        <w:t>Est</w:t>
      </w:r>
      <w:r w:rsidR="00E80722">
        <w:t>á previsto que dich</w:t>
      </w:r>
      <w:r w:rsidR="00230F13" w:rsidRPr="00742A04">
        <w:t>a Ley</w:t>
      </w:r>
      <w:r w:rsidR="00545D1B" w:rsidRPr="00742A04">
        <w:t xml:space="preserve"> ent</w:t>
      </w:r>
      <w:r w:rsidR="00AF6A61" w:rsidRPr="00742A04">
        <w:t>r</w:t>
      </w:r>
      <w:r w:rsidR="00545D1B" w:rsidRPr="00742A04">
        <w:t>e</w:t>
      </w:r>
      <w:r w:rsidR="00AF6A61" w:rsidRPr="00742A04">
        <w:t xml:space="preserve"> en vigor</w:t>
      </w:r>
      <w:r w:rsidR="00545D1B" w:rsidRPr="00742A04">
        <w:t xml:space="preserve"> </w:t>
      </w:r>
      <w:r w:rsidR="004D313C" w:rsidRPr="00742A04">
        <w:t>en el otoño</w:t>
      </w:r>
      <w:r w:rsidR="00F43124" w:rsidRPr="00742A04">
        <w:t xml:space="preserve"> de</w:t>
      </w:r>
      <w:r w:rsidR="00AF6A61" w:rsidRPr="00742A04">
        <w:t xml:space="preserve"> 2006.</w:t>
      </w:r>
    </w:p>
    <w:p w:rsidR="000A08D8" w:rsidRPr="00742A04" w:rsidRDefault="00AF6A61" w:rsidP="001C0056">
      <w:pPr>
        <w:pStyle w:val="SingleTxt"/>
        <w:ind w:firstLine="475"/>
      </w:pPr>
      <w:r w:rsidRPr="00742A04">
        <w:t>La nueva</w:t>
      </w:r>
      <w:r w:rsidR="00545D1B" w:rsidRPr="00742A04">
        <w:t xml:space="preserve"> </w:t>
      </w:r>
      <w:r w:rsidR="00130F7F" w:rsidRPr="00742A04">
        <w:t>Ley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neutral en materia de género</w:t>
      </w:r>
      <w:r w:rsidR="00AC5D28" w:rsidRPr="00742A04">
        <w:t xml:space="preserve"> y </w:t>
      </w:r>
      <w:r w:rsidR="00C14BFF" w:rsidRPr="00742A04">
        <w:t>en</w:t>
      </w:r>
      <w:r w:rsidR="00545D1B" w:rsidRPr="00742A04">
        <w:t xml:space="preserve"> </w:t>
      </w:r>
      <w:r w:rsidRPr="00742A04">
        <w:t>muchos aspecto</w:t>
      </w:r>
      <w:r w:rsidR="00FC4C8D" w:rsidRPr="00742A04">
        <w:t xml:space="preserve">s </w:t>
      </w:r>
      <w:r w:rsidRPr="00742A04">
        <w:t>es una</w:t>
      </w:r>
      <w:r w:rsidR="00545D1B" w:rsidRPr="00742A04">
        <w:t xml:space="preserve"> continua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Pr="00742A04">
        <w:t>la legislación actual</w:t>
      </w:r>
      <w:r w:rsidR="00C27C42" w:rsidRPr="00742A04">
        <w:t>.</w:t>
      </w:r>
      <w:r w:rsidR="00545D1B" w:rsidRPr="00742A04">
        <w:t xml:space="preserve"> </w:t>
      </w:r>
      <w:r w:rsidR="00495D7B" w:rsidRPr="00742A04">
        <w:t>Un</w:t>
      </w:r>
      <w:r w:rsidRPr="00742A04">
        <w:t>a de las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="009B24F7" w:rsidRPr="00742A04">
        <w:t>más importantes respe</w:t>
      </w:r>
      <w:r w:rsidR="009B24F7" w:rsidRPr="00742A04">
        <w:t>c</w:t>
      </w:r>
      <w:r w:rsidR="009B24F7" w:rsidRPr="00742A04">
        <w:t xml:space="preserve">to </w:t>
      </w:r>
      <w:r w:rsidR="008F0C8E" w:rsidRPr="00742A04">
        <w:t>de</w:t>
      </w:r>
      <w:r w:rsidR="00545D1B" w:rsidRPr="00742A04">
        <w:t xml:space="preserve"> </w:t>
      </w:r>
      <w:r w:rsidR="009B24F7" w:rsidRPr="00742A04">
        <w:t>la Ley</w:t>
      </w:r>
      <w:r w:rsidR="00545D1B" w:rsidRPr="00742A04">
        <w:t xml:space="preserve"> </w:t>
      </w:r>
      <w:r w:rsidR="005F7B32" w:rsidRPr="00742A04">
        <w:t>actual</w:t>
      </w:r>
      <w:r w:rsidR="00545D1B" w:rsidRPr="00742A04">
        <w:t xml:space="preserve"> </w:t>
      </w:r>
      <w:r w:rsidR="0081178E" w:rsidRPr="00742A04">
        <w:t>es que</w:t>
      </w:r>
      <w:r w:rsidR="00545D1B" w:rsidRPr="00742A04">
        <w:t xml:space="preserve"> </w:t>
      </w:r>
      <w:r w:rsidR="008E5EBF" w:rsidRPr="00742A04">
        <w:t xml:space="preserve">una persona </w:t>
      </w:r>
      <w:r w:rsidR="009B24F7" w:rsidRPr="00742A04">
        <w:t>tiene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9B24F7" w:rsidRPr="00742A04">
        <w:t>la nacionalidad noruega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9B24F7" w:rsidRPr="00742A04">
        <w:t>se reúnen todas las condiciones</w:t>
      </w:r>
      <w:r w:rsidR="00545D1B" w:rsidRPr="00742A04">
        <w:t xml:space="preserve">. </w:t>
      </w:r>
      <w:r w:rsidR="009B24F7" w:rsidRPr="00742A04">
        <w:t>P</w:t>
      </w:r>
      <w:r w:rsidR="00F05119" w:rsidRPr="00742A04">
        <w:t>or consiguiente</w:t>
      </w:r>
      <w:r w:rsidR="009B24F7" w:rsidRPr="00742A04">
        <w:t>, se da menor</w:t>
      </w:r>
      <w:r w:rsidR="00545D1B" w:rsidRPr="00742A04">
        <w:t xml:space="preserve"> </w:t>
      </w:r>
      <w:r w:rsidR="009B24F7" w:rsidRPr="00742A04">
        <w:t>importancia a la</w:t>
      </w:r>
      <w:r w:rsidR="00545D1B" w:rsidRPr="00742A04">
        <w:t xml:space="preserve"> </w:t>
      </w:r>
      <w:r w:rsidR="009B24F7" w:rsidRPr="00742A04">
        <w:t>ev</w:t>
      </w:r>
      <w:r w:rsidR="009B24F7" w:rsidRPr="00742A04">
        <w:t>a</w:t>
      </w:r>
      <w:r w:rsidR="009B24F7" w:rsidRPr="00742A04">
        <w:t xml:space="preserve">luación </w:t>
      </w:r>
      <w:r w:rsidR="00545D1B" w:rsidRPr="00742A04">
        <w:t>administra</w:t>
      </w:r>
      <w:r w:rsidR="009B24F7" w:rsidRPr="00742A04">
        <w:t>tiva</w:t>
      </w:r>
      <w:r w:rsidR="00545D1B" w:rsidRPr="00742A04">
        <w:t xml:space="preserve">. </w:t>
      </w:r>
      <w:r w:rsidR="009B24F7" w:rsidRPr="00742A04">
        <w:t>Todas las</w:t>
      </w:r>
      <w:r w:rsidR="00545D1B" w:rsidRPr="00742A04">
        <w:t xml:space="preserve"> condi</w:t>
      </w:r>
      <w:r w:rsidR="008907B8" w:rsidRPr="00742A04">
        <w:t>ciones</w:t>
      </w:r>
      <w:r w:rsidR="00545D1B" w:rsidRPr="00742A04">
        <w:t xml:space="preserve"> </w:t>
      </w:r>
      <w:r w:rsidR="009B24F7" w:rsidRPr="00742A04">
        <w:t xml:space="preserve">requeridas </w:t>
      </w:r>
      <w:r w:rsidR="00F43124" w:rsidRPr="00742A04">
        <w:t>para</w:t>
      </w:r>
      <w:r w:rsidR="00545D1B" w:rsidRPr="00742A04">
        <w:t xml:space="preserve"> </w:t>
      </w:r>
      <w:r w:rsidR="009B24F7" w:rsidRPr="00742A04">
        <w:t xml:space="preserve">la </w:t>
      </w:r>
      <w:r w:rsidR="00A05847" w:rsidRPr="00742A04">
        <w:t>nacionalidad</w:t>
      </w:r>
      <w:r w:rsidR="00545D1B" w:rsidRPr="00742A04">
        <w:t xml:space="preserve"> </w:t>
      </w:r>
      <w:r w:rsidR="009B24F7" w:rsidRPr="00742A04">
        <w:t>están estipuladas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30F13" w:rsidRPr="00742A04">
        <w:t>la Ley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BB4DB1" w:rsidRPr="00742A04">
        <w:t>es</w:t>
      </w:r>
      <w:r w:rsidR="009B24F7" w:rsidRPr="00742A04">
        <w:t>tá</w:t>
      </w:r>
      <w:r w:rsidR="00545D1B" w:rsidRPr="00742A04">
        <w:t xml:space="preserve"> </w:t>
      </w:r>
      <w:r w:rsidR="009B24F7" w:rsidRPr="00742A04">
        <w:t>com</w:t>
      </w:r>
      <w:r w:rsidR="00545D1B" w:rsidRPr="00742A04">
        <w:t>plement</w:t>
      </w:r>
      <w:r w:rsidR="009B24F7" w:rsidRPr="00742A04">
        <w:t>ada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regla</w:t>
      </w:r>
      <w:r w:rsidR="009B24F7" w:rsidRPr="00742A04">
        <w:t>menta</w:t>
      </w:r>
      <w:r w:rsidR="008907B8" w:rsidRPr="00742A04">
        <w:t>ciones</w:t>
      </w:r>
      <w:r w:rsidR="00545D1B" w:rsidRPr="00742A04">
        <w:t xml:space="preserve">, </w:t>
      </w:r>
      <w:r w:rsidR="009B24F7" w:rsidRPr="00742A04">
        <w:t>mientras que</w:t>
      </w:r>
      <w:r w:rsidR="00545D1B" w:rsidRPr="00742A04">
        <w:t xml:space="preserve"> </w:t>
      </w:r>
      <w:r w:rsidR="009B24F7" w:rsidRPr="00742A04">
        <w:t>la Ley actual</w:t>
      </w:r>
      <w:r w:rsidR="00545D1B" w:rsidRPr="00742A04">
        <w:t xml:space="preserve"> </w:t>
      </w:r>
      <w:r w:rsidR="00BC2FBE" w:rsidRPr="00742A04">
        <w:t>en gran medida</w:t>
      </w:r>
      <w:r w:rsidR="00545D1B" w:rsidRPr="00742A04">
        <w:t xml:space="preserve"> </w:t>
      </w:r>
      <w:r w:rsidR="009B24F7" w:rsidRPr="00742A04">
        <w:t>contiene una</w:t>
      </w:r>
      <w:r w:rsidR="00545D1B" w:rsidRPr="00742A04">
        <w:t xml:space="preserve"> l</w:t>
      </w:r>
      <w:r w:rsidR="00545D1B" w:rsidRPr="00742A04">
        <w:t>e</w:t>
      </w:r>
      <w:r w:rsidR="00545D1B" w:rsidRPr="00742A04">
        <w:t>gisla</w:t>
      </w:r>
      <w:r w:rsidR="00C27C42" w:rsidRPr="00742A04">
        <w:t>ci</w:t>
      </w:r>
      <w:r w:rsidR="00C14BFF" w:rsidRPr="00742A04">
        <w:t>ón</w:t>
      </w:r>
      <w:r w:rsidR="009B24F7" w:rsidRPr="00742A04">
        <w:t xml:space="preserve"> marco</w:t>
      </w:r>
      <w:r w:rsidR="000A08D8" w:rsidRPr="00742A04">
        <w:t>.</w:t>
      </w:r>
    </w:p>
    <w:p w:rsidR="000A08D8" w:rsidRPr="00742A04" w:rsidRDefault="002F3238" w:rsidP="001C0056">
      <w:pPr>
        <w:pStyle w:val="SingleTxt"/>
        <w:ind w:firstLine="475"/>
      </w:pPr>
      <w:r w:rsidRPr="00742A04">
        <w:t>Los niños</w:t>
      </w:r>
      <w:r w:rsidR="00545D1B" w:rsidRPr="00742A04">
        <w:t xml:space="preserve"> </w:t>
      </w:r>
      <w:r w:rsidR="004B1620" w:rsidRPr="00742A04">
        <w:t>podrán obtener</w:t>
      </w:r>
      <w:r w:rsidR="00545D1B" w:rsidRPr="00742A04">
        <w:t xml:space="preserve"> </w:t>
      </w:r>
      <w:r w:rsidR="009B24F7" w:rsidRPr="00742A04">
        <w:t>la nacionalidad noruega</w:t>
      </w:r>
      <w:r w:rsidR="00545D1B" w:rsidRPr="00742A04">
        <w:t xml:space="preserve"> </w:t>
      </w:r>
      <w:r w:rsidR="009B24F7" w:rsidRPr="00742A04">
        <w:t>mediante solicitud</w:t>
      </w:r>
      <w:r w:rsidR="00C14BFF" w:rsidRPr="00742A04">
        <w:t xml:space="preserve"> </w:t>
      </w:r>
      <w:r w:rsidR="003E4840" w:rsidRPr="00742A04">
        <w:t>después de</w:t>
      </w:r>
      <w:r w:rsidR="00545D1B" w:rsidRPr="00742A04">
        <w:t xml:space="preserve"> </w:t>
      </w:r>
      <w:r w:rsidR="009B24F7" w:rsidRPr="00742A04">
        <w:t>haber cumplido</w:t>
      </w:r>
      <w:r w:rsidR="00545D1B" w:rsidRPr="00742A04">
        <w:t xml:space="preserve"> 12</w:t>
      </w:r>
      <w:r w:rsidR="009B24F7" w:rsidRPr="00742A04">
        <w:t xml:space="preserve"> años de edad</w:t>
      </w:r>
      <w:r w:rsidR="00545D1B" w:rsidRPr="00742A04">
        <w:t xml:space="preserve"> </w:t>
      </w:r>
      <w:r w:rsidR="009B24F7" w:rsidRPr="00742A04">
        <w:t>aún cuando sus padres</w:t>
      </w:r>
      <w:r w:rsidR="00545D1B" w:rsidRPr="00742A04">
        <w:t xml:space="preserve"> </w:t>
      </w:r>
      <w:r w:rsidR="00CE5A7F" w:rsidRPr="00742A04">
        <w:t xml:space="preserve">no </w:t>
      </w:r>
      <w:r w:rsidR="009B24F7" w:rsidRPr="00742A04">
        <w:t>teng</w:t>
      </w:r>
      <w:r w:rsidR="00CE5A7F" w:rsidRPr="00742A04">
        <w:t>an</w:t>
      </w:r>
      <w:r w:rsidR="00545D1B" w:rsidRPr="00742A04">
        <w:t xml:space="preserve"> </w:t>
      </w:r>
      <w:r w:rsidR="009B24F7" w:rsidRPr="00742A04">
        <w:t xml:space="preserve">la </w:t>
      </w:r>
      <w:r w:rsidR="001D532F" w:rsidRPr="00742A04">
        <w:t>nacional</w:t>
      </w:r>
      <w:r w:rsidR="009B24F7" w:rsidRPr="00742A04">
        <w:t>idad</w:t>
      </w:r>
      <w:r w:rsidR="001D532F" w:rsidRPr="00742A04">
        <w:t xml:space="preserve"> </w:t>
      </w:r>
      <w:r w:rsidR="009B24F7" w:rsidRPr="00742A04">
        <w:t>n</w:t>
      </w:r>
      <w:r w:rsidR="001D532F" w:rsidRPr="00742A04">
        <w:t>oruega</w:t>
      </w:r>
      <w:r w:rsidR="00545D1B" w:rsidRPr="00742A04">
        <w:t xml:space="preserve"> </w:t>
      </w:r>
      <w:r w:rsidR="009B24F7" w:rsidRPr="00742A04">
        <w:t xml:space="preserve">o no la adquieran </w:t>
      </w:r>
      <w:r w:rsidR="00130F7F" w:rsidRPr="00742A04">
        <w:t>al mismo tiempo</w:t>
      </w:r>
      <w:r w:rsidR="00545D1B" w:rsidRPr="00742A04">
        <w:t xml:space="preserve">. </w:t>
      </w:r>
      <w:r w:rsidR="009B24F7" w:rsidRPr="00742A04">
        <w:t>El padre y la madre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tr</w:t>
      </w:r>
      <w:r w:rsidR="009B24F7" w:rsidRPr="00742A04">
        <w:t>atados</w:t>
      </w:r>
      <w:r w:rsidR="00545D1B" w:rsidRPr="00742A04">
        <w:t xml:space="preserve"> </w:t>
      </w:r>
      <w:r w:rsidR="00581775" w:rsidRPr="00742A04">
        <w:t>igua</w:t>
      </w:r>
      <w:r w:rsidR="005F7B32" w:rsidRPr="00742A04">
        <w:t>l</w:t>
      </w:r>
      <w:r w:rsidR="009B24F7" w:rsidRPr="00742A04">
        <w:t>i</w:t>
      </w:r>
      <w:r w:rsidR="009B24F7" w:rsidRPr="00742A04">
        <w:t>taria</w:t>
      </w:r>
      <w:r w:rsidR="005F7B32" w:rsidRPr="00742A04">
        <w:t xml:space="preserve">mente </w:t>
      </w:r>
      <w:r w:rsidR="00585E84" w:rsidRPr="00742A04">
        <w:t xml:space="preserve">con respecto </w:t>
      </w:r>
      <w:r w:rsidR="0030626A" w:rsidRPr="00742A04">
        <w:t>a</w:t>
      </w:r>
      <w:r w:rsidR="00545D1B" w:rsidRPr="00742A04">
        <w:t xml:space="preserve"> </w:t>
      </w:r>
      <w:r w:rsidR="009B24F7" w:rsidRPr="00742A04">
        <w:t>la transmisión automática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B24F7" w:rsidRPr="00742A04">
        <w:t xml:space="preserve">la </w:t>
      </w:r>
      <w:r w:rsidR="00A05847" w:rsidRPr="00742A04">
        <w:t>nacionalidad</w:t>
      </w:r>
      <w:r w:rsidR="00545D1B" w:rsidRPr="00742A04">
        <w:t xml:space="preserve"> </w:t>
      </w:r>
      <w:r w:rsidR="0030626A" w:rsidRPr="00742A04">
        <w:t>a</w:t>
      </w:r>
      <w:r w:rsidR="009B24F7" w:rsidRPr="00742A04">
        <w:t>l hijo</w:t>
      </w:r>
      <w:r w:rsidR="00545D1B" w:rsidRPr="00742A04">
        <w:t xml:space="preserve"> </w:t>
      </w:r>
      <w:r w:rsidR="009B24F7" w:rsidRPr="00742A04">
        <w:t>en el momento del nacimiento</w:t>
      </w:r>
      <w:r w:rsidR="000A08D8" w:rsidRPr="00742A04">
        <w:t>.</w:t>
      </w:r>
    </w:p>
    <w:p w:rsidR="000A08D8" w:rsidRPr="00742A04" w:rsidRDefault="00AF6A61" w:rsidP="001C0056">
      <w:pPr>
        <w:pStyle w:val="SingleTxt"/>
        <w:ind w:firstLine="475"/>
      </w:pPr>
      <w:r w:rsidRPr="00742A04">
        <w:t>La nueva</w:t>
      </w:r>
      <w:r w:rsidR="00545D1B" w:rsidRPr="00742A04">
        <w:t xml:space="preserve"> </w:t>
      </w:r>
      <w:r w:rsidR="00130F7F" w:rsidRPr="00742A04">
        <w:t>Ley</w:t>
      </w:r>
      <w:r w:rsidR="00545D1B" w:rsidRPr="00742A04">
        <w:t xml:space="preserve"> </w:t>
      </w:r>
      <w:r w:rsidR="009B24F7" w:rsidRPr="00742A04">
        <w:t>está basada en</w:t>
      </w:r>
      <w:r w:rsidR="004F2F8A" w:rsidRPr="00742A04">
        <w:t xml:space="preserve"> el </w:t>
      </w:r>
      <w:r w:rsidR="00B82A08" w:rsidRPr="00742A04">
        <w:t>principio</w:t>
      </w:r>
      <w:r w:rsidR="00FD7D4E" w:rsidRPr="00742A04">
        <w:t xml:space="preserve"> de </w:t>
      </w:r>
      <w:r w:rsidR="009B24F7" w:rsidRPr="00742A04">
        <w:t>la nacionalidad única</w:t>
      </w:r>
      <w:r w:rsidR="00545D1B" w:rsidRPr="00742A04">
        <w:t xml:space="preserve">. </w:t>
      </w:r>
      <w:r w:rsidR="009B24F7" w:rsidRPr="00742A04">
        <w:t>Este</w:t>
      </w:r>
      <w:r w:rsidR="00545D1B" w:rsidRPr="00742A04">
        <w:t xml:space="preserve"> princ</w:t>
      </w:r>
      <w:r w:rsidR="00545D1B" w:rsidRPr="00742A04">
        <w:t>i</w:t>
      </w:r>
      <w:r w:rsidR="00545D1B" w:rsidRPr="00742A04">
        <w:t>p</w:t>
      </w:r>
      <w:r w:rsidR="009B24F7" w:rsidRPr="00742A04">
        <w:t>io</w:t>
      </w:r>
      <w:r w:rsidR="00545D1B" w:rsidRPr="00742A04">
        <w:t xml:space="preserve"> </w:t>
      </w:r>
      <w:r w:rsidR="009B24F7" w:rsidRPr="00742A04">
        <w:t>se hará cumplir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A30B35" w:rsidRPr="00742A04">
        <w:t>eficazmente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9B24F7" w:rsidRPr="00742A04">
        <w:t>con arreglo a</w:t>
      </w:r>
      <w:r w:rsidR="00545D1B" w:rsidRPr="00742A04">
        <w:t xml:space="preserve"> </w:t>
      </w:r>
      <w:r w:rsidR="009B24F7" w:rsidRPr="00742A04">
        <w:t>la Ley actual</w:t>
      </w:r>
      <w:r w:rsidR="00545D1B" w:rsidRPr="00742A04">
        <w:t xml:space="preserve">, </w:t>
      </w:r>
      <w:r w:rsidR="00232DF9" w:rsidRPr="00742A04">
        <w:t>entre otras c</w:t>
      </w:r>
      <w:r w:rsidR="00232DF9" w:rsidRPr="00742A04">
        <w:t>o</w:t>
      </w:r>
      <w:r w:rsidR="00232DF9" w:rsidRPr="00742A04">
        <w:t>sas</w:t>
      </w:r>
      <w:r w:rsidR="00545D1B" w:rsidRPr="00742A04">
        <w:t xml:space="preserve"> </w:t>
      </w:r>
      <w:r w:rsidR="007E0DFE" w:rsidRPr="00742A04">
        <w:t>porque</w:t>
      </w:r>
      <w:r w:rsidR="00B05988" w:rsidRPr="00742A04">
        <w:t xml:space="preserve"> </w:t>
      </w:r>
      <w:r w:rsidR="009B24F7" w:rsidRPr="00742A04">
        <w:t>los</w:t>
      </w:r>
      <w:r w:rsidR="00B05988" w:rsidRPr="00742A04">
        <w:t xml:space="preserve"> nuevo</w:t>
      </w:r>
      <w:r w:rsidR="009B24F7" w:rsidRPr="00742A04">
        <w:t>s</w:t>
      </w:r>
      <w:r w:rsidR="00545D1B" w:rsidRPr="00742A04">
        <w:t xml:space="preserve"> </w:t>
      </w:r>
      <w:r w:rsidR="009B24F7" w:rsidRPr="00742A04">
        <w:t>nacionales de Noruega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673B5D" w:rsidRPr="00742A04">
        <w:t xml:space="preserve">no </w:t>
      </w:r>
      <w:r w:rsidR="00BB4DB1" w:rsidRPr="00742A04">
        <w:t>cumplan</w:t>
      </w:r>
      <w:r w:rsidR="00545D1B" w:rsidRPr="00742A04">
        <w:t xml:space="preserve"> </w:t>
      </w:r>
      <w:r w:rsidR="009B24F7" w:rsidRPr="00742A04">
        <w:t>la condición de qu</w:t>
      </w:r>
      <w:r w:rsidR="009B24F7" w:rsidRPr="00742A04">
        <w:t>e</w:t>
      </w:r>
      <w:r w:rsidR="00B7191C" w:rsidRPr="00742A04">
        <w:t>dar despojados de toda otra</w:t>
      </w:r>
      <w:r w:rsidR="00545D1B" w:rsidRPr="00742A04">
        <w:t xml:space="preserve"> </w:t>
      </w:r>
      <w:r w:rsidR="00A05847" w:rsidRPr="00742A04">
        <w:t>nacionalidad</w:t>
      </w:r>
      <w:r w:rsidR="00545D1B" w:rsidRPr="00742A04">
        <w:t xml:space="preserve"> </w:t>
      </w:r>
      <w:r w:rsidR="003E4840" w:rsidRPr="00742A04">
        <w:t xml:space="preserve">después </w:t>
      </w:r>
      <w:r w:rsidR="00B7191C" w:rsidRPr="00742A04">
        <w:t xml:space="preserve">del otorgamiento </w:t>
      </w:r>
      <w:r w:rsidR="003E4840" w:rsidRPr="00742A04">
        <w:t>de</w:t>
      </w:r>
      <w:r w:rsidR="00545D1B" w:rsidRPr="00742A04">
        <w:t xml:space="preserve"> </w:t>
      </w:r>
      <w:r w:rsidR="009B24F7" w:rsidRPr="00742A04">
        <w:t>la nacional</w:t>
      </w:r>
      <w:r w:rsidR="009B24F7" w:rsidRPr="00742A04">
        <w:t>i</w:t>
      </w:r>
      <w:r w:rsidR="009B24F7" w:rsidRPr="00742A04">
        <w:t>dad noruega</w:t>
      </w:r>
      <w:r w:rsidR="00545D1B" w:rsidRPr="00742A04">
        <w:t xml:space="preserve"> </w:t>
      </w:r>
      <w:r w:rsidR="00B7191C" w:rsidRPr="00742A04">
        <w:t>están expuestos a que se les revoque</w:t>
      </w:r>
      <w:r w:rsidR="00545D1B" w:rsidRPr="00742A04">
        <w:t xml:space="preserve"> </w:t>
      </w:r>
      <w:r w:rsidR="0020526A" w:rsidRPr="00742A04">
        <w:t>su</w:t>
      </w:r>
      <w:r w:rsidR="00545D1B" w:rsidRPr="00742A04">
        <w:t xml:space="preserve"> </w:t>
      </w:r>
      <w:r w:rsidR="009B24F7" w:rsidRPr="00742A04">
        <w:t>nacionalidad noruega</w:t>
      </w:r>
      <w:r w:rsidR="00545D1B" w:rsidRPr="00742A04">
        <w:t xml:space="preserve">. </w:t>
      </w:r>
      <w:r w:rsidR="00B7191C" w:rsidRPr="00742A04">
        <w:t>Una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A461E" w:rsidRPr="00742A04">
        <w:t>las condiciones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E6919" w:rsidRPr="00742A04">
        <w:t>lograr</w:t>
      </w:r>
      <w:r w:rsidR="00545D1B" w:rsidRPr="00742A04">
        <w:t xml:space="preserve"> </w:t>
      </w:r>
      <w:r w:rsidR="009B24F7" w:rsidRPr="00742A04">
        <w:t>la nacionalidad noruega</w:t>
      </w:r>
      <w:r w:rsidR="00545D1B" w:rsidRPr="00742A04">
        <w:t xml:space="preserve"> </w:t>
      </w:r>
      <w:r w:rsidR="009B24F7" w:rsidRPr="00742A04">
        <w:t>mediante solicitud</w:t>
      </w:r>
      <w:r w:rsidR="00C14BFF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0C68A8" w:rsidRPr="00742A04">
        <w:t xml:space="preserve">que la </w:t>
      </w:r>
      <w:r w:rsidR="00D3378F" w:rsidRPr="00742A04">
        <w:t>pe</w:t>
      </w:r>
      <w:r w:rsidR="00D3378F" w:rsidRPr="00742A04">
        <w:t>r</w:t>
      </w:r>
      <w:r w:rsidR="00D3378F" w:rsidRPr="00742A04">
        <w:t xml:space="preserve">sona </w:t>
      </w:r>
      <w:r w:rsidR="004977B2">
        <w:t>haya</w:t>
      </w:r>
      <w:r w:rsidR="00545D1B" w:rsidRPr="00742A04">
        <w:t xml:space="preserve"> complet</w:t>
      </w:r>
      <w:r w:rsidR="00B7191C" w:rsidRPr="00742A04">
        <w:t>ado un</w:t>
      </w:r>
      <w:r w:rsidR="00545D1B" w:rsidRPr="00742A04">
        <w:t xml:space="preserve"> </w:t>
      </w:r>
      <w:r w:rsidR="00B7191C" w:rsidRPr="00742A04">
        <w:t>curso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instruc</w:t>
      </w:r>
      <w:r w:rsidR="00C14BFF" w:rsidRPr="00742A04">
        <w:t>ción en</w:t>
      </w:r>
      <w:r w:rsidR="00545D1B" w:rsidRPr="00742A04">
        <w:t xml:space="preserve"> </w:t>
      </w:r>
      <w:r w:rsidR="00B7191C" w:rsidRPr="00742A04">
        <w:t>el idioma noruego</w:t>
      </w:r>
      <w:r w:rsidR="000A08D8" w:rsidRPr="00742A04">
        <w:t>.</w:t>
      </w:r>
    </w:p>
    <w:p w:rsidR="00545D1B" w:rsidRPr="00742A04" w:rsidRDefault="00B7191C" w:rsidP="001C0056">
      <w:pPr>
        <w:pStyle w:val="SingleTxt"/>
        <w:ind w:firstLine="475"/>
      </w:pPr>
      <w:r w:rsidRPr="00742A04">
        <w:t>Las</w:t>
      </w:r>
      <w:r w:rsidR="008E5EBF" w:rsidRPr="00742A04">
        <w:t xml:space="preserve"> persona</w:t>
      </w:r>
      <w:r w:rsidRPr="00742A04">
        <w:t>s a las</w:t>
      </w:r>
      <w:r w:rsidR="008E5EBF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se otorgue</w:t>
      </w:r>
      <w:r w:rsidR="00545D1B" w:rsidRPr="00742A04">
        <w:t xml:space="preserve"> </w:t>
      </w:r>
      <w:r w:rsidR="009B24F7" w:rsidRPr="00742A04">
        <w:t>la nacionalidad noruega</w:t>
      </w:r>
      <w:r w:rsidR="00545D1B" w:rsidRPr="00742A04">
        <w:t xml:space="preserve"> </w:t>
      </w:r>
      <w:r w:rsidRPr="00742A04">
        <w:t>serán invitadas</w:t>
      </w:r>
      <w:r w:rsidR="0030626A" w:rsidRPr="00742A04">
        <w:t xml:space="preserve"> a</w:t>
      </w:r>
      <w:r w:rsidR="00545D1B" w:rsidRPr="00742A04">
        <w:t xml:space="preserve"> </w:t>
      </w:r>
      <w:r w:rsidRPr="00742A04">
        <w:t>un</w:t>
      </w:r>
      <w:r w:rsidR="0030626A" w:rsidRPr="00742A04">
        <w:t>a</w:t>
      </w:r>
      <w:r w:rsidR="00545D1B" w:rsidRPr="00742A04">
        <w:t xml:space="preserve"> </w:t>
      </w:r>
      <w:r w:rsidRPr="00742A04">
        <w:t>ceremonia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nuevos ciudadanos noruegos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Pr="00742A04">
        <w:t>tendrá lugar</w:t>
      </w:r>
      <w:r w:rsidR="00545D1B" w:rsidRPr="00742A04">
        <w:t xml:space="preserve"> </w:t>
      </w:r>
      <w:r w:rsidR="003E4840" w:rsidRPr="00742A04">
        <w:t>después de</w:t>
      </w:r>
      <w:r w:rsidR="00545D1B" w:rsidRPr="00742A04">
        <w:t xml:space="preserve"> </w:t>
      </w:r>
      <w:r w:rsidRPr="00742A04">
        <w:t xml:space="preserve">que se les otorgue </w:t>
      </w:r>
      <w:r w:rsidR="009B24F7" w:rsidRPr="00742A04">
        <w:t>la nacionalidad noruega</w:t>
      </w:r>
      <w:r w:rsidR="00545D1B" w:rsidRPr="00742A04">
        <w:t xml:space="preserve">. </w:t>
      </w:r>
      <w:r w:rsidRPr="00742A04">
        <w:t>La asistencia a</w:t>
      </w:r>
      <w:r w:rsidR="00545D1B" w:rsidRPr="00742A04">
        <w:t xml:space="preserve"> </w:t>
      </w:r>
      <w:r w:rsidRPr="00742A04">
        <w:t>dicha</w:t>
      </w:r>
      <w:r w:rsidR="00545D1B" w:rsidRPr="00742A04">
        <w:t xml:space="preserve"> </w:t>
      </w:r>
      <w:r w:rsidRPr="00742A04">
        <w:t>ceremonia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facultativa</w:t>
      </w:r>
      <w:r w:rsidR="00545D1B" w:rsidRPr="00742A04">
        <w:t xml:space="preserve">, </w:t>
      </w:r>
      <w:r w:rsidR="00E77E20" w:rsidRPr="00742A04">
        <w:t>p</w:t>
      </w:r>
      <w:r w:rsidR="00E77E20" w:rsidRPr="00742A04">
        <w:t>e</w:t>
      </w:r>
      <w:r w:rsidR="00E77E20" w:rsidRPr="00742A04">
        <w:t>ro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opten por asistir</w:t>
      </w:r>
      <w:r w:rsidR="00545D1B" w:rsidRPr="00742A04">
        <w:t xml:space="preserve"> </w:t>
      </w:r>
      <w:r w:rsidR="007D4688" w:rsidRPr="00742A04">
        <w:t>debe</w:t>
      </w:r>
      <w:r w:rsidRPr="00742A04">
        <w:t>rán prest</w:t>
      </w:r>
      <w:r w:rsidR="00E32F2A" w:rsidRPr="00742A04">
        <w:t>ar</w:t>
      </w:r>
      <w:r w:rsidR="00545D1B" w:rsidRPr="00742A04">
        <w:t xml:space="preserve"> </w:t>
      </w:r>
      <w:r w:rsidRPr="00742A04">
        <w:t>un juramento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lealtad</w:t>
      </w:r>
      <w:r w:rsidR="00545D1B" w:rsidRPr="00742A04">
        <w:t>.</w:t>
      </w:r>
    </w:p>
    <w:p w:rsidR="00B85C95" w:rsidRPr="00742A04" w:rsidRDefault="00B85C95" w:rsidP="00B85C95">
      <w:pPr>
        <w:pStyle w:val="H23"/>
        <w:spacing w:line="120" w:lineRule="exact"/>
        <w:ind w:left="1267"/>
        <w:rPr>
          <w:bCs/>
          <w:sz w:val="10"/>
        </w:rPr>
      </w:pPr>
      <w:bookmarkStart w:id="53" w:name="_Toc147129468"/>
    </w:p>
    <w:p w:rsidR="00B85C95" w:rsidRPr="00742A04" w:rsidRDefault="00814B5D" w:rsidP="00381B36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B85C95" w:rsidRPr="00742A04">
        <w:rPr>
          <w:bCs/>
        </w:rPr>
        <w:t xml:space="preserve"> 10</w:t>
      </w:r>
    </w:p>
    <w:p w:rsidR="00545D1B" w:rsidRPr="00742A04" w:rsidRDefault="00A05847" w:rsidP="00381B36">
      <w:pPr>
        <w:pStyle w:val="H1"/>
        <w:ind w:left="1267"/>
        <w:rPr>
          <w:bCs/>
        </w:rPr>
      </w:pPr>
      <w:r w:rsidRPr="00742A04">
        <w:rPr>
          <w:bCs/>
        </w:rPr>
        <w:t>Educación</w:t>
      </w:r>
      <w:bookmarkEnd w:id="53"/>
    </w:p>
    <w:p w:rsidR="00B85C95" w:rsidRPr="00742A04" w:rsidRDefault="00B85C95" w:rsidP="00B85C95">
      <w:pPr>
        <w:pStyle w:val="SingleTxt"/>
        <w:spacing w:after="0" w:line="120" w:lineRule="exact"/>
        <w:rPr>
          <w:sz w:val="10"/>
        </w:rPr>
      </w:pPr>
    </w:p>
    <w:p w:rsidR="00545D1B" w:rsidRPr="00742A04" w:rsidRDefault="00B62650" w:rsidP="001C0056">
      <w:pPr>
        <w:pStyle w:val="SingleTxt"/>
        <w:ind w:firstLine="475"/>
      </w:pPr>
      <w:r w:rsidRPr="00742A04">
        <w:t xml:space="preserve">El </w:t>
      </w:r>
      <w:r w:rsidR="00EF5B12" w:rsidRPr="00742A04">
        <w:t>futuro</w:t>
      </w:r>
      <w:r w:rsidR="00EF5B12">
        <w:t xml:space="preserve"> </w:t>
      </w:r>
      <w:r w:rsidR="00EF5B12" w:rsidRPr="00742A04">
        <w:t>de</w:t>
      </w:r>
      <w:r w:rsidR="004B2748" w:rsidRPr="00742A04">
        <w:t xml:space="preserve"> Noruega</w:t>
      </w:r>
      <w:r w:rsidR="00545D1B" w:rsidRPr="00742A04">
        <w:t xml:space="preserve"> </w:t>
      </w:r>
      <w:r w:rsidRPr="00742A04">
        <w:t>radica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s</w:t>
      </w:r>
      <w:r w:rsidRPr="00742A04">
        <w:t>er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a </w:t>
      </w:r>
      <w:r w:rsidRPr="00742A04">
        <w:t>nación basada en el conocimiento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Pr="00742A04">
        <w:t>está preocupada por</w:t>
      </w:r>
      <w:r w:rsidR="00545D1B" w:rsidRPr="00742A04">
        <w:t xml:space="preserve"> </w:t>
      </w:r>
      <w:r w:rsidR="00502E16" w:rsidRPr="00742A04">
        <w:t>promover la igualdad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educación</w:t>
      </w:r>
      <w:r w:rsidR="00545D1B" w:rsidRPr="00742A04">
        <w:t xml:space="preserve">. </w:t>
      </w:r>
      <w:r w:rsidR="00B815B8" w:rsidRPr="00742A04">
        <w:t xml:space="preserve">Desde el </w:t>
      </w:r>
      <w:r w:rsidR="003315C7" w:rsidRPr="00742A04">
        <w:t>1°</w:t>
      </w:r>
      <w:r w:rsidR="00194AB3" w:rsidRPr="00742A04">
        <w:t xml:space="preserve"> de enero</w:t>
      </w:r>
      <w:r w:rsidR="004A0730" w:rsidRPr="00742A04">
        <w:t xml:space="preserve"> de</w:t>
      </w:r>
      <w:r w:rsidR="00545D1B" w:rsidRPr="00742A04">
        <w:t xml:space="preserve"> 2006, </w:t>
      </w:r>
      <w:r w:rsidR="00242371" w:rsidRPr="00742A04">
        <w:t>las guarderías</w:t>
      </w:r>
      <w:r w:rsidR="00545D1B" w:rsidRPr="00742A04">
        <w:t xml:space="preserve">, </w:t>
      </w:r>
      <w:r w:rsidR="003E5775" w:rsidRPr="00742A04">
        <w:t>las escuelas</w:t>
      </w:r>
      <w:r w:rsidR="00545D1B" w:rsidRPr="00742A04">
        <w:t>, etc.</w:t>
      </w:r>
      <w:r w:rsidRPr="00742A04">
        <w:t>, dependerán de un</w:t>
      </w:r>
      <w:r w:rsidR="003C25BF" w:rsidRPr="00742A04">
        <w:t xml:space="preserve"> mis</w:t>
      </w:r>
      <w:r w:rsidRPr="00742A04">
        <w:t>mo</w:t>
      </w:r>
      <w:r w:rsidR="00545D1B" w:rsidRPr="00742A04">
        <w:t xml:space="preserve"> </w:t>
      </w:r>
      <w:r w:rsidRPr="00742A04">
        <w:t>Minist</w:t>
      </w:r>
      <w:r w:rsidRPr="00742A04">
        <w:t>e</w:t>
      </w:r>
      <w:r w:rsidRPr="00742A04">
        <w:t>rio</w:t>
      </w:r>
      <w:r w:rsidR="00545D1B" w:rsidRPr="00742A04">
        <w:t xml:space="preserve">,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6C0744" w:rsidRPr="00742A04">
        <w:t>e Investigación</w:t>
      </w:r>
      <w:r w:rsidR="00545D1B" w:rsidRPr="00742A04">
        <w:t xml:space="preserve">. </w:t>
      </w:r>
      <w:r w:rsidRPr="00742A04">
        <w:t>Esto</w:t>
      </w:r>
      <w:r w:rsidR="00545D1B" w:rsidRPr="00742A04">
        <w:t xml:space="preserve"> </w:t>
      </w:r>
      <w:r w:rsidR="00D3378F" w:rsidRPr="00742A04">
        <w:t>significa 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6137EC" w:rsidRPr="00742A04">
        <w:t>s</w:t>
      </w:r>
      <w:r w:rsidRPr="00742A04">
        <w:t>e considera a</w:t>
      </w:r>
      <w:r w:rsidR="00545D1B" w:rsidRPr="00742A04">
        <w:t xml:space="preserve"> </w:t>
      </w:r>
      <w:r w:rsidRPr="00742A04">
        <w:t>las guarderías como</w:t>
      </w:r>
      <w:r w:rsidR="00545D1B" w:rsidRPr="00742A04">
        <w:t xml:space="preserve"> </w:t>
      </w:r>
      <w:r w:rsidRPr="00742A04">
        <w:t>parte</w:t>
      </w:r>
      <w:r w:rsidR="00545D1B" w:rsidRPr="00742A04">
        <w:t xml:space="preserve"> </w:t>
      </w:r>
      <w:r w:rsidR="00893DBB" w:rsidRPr="00742A04">
        <w:t xml:space="preserve"> del </w:t>
      </w:r>
      <w:r w:rsidRPr="00742A04">
        <w:t>proceso de aprendizaje</w:t>
      </w:r>
      <w:r w:rsidR="00545D1B" w:rsidRPr="00742A04">
        <w:t xml:space="preserve">. </w:t>
      </w:r>
      <w:r w:rsidR="007A665B" w:rsidRPr="00742A04">
        <w:t>El c</w:t>
      </w:r>
      <w:r w:rsidR="003E5775" w:rsidRPr="00742A04">
        <w:t>onocimiento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0220D6" w:rsidRPr="00742A04">
        <w:t>poder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7A665B" w:rsidRPr="00742A04">
        <w:t>utilizar</w:t>
      </w:r>
      <w:r w:rsidR="00545D1B" w:rsidRPr="00742A04">
        <w:t xml:space="preserve"> </w:t>
      </w:r>
      <w:r w:rsidR="007A665B" w:rsidRPr="00742A04">
        <w:t>todos</w:t>
      </w:r>
      <w:r w:rsidR="00545D1B" w:rsidRPr="00742A04">
        <w:t xml:space="preserve"> </w:t>
      </w:r>
      <w:r w:rsidR="00502E16" w:rsidRPr="00742A04">
        <w:t>los recursos</w:t>
      </w:r>
      <w:r w:rsidR="007A665B" w:rsidRPr="00742A04">
        <w:t xml:space="preserve"> humanos</w:t>
      </w:r>
      <w:r w:rsidR="00545D1B" w:rsidRPr="00742A04">
        <w:t xml:space="preserve">, </w:t>
      </w:r>
      <w:r w:rsidR="00502E16" w:rsidRPr="00742A04">
        <w:t>es decir,</w:t>
      </w:r>
      <w:r w:rsidR="00545D1B" w:rsidRPr="00742A04">
        <w:t xml:space="preserve"> </w:t>
      </w:r>
      <w:r w:rsidR="00232DF9" w:rsidRPr="00742A04">
        <w:t>los</w:t>
      </w:r>
      <w:r w:rsidR="00502E16" w:rsidRPr="00742A04">
        <w:t xml:space="preserve"> recursos</w:t>
      </w:r>
      <w:r w:rsidR="00545D1B" w:rsidRPr="00742A04">
        <w:t xml:space="preserve"> </w:t>
      </w:r>
      <w:r w:rsidR="004D313C" w:rsidRPr="00742A04">
        <w:t>de las mujeres</w:t>
      </w:r>
      <w:r w:rsidR="00242371" w:rsidRPr="00742A04">
        <w:t xml:space="preserve"> y </w:t>
      </w:r>
      <w:r w:rsidR="007A665B" w:rsidRPr="00742A04">
        <w:t xml:space="preserve">de los </w:t>
      </w:r>
      <w:r w:rsidR="00242371" w:rsidRPr="00742A04">
        <w:t>hombres</w:t>
      </w:r>
      <w:r w:rsidR="00545D1B" w:rsidRPr="00742A04">
        <w:t xml:space="preserve">. </w:t>
      </w:r>
      <w:r w:rsidR="007A665B" w:rsidRPr="00742A04">
        <w:t>La d</w:t>
      </w:r>
      <w:r w:rsidR="00545D1B" w:rsidRPr="00742A04">
        <w:t>ivers</w:t>
      </w:r>
      <w:r w:rsidR="00502E16" w:rsidRPr="00742A04">
        <w:t>idad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7A665B" w:rsidRPr="00742A04">
        <w:t>u</w:t>
      </w:r>
      <w:r w:rsidR="00545D1B" w:rsidRPr="00742A04">
        <w:t xml:space="preserve">n </w:t>
      </w:r>
      <w:r w:rsidR="00AE7B93" w:rsidRPr="00742A04">
        <w:t>importante</w:t>
      </w:r>
      <w:r w:rsidR="00545D1B" w:rsidRPr="00742A04">
        <w:t xml:space="preserve"> factor </w:t>
      </w:r>
      <w:r w:rsidR="00F43124" w:rsidRPr="00742A04">
        <w:t>para</w:t>
      </w:r>
      <w:r w:rsidR="00545D1B" w:rsidRPr="00742A04">
        <w:t xml:space="preserve"> </w:t>
      </w:r>
      <w:r w:rsidR="007A665B" w:rsidRPr="00742A04">
        <w:t xml:space="preserve">la </w:t>
      </w:r>
      <w:r w:rsidR="00545D1B" w:rsidRPr="00742A04">
        <w:t>cre</w:t>
      </w:r>
      <w:r w:rsidR="00545D1B" w:rsidRPr="00742A04">
        <w:t>a</w:t>
      </w:r>
      <w:r w:rsidR="00545D1B" w:rsidRPr="00742A04">
        <w:t>tiv</w:t>
      </w:r>
      <w:r w:rsidR="00502E16" w:rsidRPr="00742A04">
        <w:t>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A665B" w:rsidRPr="00742A04">
        <w:t>el crecimiento</w:t>
      </w:r>
      <w:r w:rsidR="00545D1B" w:rsidRPr="00742A04">
        <w:t xml:space="preserve">. </w:t>
      </w:r>
      <w:r w:rsidR="002213CF" w:rsidRPr="00742A04">
        <w:t>Sin embargo</w:t>
      </w:r>
      <w:r w:rsidR="00545D1B" w:rsidRPr="00742A04">
        <w:t xml:space="preserve">, </w:t>
      </w:r>
      <w:r w:rsidR="007A665B" w:rsidRPr="00742A04">
        <w:t>las mujeres y los hombres de Noruega</w:t>
      </w:r>
      <w:r w:rsidR="00545D1B" w:rsidRPr="00742A04">
        <w:t xml:space="preserve"> t</w:t>
      </w:r>
      <w:r w:rsidR="007A665B" w:rsidRPr="00742A04">
        <w:t>i</w:t>
      </w:r>
      <w:r w:rsidR="00545D1B" w:rsidRPr="00742A04">
        <w:t>e</w:t>
      </w:r>
      <w:r w:rsidR="00545D1B" w:rsidRPr="00742A04">
        <w:t>n</w:t>
      </w:r>
      <w:r w:rsidR="00545D1B" w:rsidRPr="00742A04">
        <w:t>d</w:t>
      </w:r>
      <w:r w:rsidR="007A665B" w:rsidRPr="00742A04">
        <w:t>en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7A665B" w:rsidRPr="00742A04">
        <w:t>elegir</w:t>
      </w:r>
      <w:r w:rsidR="00545D1B" w:rsidRPr="00742A04">
        <w:t xml:space="preserve"> </w:t>
      </w:r>
      <w:r w:rsidR="007A665B" w:rsidRPr="00742A04">
        <w:t xml:space="preserve">trayectorias </w:t>
      </w:r>
      <w:r w:rsidR="00FF55CD" w:rsidRPr="00742A04">
        <w:t>tradici</w:t>
      </w:r>
      <w:r w:rsidR="007A665B" w:rsidRPr="00742A04">
        <w:t xml:space="preserve">onales en materia </w:t>
      </w:r>
      <w:r w:rsidR="008E5EBF" w:rsidRPr="00742A04">
        <w:t>educacional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A665B" w:rsidRPr="00742A04">
        <w:t xml:space="preserve">de </w:t>
      </w:r>
      <w:r w:rsidR="005C6D40" w:rsidRPr="00742A04">
        <w:t>carrera</w:t>
      </w:r>
      <w:r w:rsidR="00545D1B" w:rsidRPr="00742A04">
        <w:t xml:space="preserve">. </w:t>
      </w:r>
      <w:r w:rsidR="005424D6">
        <w:t>La distr</w:t>
      </w:r>
      <w:r w:rsidR="005424D6">
        <w:t>i</w:t>
      </w:r>
      <w:r w:rsidR="005424D6">
        <w:t>bución</w:t>
      </w:r>
      <w:r w:rsidR="00831293" w:rsidRPr="00742A04">
        <w:t xml:space="preserve"> </w:t>
      </w:r>
      <w:r w:rsidR="00201579">
        <w:t>por</w:t>
      </w:r>
      <w:r w:rsidR="00831293" w:rsidRPr="00742A04">
        <w:t xml:space="preserve"> género</w:t>
      </w:r>
      <w:r w:rsidR="00201579">
        <w:t>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507A11" w:rsidRPr="00742A04">
        <w:t>más</w:t>
      </w:r>
      <w:r w:rsidR="00545D1B" w:rsidRPr="00742A04">
        <w:t xml:space="preserve"> </w:t>
      </w:r>
      <w:r w:rsidR="00BB2CB9" w:rsidRPr="00742A04">
        <w:t>equi</w:t>
      </w:r>
      <w:r w:rsidR="00201579">
        <w:t>librada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B2CB9" w:rsidRPr="00742A04">
        <w:t>la educación secundaria superior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434891" w:rsidRPr="00742A04">
        <w:t>va descendiendo a medida que se asciende en</w:t>
      </w:r>
      <w:r w:rsidR="00545D1B" w:rsidRPr="00742A04">
        <w:t xml:space="preserve"> </w:t>
      </w:r>
      <w:r w:rsidR="00B31D97" w:rsidRPr="00742A04">
        <w:t>el nivel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. </w:t>
      </w:r>
      <w:r w:rsidR="005C6D40" w:rsidRPr="00742A04">
        <w:t>Los hombres</w:t>
      </w:r>
      <w:r w:rsidR="00545D1B" w:rsidRPr="00742A04">
        <w:t xml:space="preserve"> </w:t>
      </w:r>
      <w:r w:rsidR="00201579">
        <w:t>pr</w:t>
      </w:r>
      <w:r w:rsidR="00201579">
        <w:t>e</w:t>
      </w:r>
      <w:r w:rsidR="00545D1B" w:rsidRPr="00742A04">
        <w:t xml:space="preserve">dominan </w:t>
      </w:r>
      <w:r w:rsidR="00C14BFF" w:rsidRPr="00742A04">
        <w:t>en</w:t>
      </w:r>
      <w:r w:rsidR="00545D1B" w:rsidRPr="00742A04">
        <w:t xml:space="preserve"> </w:t>
      </w:r>
      <w:r w:rsidR="00434891" w:rsidRPr="00742A04">
        <w:t>las disciplinas técnicas y científicas</w:t>
      </w:r>
      <w:r w:rsidR="00545D1B" w:rsidRPr="00742A04">
        <w:t xml:space="preserve">, </w:t>
      </w:r>
      <w:r w:rsidR="00434891" w:rsidRPr="00742A04">
        <w:t>y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434891" w:rsidRPr="00742A04">
        <w:t>constituyen la</w:t>
      </w:r>
      <w:r w:rsidR="00545D1B" w:rsidRPr="00742A04">
        <w:t xml:space="preserve"> </w:t>
      </w:r>
      <w:r w:rsidR="00B0197C" w:rsidRPr="00742A04">
        <w:t>may</w:t>
      </w:r>
      <w:r w:rsidR="00B0197C" w:rsidRPr="00742A04">
        <w:t>o</w:t>
      </w:r>
      <w:r w:rsidR="00B0197C" w:rsidRPr="00742A04">
        <w:t>ría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34891" w:rsidRPr="00742A04">
        <w:t>la enseñanza normal</w:t>
      </w:r>
      <w:r w:rsidR="00545D1B" w:rsidRPr="00742A04">
        <w:t xml:space="preserve">, </w:t>
      </w:r>
      <w:r w:rsidR="00434891" w:rsidRPr="00742A04">
        <w:t xml:space="preserve">la </w:t>
      </w:r>
      <w:r w:rsidR="00A05847" w:rsidRPr="00742A04">
        <w:t>educación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34891" w:rsidRPr="00742A04">
        <w:t xml:space="preserve">las disciplinas </w:t>
      </w:r>
      <w:r w:rsidR="00545D1B" w:rsidRPr="00742A04">
        <w:t>social</w:t>
      </w:r>
      <w:r w:rsidR="00434891" w:rsidRPr="00742A04">
        <w:t>es y de salud</w:t>
      </w:r>
      <w:r w:rsidR="00545D1B" w:rsidRPr="00742A04">
        <w:t xml:space="preserve">. </w:t>
      </w:r>
      <w:r w:rsidR="00434891" w:rsidRPr="00742A04">
        <w:t xml:space="preserve">Los </w:t>
      </w:r>
      <w:r w:rsidR="00615664" w:rsidRPr="00742A04">
        <w:t>roles de g</w:t>
      </w:r>
      <w:r w:rsidR="00615664" w:rsidRPr="00742A04">
        <w:t>é</w:t>
      </w:r>
      <w:r w:rsidR="00615664" w:rsidRPr="00742A04">
        <w:t>nero</w:t>
      </w:r>
      <w:r w:rsidR="00545D1B" w:rsidRPr="00742A04">
        <w:t xml:space="preserve"> </w:t>
      </w:r>
      <w:r w:rsidR="00434891" w:rsidRPr="00742A04">
        <w:t>existentes en el</w:t>
      </w:r>
      <w:r w:rsidR="00545D1B" w:rsidRPr="00742A04">
        <w:t xml:space="preserve"> </w:t>
      </w:r>
      <w:r w:rsidR="00434891" w:rsidRPr="00742A04">
        <w:t>sistema educacional</w:t>
      </w:r>
      <w:r w:rsidR="00545D1B" w:rsidRPr="00742A04">
        <w:t xml:space="preserve"> </w:t>
      </w:r>
      <w:r w:rsidR="006137EC" w:rsidRPr="00742A04">
        <w:t>s</w:t>
      </w:r>
      <w:r w:rsidR="00434891" w:rsidRPr="00742A04">
        <w:t>e</w:t>
      </w:r>
      <w:r w:rsidR="00545D1B" w:rsidRPr="00742A04">
        <w:t xml:space="preserve"> refle</w:t>
      </w:r>
      <w:r w:rsidR="00434891" w:rsidRPr="00742A04">
        <w:t>jan</w:t>
      </w:r>
      <w:r w:rsidR="00545D1B" w:rsidRPr="00742A04">
        <w:t xml:space="preserve"> </w:t>
      </w:r>
      <w:r w:rsidR="00434891" w:rsidRPr="00742A04">
        <w:t xml:space="preserve">en gran medida </w:t>
      </w:r>
      <w:r w:rsidR="00C14BFF" w:rsidRPr="00742A04">
        <w:t>en</w:t>
      </w:r>
      <w:r w:rsidR="00545D1B" w:rsidRPr="00742A04">
        <w:t xml:space="preserve"> </w:t>
      </w:r>
      <w:r w:rsidR="00434891" w:rsidRPr="00742A04">
        <w:t>el mercado de trabajo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434891" w:rsidRPr="00742A04">
        <w:t xml:space="preserve">está </w:t>
      </w:r>
      <w:r w:rsidR="00545D1B" w:rsidRPr="00742A04">
        <w:t>segrega</w:t>
      </w:r>
      <w:r w:rsidR="00434891" w:rsidRPr="00742A04">
        <w:t>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A836A1" w:rsidRPr="00742A04">
        <w:t>gén</w:t>
      </w:r>
      <w:r w:rsidR="00A836A1" w:rsidRPr="00742A04">
        <w:t>e</w:t>
      </w:r>
      <w:r w:rsidR="00A836A1" w:rsidRPr="00742A04">
        <w:t>ro</w:t>
      </w:r>
      <w:r w:rsidR="00434891" w:rsidRPr="00742A04">
        <w:t>.</w:t>
      </w:r>
    </w:p>
    <w:p w:rsidR="00545D1B" w:rsidRPr="00742A04" w:rsidRDefault="006B65CD" w:rsidP="001C0056">
      <w:pPr>
        <w:pStyle w:val="SingleTxt"/>
        <w:ind w:firstLine="475"/>
      </w:pPr>
      <w:r w:rsidRPr="00742A04">
        <w:t>Como resultado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="00434891" w:rsidRPr="00742A04">
        <w:t>s opciones</w:t>
      </w:r>
      <w:r w:rsidR="00545D1B" w:rsidRPr="00742A04">
        <w:t xml:space="preserve"> </w:t>
      </w:r>
      <w:r w:rsidR="008E5EBF" w:rsidRPr="00742A04">
        <w:t>educacional</w:t>
      </w:r>
      <w:r w:rsidR="00545D1B" w:rsidRPr="00742A04">
        <w:t xml:space="preserve">es, </w:t>
      </w:r>
      <w:r w:rsidR="00434891" w:rsidRPr="00742A04">
        <w:t>l</w:t>
      </w:r>
      <w:r w:rsidR="00545D1B" w:rsidRPr="00742A04">
        <w:t xml:space="preserve">a </w:t>
      </w:r>
      <w:r w:rsidR="00B0197C" w:rsidRPr="00742A04">
        <w:t>mayoría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434891" w:rsidRPr="00742A04">
        <w:t>te</w:t>
      </w:r>
      <w:r w:rsidR="00434891" w:rsidRPr="00742A04">
        <w:t>r</w:t>
      </w:r>
      <w:r w:rsidR="00434891" w:rsidRPr="00742A04">
        <w:t>minan desempeñando</w:t>
      </w:r>
      <w:r w:rsidR="00545D1B" w:rsidRPr="00742A04">
        <w:t xml:space="preserve"> </w:t>
      </w:r>
      <w:r w:rsidR="007E0DFE" w:rsidRPr="00742A04">
        <w:t>empleo</w:t>
      </w:r>
      <w:r w:rsidR="00545D1B" w:rsidRPr="00742A04">
        <w:t xml:space="preserve">s </w:t>
      </w:r>
      <w:r w:rsidR="00201579">
        <w:t>pe</w:t>
      </w:r>
      <w:r w:rsidR="00434891" w:rsidRPr="00742A04">
        <w:t>o</w:t>
      </w:r>
      <w:r w:rsidR="00201579">
        <w:t>r</w:t>
      </w:r>
      <w:r w:rsidR="00434891" w:rsidRPr="00742A04">
        <w:t xml:space="preserve"> remunerados </w:t>
      </w:r>
      <w:r w:rsidR="0081178E" w:rsidRPr="00742A04">
        <w:t>que</w:t>
      </w:r>
      <w:r w:rsidR="00434891" w:rsidRPr="00742A04">
        <w:t xml:space="preserve"> los de</w:t>
      </w:r>
      <w:r w:rsidR="0081178E" w:rsidRPr="00742A04">
        <w:t xml:space="preserve"> los hombres</w:t>
      </w:r>
      <w:r w:rsidR="00545D1B" w:rsidRPr="00742A04">
        <w:t xml:space="preserve">. </w:t>
      </w:r>
      <w:r w:rsidR="004A0730" w:rsidRPr="00742A04">
        <w:t>En</w:t>
      </w:r>
      <w:r w:rsidR="00434891" w:rsidRPr="00742A04">
        <w:t xml:space="preserve"> cuanto a las opciones de</w:t>
      </w:r>
      <w:r w:rsidR="00545D1B" w:rsidRPr="00742A04">
        <w:t xml:space="preserve"> </w:t>
      </w:r>
      <w:r w:rsidR="005C6D40" w:rsidRPr="00742A04">
        <w:t>carrera</w:t>
      </w:r>
      <w:r w:rsidR="00434891" w:rsidRPr="00742A04">
        <w:t>s no tradicionales</w:t>
      </w:r>
      <w:r w:rsidR="00545D1B" w:rsidRPr="00742A04">
        <w:t xml:space="preserve">, </w:t>
      </w:r>
      <w:r w:rsidR="00434891" w:rsidRPr="00742A04">
        <w:t>es mayor la cantidad de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1178E" w:rsidRPr="00742A04">
        <w:t xml:space="preserve">que </w:t>
      </w:r>
      <w:r w:rsidR="00434891" w:rsidRPr="00742A04">
        <w:t>o</w:t>
      </w:r>
      <w:r w:rsidR="00434891" w:rsidRPr="00742A04">
        <w:t>p</w:t>
      </w:r>
      <w:r w:rsidR="00434891" w:rsidRPr="00742A04">
        <w:t>tan por carreras no tradicionales que la de</w:t>
      </w:r>
      <w:r w:rsidR="0081178E" w:rsidRPr="00742A04">
        <w:t xml:space="preserve"> hombres</w:t>
      </w:r>
      <w:r w:rsidR="00434891" w:rsidRPr="00742A04">
        <w:t>,</w:t>
      </w:r>
      <w:r w:rsidR="00545D1B" w:rsidRPr="00742A04">
        <w:t xml:space="preserve"> </w:t>
      </w:r>
      <w:r w:rsidR="007E0DFE" w:rsidRPr="00742A04">
        <w:t>porque</w:t>
      </w:r>
      <w:r w:rsidR="00545D1B" w:rsidRPr="00742A04">
        <w:t xml:space="preserve"> </w:t>
      </w:r>
      <w:r w:rsidR="00434891" w:rsidRPr="00742A04">
        <w:t>las mujeres</w:t>
      </w:r>
      <w:r w:rsidR="00545D1B" w:rsidRPr="00742A04">
        <w:t xml:space="preserve"> </w:t>
      </w:r>
      <w:r w:rsidR="00434891" w:rsidRPr="00742A04">
        <w:t>tienen</w:t>
      </w:r>
      <w:r w:rsidR="00545D1B" w:rsidRPr="00742A04">
        <w:t xml:space="preserve"> </w:t>
      </w:r>
      <w:r w:rsidR="00BA5ABE" w:rsidRPr="00742A04">
        <w:t>más</w:t>
      </w:r>
      <w:r w:rsidR="00434891" w:rsidRPr="00742A04">
        <w:t xml:space="preserve"> que</w:t>
      </w:r>
      <w:r w:rsidR="00545D1B" w:rsidRPr="00742A04">
        <w:t xml:space="preserve"> </w:t>
      </w:r>
      <w:r w:rsidR="00434891" w:rsidRPr="00742A04">
        <w:t>ganar</w:t>
      </w:r>
      <w:r w:rsidR="00545D1B" w:rsidRPr="00742A04">
        <w:t xml:space="preserve"> </w:t>
      </w:r>
      <w:r w:rsidR="00434891" w:rsidRPr="00742A04">
        <w:t>financieramente</w:t>
      </w:r>
      <w:r w:rsidR="00545D1B" w:rsidRPr="00742A04">
        <w:t xml:space="preserve">. </w:t>
      </w:r>
      <w:r w:rsidR="00434891" w:rsidRPr="00742A04">
        <w:t xml:space="preserve">Es </w:t>
      </w:r>
      <w:r w:rsidR="00545D1B" w:rsidRPr="00742A04">
        <w:t>prob</w:t>
      </w:r>
      <w:r w:rsidR="00982243" w:rsidRPr="00742A04">
        <w:t>able</w:t>
      </w:r>
      <w:r w:rsidR="00434891" w:rsidRPr="00742A04">
        <w:t xml:space="preserve"> que</w:t>
      </w:r>
      <w:r w:rsidR="00982243" w:rsidRPr="00742A04">
        <w:t xml:space="preserve"> </w:t>
      </w:r>
      <w:r w:rsidR="00434891" w:rsidRPr="00742A04">
        <w:t xml:space="preserve">los hombres sigan siendo </w:t>
      </w:r>
      <w:r w:rsidR="001167D2" w:rsidRPr="00742A04">
        <w:t>minoría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82A08" w:rsidRPr="00742A04">
        <w:t>ocup</w:t>
      </w:r>
      <w:r w:rsidR="00545D1B" w:rsidRPr="00742A04">
        <w:t>a</w:t>
      </w:r>
      <w:r w:rsidR="008907B8" w:rsidRPr="00742A04">
        <w:t>ciones</w:t>
      </w:r>
      <w:r w:rsidR="00545D1B" w:rsidRPr="00742A04">
        <w:t xml:space="preserve"> </w:t>
      </w:r>
      <w:r w:rsidR="00434891" w:rsidRPr="00742A04">
        <w:t>en las que hay</w:t>
      </w:r>
      <w:r w:rsidR="00545D1B" w:rsidRPr="00742A04">
        <w:t xml:space="preserve"> </w:t>
      </w:r>
      <w:r w:rsidR="00F43124" w:rsidRPr="00742A04">
        <w:t xml:space="preserve">necesidad </w:t>
      </w:r>
      <w:r w:rsidR="00434891" w:rsidRPr="00742A04">
        <w:t xml:space="preserve">de lograr una </w:t>
      </w:r>
      <w:r w:rsidR="00545D1B" w:rsidRPr="00742A04">
        <w:t>distribu</w:t>
      </w:r>
      <w:r w:rsidR="00C14BFF" w:rsidRPr="00742A04">
        <w:t xml:space="preserve">ción </w:t>
      </w:r>
      <w:r w:rsidR="00434891" w:rsidRPr="00742A04">
        <w:t xml:space="preserve">más equitativa </w:t>
      </w:r>
      <w:r w:rsidR="004D313C" w:rsidRPr="00742A04">
        <w:t>de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434891" w:rsidRPr="00742A04">
        <w:t>la enfermería</w:t>
      </w:r>
      <w:r w:rsidR="00545D1B" w:rsidRPr="00742A04">
        <w:t xml:space="preserve">, </w:t>
      </w:r>
      <w:r w:rsidR="00434891" w:rsidRPr="00742A04">
        <w:t>la enseñanza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34891" w:rsidRPr="00742A04">
        <w:t>la enseñanza preesc</w:t>
      </w:r>
      <w:r w:rsidR="00434891" w:rsidRPr="00742A04">
        <w:t>o</w:t>
      </w:r>
      <w:r w:rsidR="00434891" w:rsidRPr="00742A04">
        <w:t>lar</w:t>
      </w:r>
      <w:r w:rsidR="00545D1B" w:rsidRPr="00742A04">
        <w:t xml:space="preserve">. </w:t>
      </w:r>
      <w:r w:rsidR="00194AB3" w:rsidRPr="00742A04">
        <w:t>Hasta</w:t>
      </w:r>
      <w:r w:rsidR="00545D1B" w:rsidRPr="00742A04">
        <w:t xml:space="preserve"> </w:t>
      </w:r>
      <w:r w:rsidR="00434891" w:rsidRPr="00742A04">
        <w:t xml:space="preserve">que </w:t>
      </w:r>
      <w:r w:rsidR="000220D6" w:rsidRPr="00742A04">
        <w:t>las profesiones en que predominan las mujeres</w:t>
      </w:r>
      <w:r w:rsidR="00545D1B" w:rsidRPr="00742A04">
        <w:t xml:space="preserve"> </w:t>
      </w:r>
      <w:r w:rsidR="00434891" w:rsidRPr="00742A04">
        <w:t>sean remuneradas al</w:t>
      </w:r>
      <w:r w:rsidR="003C25BF" w:rsidRPr="00742A04">
        <w:t xml:space="preserve"> </w:t>
      </w:r>
      <w:r w:rsidR="00434891" w:rsidRPr="00742A04">
        <w:t>mismo nivel que</w:t>
      </w:r>
      <w:r w:rsidR="00545D1B" w:rsidRPr="00742A04">
        <w:t xml:space="preserve"> </w:t>
      </w:r>
      <w:r w:rsidR="00434891" w:rsidRPr="00742A04">
        <w:t>las profesiones en que predominan los hombres</w:t>
      </w:r>
      <w:r w:rsidR="00545D1B" w:rsidRPr="00742A04">
        <w:t xml:space="preserve"> </w:t>
      </w:r>
      <w:r w:rsidR="00434891" w:rsidRPr="00742A04">
        <w:t>será</w:t>
      </w:r>
      <w:r w:rsidR="00545D1B" w:rsidRPr="00742A04">
        <w:t xml:space="preserve"> </w:t>
      </w:r>
      <w:r w:rsidR="00F05119" w:rsidRPr="00742A04">
        <w:t>difícil</w:t>
      </w:r>
      <w:r w:rsidR="00545D1B" w:rsidRPr="00742A04">
        <w:t xml:space="preserve"> </w:t>
      </w:r>
      <w:r w:rsidR="00B306AA" w:rsidRPr="00742A04">
        <w:t>prod</w:t>
      </w:r>
      <w:r w:rsidR="00B306AA" w:rsidRPr="00742A04">
        <w:t>u</w:t>
      </w:r>
      <w:r w:rsidR="00B306AA" w:rsidRPr="00742A04">
        <w:t>cir cambios en</w:t>
      </w:r>
      <w:r w:rsidR="00545D1B" w:rsidRPr="00742A04">
        <w:t xml:space="preserve"> </w:t>
      </w:r>
      <w:r w:rsidR="00B306AA" w:rsidRPr="00742A04">
        <w:t>el mercado de trabajo segregado por géneros</w:t>
      </w:r>
      <w:r w:rsidR="00545D1B" w:rsidRPr="00742A04">
        <w:t xml:space="preserve">. </w:t>
      </w:r>
      <w:r w:rsidR="00B306AA" w:rsidRPr="00742A04">
        <w:t>El objetivo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306AA" w:rsidRPr="00742A04">
        <w:t>una di</w:t>
      </w:r>
      <w:r w:rsidR="00B306AA" w:rsidRPr="00742A04">
        <w:t>s</w:t>
      </w:r>
      <w:r w:rsidR="00B306AA" w:rsidRPr="00742A04">
        <w:t>tribución de género más igualitaria</w:t>
      </w:r>
      <w:r w:rsidR="00C14BFF" w:rsidRPr="00742A04">
        <w:t xml:space="preserve"> </w:t>
      </w:r>
      <w:r w:rsidR="00B86412" w:rsidRPr="00742A04">
        <w:t>p</w:t>
      </w:r>
      <w:r w:rsidR="00B306AA" w:rsidRPr="00742A04">
        <w:t>lantea un desafío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F0C8E" w:rsidRPr="00742A04">
        <w:t>l</w:t>
      </w:r>
      <w:r w:rsidR="00B306AA" w:rsidRPr="00742A04">
        <w:t>a</w:t>
      </w:r>
      <w:r w:rsidR="008F0C8E" w:rsidRPr="00742A04">
        <w:t xml:space="preserve">s </w:t>
      </w:r>
      <w:r w:rsidR="00B306AA" w:rsidRPr="00742A04">
        <w:t>partes</w:t>
      </w:r>
      <w:r w:rsidR="0087472C">
        <w:t xml:space="preserve"> sociales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306AA" w:rsidRPr="00742A04">
        <w:t>las negoci</w:t>
      </w:r>
      <w:r w:rsidR="00B306AA" w:rsidRPr="00742A04">
        <w:t>a</w:t>
      </w:r>
      <w:r w:rsidR="00B306AA" w:rsidRPr="00742A04">
        <w:t>ciones salariales.</w:t>
      </w:r>
    </w:p>
    <w:p w:rsidR="000A08D8" w:rsidRPr="00742A04" w:rsidRDefault="00B306AA" w:rsidP="001C0056">
      <w:pPr>
        <w:pStyle w:val="SingleTxt"/>
        <w:ind w:firstLine="475"/>
      </w:pPr>
      <w:r w:rsidRPr="00742A04">
        <w:t>Aun cuando</w:t>
      </w:r>
      <w:r w:rsidR="00545D1B" w:rsidRPr="00742A04">
        <w:t xml:space="preserve"> </w:t>
      </w:r>
      <w:r w:rsidRPr="00742A04">
        <w:t>las mujeres noruegas</w:t>
      </w:r>
      <w:r w:rsidR="00545D1B" w:rsidRPr="00742A04">
        <w:t xml:space="preserve"> </w:t>
      </w:r>
      <w:r w:rsidRPr="00742A04">
        <w:t>hacen opciones tradicionales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 tocante a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sus </w:t>
      </w:r>
      <w:r w:rsidR="00434891" w:rsidRPr="00742A04">
        <w:t>carreras</w:t>
      </w:r>
      <w:r w:rsidR="00545D1B" w:rsidRPr="00742A04">
        <w:t xml:space="preserve">, </w:t>
      </w:r>
      <w:r w:rsidR="00EA26AB" w:rsidRPr="00742A04">
        <w:t>Noruega</w:t>
      </w:r>
      <w:r w:rsidR="00545D1B" w:rsidRPr="00742A04">
        <w:t xml:space="preserve"> </w:t>
      </w:r>
      <w:r w:rsidRPr="00742A04">
        <w:t>tiene de todos modos</w:t>
      </w:r>
      <w:r w:rsidR="00545D1B" w:rsidRPr="00742A04">
        <w:t xml:space="preserve"> </w:t>
      </w:r>
      <w:r w:rsidRPr="00742A04">
        <w:t>una muy elevada</w:t>
      </w:r>
      <w:r w:rsidR="00545D1B" w:rsidRPr="00742A04">
        <w:t xml:space="preserve"> </w:t>
      </w:r>
      <w:r w:rsidR="00AC5D28" w:rsidRPr="00742A04">
        <w:t>propo</w:t>
      </w:r>
      <w:r w:rsidR="00AC5D28" w:rsidRPr="00742A04">
        <w:t>r</w:t>
      </w:r>
      <w:r w:rsidR="00AC5D28" w:rsidRPr="00742A04">
        <w:t>ción de mujeres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importantes </w:t>
      </w:r>
      <w:r w:rsidR="004B0EC3" w:rsidRPr="00742A04">
        <w:t>cali</w:t>
      </w:r>
      <w:r w:rsidR="00545D1B" w:rsidRPr="00742A04">
        <w:t>fica</w:t>
      </w:r>
      <w:r w:rsidR="008907B8" w:rsidRPr="00742A04">
        <w:t>ciones</w:t>
      </w:r>
      <w:r w:rsidRPr="00742A04">
        <w:t xml:space="preserve"> educacionales</w:t>
      </w:r>
      <w:r w:rsidR="00545D1B" w:rsidRPr="00742A04">
        <w:t xml:space="preserve">. </w:t>
      </w:r>
      <w:r w:rsidR="00B8584B" w:rsidRPr="00742A04">
        <w:t xml:space="preserve">La penetración </w:t>
      </w:r>
      <w:r w:rsidR="004D313C" w:rsidRPr="00742A04">
        <w:t>de las mujeres</w:t>
      </w:r>
      <w:r w:rsidR="00545D1B" w:rsidRPr="00742A04">
        <w:t xml:space="preserve"> </w:t>
      </w:r>
      <w:r w:rsidR="00B8584B" w:rsidRPr="00742A04">
        <w:t>en</w:t>
      </w:r>
      <w:r w:rsidR="00545D1B" w:rsidRPr="00742A04">
        <w:t xml:space="preserve"> </w:t>
      </w:r>
      <w:r w:rsidR="00844FDB" w:rsidRPr="00742A04">
        <w:t>la educación superior</w:t>
      </w:r>
      <w:r w:rsidR="00545D1B" w:rsidRPr="00742A04">
        <w:t xml:space="preserve"> </w:t>
      </w:r>
      <w:r w:rsidR="00B8584B" w:rsidRPr="00742A04">
        <w:t>podría describirse como</w:t>
      </w:r>
      <w:r w:rsidR="00545D1B" w:rsidRPr="00742A04">
        <w:t xml:space="preserve"> </w:t>
      </w:r>
      <w:r w:rsidR="00B8584B" w:rsidRPr="00742A04">
        <w:t>una revolución silenciosa</w:t>
      </w:r>
      <w:r w:rsidR="00935A90" w:rsidRPr="00742A04">
        <w:t>,</w:t>
      </w:r>
      <w:r w:rsidR="00545D1B" w:rsidRPr="00742A04">
        <w:t xml:space="preserve"> </w:t>
      </w:r>
      <w:r w:rsidR="00B8584B" w:rsidRPr="00742A04">
        <w:t>un incremento gradual</w:t>
      </w:r>
      <w:r w:rsidR="00545D1B" w:rsidRPr="00742A04">
        <w:t xml:space="preserve"> </w:t>
      </w:r>
      <w:r w:rsidR="00B8584B" w:rsidRPr="00742A04">
        <w:t>que ha modificado</w:t>
      </w:r>
      <w:r w:rsidR="00545D1B" w:rsidRPr="00742A04">
        <w:t xml:space="preserve"> tota</w:t>
      </w:r>
      <w:r w:rsidR="005F7B32" w:rsidRPr="00742A04">
        <w:t xml:space="preserve">lmente </w:t>
      </w:r>
      <w:r w:rsidR="00B8584B" w:rsidRPr="00742A04">
        <w:t>la</w:t>
      </w:r>
      <w:r w:rsidR="00545D1B" w:rsidRPr="00742A04">
        <w:t xml:space="preserve"> </w:t>
      </w:r>
      <w:r w:rsidR="00FA1C50" w:rsidRPr="00742A04">
        <w:t>representación de género</w:t>
      </w:r>
      <w:r w:rsidR="00C14BFF" w:rsidRPr="00742A04">
        <w:t xml:space="preserve"> en</w:t>
      </w:r>
      <w:r w:rsidR="00545D1B" w:rsidRPr="00742A04">
        <w:t xml:space="preserve"> </w:t>
      </w:r>
      <w:r w:rsidR="00844FDB" w:rsidRPr="00742A04">
        <w:t>la educación s</w:t>
      </w:r>
      <w:r w:rsidR="00844FDB" w:rsidRPr="00742A04">
        <w:t>u</w:t>
      </w:r>
      <w:r w:rsidR="00844FDB" w:rsidRPr="00742A04">
        <w:t>perior</w:t>
      </w:r>
      <w:r w:rsidR="00545D1B" w:rsidRPr="00742A04">
        <w:t xml:space="preserve"> </w:t>
      </w:r>
      <w:r w:rsidR="00B8584B" w:rsidRPr="00742A04">
        <w:t>a lo largo de un</w:t>
      </w:r>
      <w:r w:rsidR="00545D1B" w:rsidRPr="00742A04">
        <w:t xml:space="preserve"> </w:t>
      </w:r>
      <w:r w:rsidR="00B8584B" w:rsidRPr="00742A04">
        <w:t>período de 30 años</w:t>
      </w:r>
      <w:r w:rsidR="000A08D8" w:rsidRPr="00742A04">
        <w:t>.</w:t>
      </w:r>
    </w:p>
    <w:p w:rsidR="00545D1B" w:rsidRPr="00742A04" w:rsidRDefault="00E575DB" w:rsidP="001C0056">
      <w:pPr>
        <w:pStyle w:val="SingleTxt"/>
        <w:ind w:firstLine="475"/>
      </w:pPr>
      <w:r w:rsidRPr="00742A04">
        <w:t>Más de</w:t>
      </w:r>
      <w:r w:rsidR="00B8584B" w:rsidRPr="00742A04">
        <w:t>l</w:t>
      </w:r>
      <w:r w:rsidR="00545D1B" w:rsidRPr="00742A04">
        <w:t xml:space="preserve"> 21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306AA" w:rsidRPr="00742A04">
        <w:t>las mujeres noruegas</w:t>
      </w:r>
      <w:r w:rsidR="00545D1B" w:rsidRPr="00742A04">
        <w:t xml:space="preserve"> </w:t>
      </w:r>
      <w:r w:rsidR="00B8584B" w:rsidRPr="00742A04">
        <w:t>tiene una educación universitaria o de colegio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B8584B" w:rsidRPr="00742A04">
        <w:t xml:space="preserve">el </w:t>
      </w:r>
      <w:r w:rsidR="00545D1B" w:rsidRPr="00742A04">
        <w:t>16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584B" w:rsidRPr="00742A04">
        <w:t>los hombres noruegos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B8584B" w:rsidRPr="00742A04">
        <w:t xml:space="preserve">aún </w:t>
      </w:r>
      <w:r w:rsidR="00021DB5" w:rsidRPr="00742A04">
        <w:t>hay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B8584B" w:rsidRPr="00742A04">
        <w:t>una</w:t>
      </w:r>
      <w:r w:rsidR="00545D1B" w:rsidRPr="00742A04">
        <w:t xml:space="preserve"> </w:t>
      </w:r>
      <w:r w:rsidR="00B8584B" w:rsidRPr="00742A04">
        <w:t>educación universitaria larga</w:t>
      </w:r>
      <w:r w:rsidR="00545D1B" w:rsidRPr="00742A04">
        <w:t xml:space="preserve"> (</w:t>
      </w:r>
      <w:r w:rsidRPr="00742A04">
        <w:t>más de</w:t>
      </w:r>
      <w:r w:rsidR="00545D1B" w:rsidRPr="00742A04">
        <w:t xml:space="preserve"> </w:t>
      </w:r>
      <w:r w:rsidR="00A60159" w:rsidRPr="00742A04">
        <w:t>cuatro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). </w:t>
      </w:r>
      <w:r w:rsidR="004A0730" w:rsidRPr="00742A04">
        <w:t>En</w:t>
      </w:r>
      <w:r w:rsidR="00545D1B" w:rsidRPr="00742A04">
        <w:t xml:space="preserve"> </w:t>
      </w:r>
      <w:r w:rsidR="00B8584B" w:rsidRPr="00742A04">
        <w:t>el gr</w:t>
      </w:r>
      <w:r w:rsidR="00B8584B" w:rsidRPr="00742A04">
        <w:t>u</w:t>
      </w:r>
      <w:r w:rsidR="00B8584B" w:rsidRPr="00742A04">
        <w:t xml:space="preserve">po de edades de 25 a </w:t>
      </w:r>
      <w:r w:rsidR="00545D1B" w:rsidRPr="00742A04">
        <w:t>39</w:t>
      </w:r>
      <w:r w:rsidR="00B8584B" w:rsidRPr="00742A04">
        <w:t xml:space="preserve"> años</w:t>
      </w:r>
      <w:r w:rsidR="00545D1B" w:rsidRPr="00742A04">
        <w:t xml:space="preserve">, </w:t>
      </w:r>
      <w:r w:rsidRPr="00742A04">
        <w:t>más de</w:t>
      </w:r>
      <w:r w:rsidR="00B8584B" w:rsidRPr="00742A04">
        <w:t>l</w:t>
      </w:r>
      <w:r w:rsidR="00545D1B" w:rsidRPr="00742A04">
        <w:t xml:space="preserve"> 40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306AA" w:rsidRPr="00742A04">
        <w:t>las mujeres noruegas</w:t>
      </w:r>
      <w:r w:rsidR="00545D1B" w:rsidRPr="00742A04">
        <w:t xml:space="preserve"> </w:t>
      </w:r>
      <w:r w:rsidR="00B8584B" w:rsidRPr="00742A04">
        <w:t>tienen una ed</w:t>
      </w:r>
      <w:r w:rsidR="00B8584B" w:rsidRPr="00742A04">
        <w:t>u</w:t>
      </w:r>
      <w:r w:rsidR="00B8584B" w:rsidRPr="00742A04">
        <w:t>cación universitaria o de colegio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B8584B" w:rsidRPr="00742A04">
        <w:t xml:space="preserve">el </w:t>
      </w:r>
      <w:r w:rsidR="00545D1B" w:rsidRPr="00742A04">
        <w:t>18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8584B" w:rsidRPr="00742A04">
        <w:t xml:space="preserve">el grupo de edades de 60 a </w:t>
      </w:r>
      <w:r w:rsidR="00545D1B" w:rsidRPr="00742A04">
        <w:t>66</w:t>
      </w:r>
      <w:r w:rsidR="00B8584B" w:rsidRPr="00742A04">
        <w:t xml:space="preserve"> años</w:t>
      </w:r>
      <w:r w:rsidR="00545D1B" w:rsidRPr="00742A04">
        <w:t xml:space="preserve">. </w:t>
      </w:r>
      <w:r w:rsidR="00B8584B" w:rsidRPr="00742A04">
        <w:t>La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B8584B" w:rsidRPr="00742A04">
        <w:t>los distintos</w:t>
      </w:r>
      <w:r w:rsidR="00545D1B" w:rsidRPr="00742A04">
        <w:t xml:space="preserve"> </w:t>
      </w:r>
      <w:r w:rsidR="0087472C">
        <w:t xml:space="preserve">grupos de edades </w:t>
      </w:r>
      <w:r w:rsidR="00BB4DB1" w:rsidRPr="00742A04">
        <w:t>es</w:t>
      </w:r>
      <w:r w:rsidR="00545D1B" w:rsidRPr="00742A04">
        <w:t xml:space="preserve"> </w:t>
      </w:r>
      <w:r w:rsidR="00B8584B" w:rsidRPr="00742A04">
        <w:t>mucho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mar</w:t>
      </w:r>
      <w:r w:rsidR="00B8584B" w:rsidRPr="00742A04">
        <w:t>cada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el caso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B8584B" w:rsidRPr="00742A04">
        <w:t xml:space="preserve">el grupo de edades de menos de </w:t>
      </w:r>
      <w:r w:rsidR="00545D1B" w:rsidRPr="00742A04">
        <w:t>50</w:t>
      </w:r>
      <w:r w:rsidR="00B8584B" w:rsidRPr="00742A04">
        <w:t xml:space="preserve"> años</w:t>
      </w:r>
      <w:r w:rsidR="00545D1B" w:rsidRPr="00742A04">
        <w:t xml:space="preserve">, </w:t>
      </w:r>
      <w:r w:rsidR="00B8584B" w:rsidRPr="00742A04">
        <w:t>es m</w:t>
      </w:r>
      <w:r w:rsidR="00B8584B" w:rsidRPr="00742A04">
        <w:t>a</w:t>
      </w:r>
      <w:r w:rsidR="00B8584B" w:rsidRPr="00742A04">
        <w:t>yor la</w:t>
      </w:r>
      <w:r w:rsidR="00545D1B" w:rsidRPr="00742A04">
        <w:t xml:space="preserve"> </w:t>
      </w:r>
      <w:r w:rsidR="00AC5D28" w:rsidRPr="00742A04">
        <w:t>proporción de mujeres</w:t>
      </w:r>
      <w:r w:rsidR="00545D1B" w:rsidRPr="00742A04">
        <w:t xml:space="preserve"> </w:t>
      </w:r>
      <w:r w:rsidR="00B8584B" w:rsidRPr="00742A04">
        <w:t>con educación superior que la 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="00B8584B" w:rsidRPr="00742A04">
        <w:t>mientras 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8584B" w:rsidRPr="00742A04">
        <w:t xml:space="preserve">el grupo de edades de más de </w:t>
      </w:r>
      <w:r w:rsidR="00545D1B" w:rsidRPr="00742A04">
        <w:t xml:space="preserve">50 </w:t>
      </w:r>
      <w:r w:rsidR="00B8584B" w:rsidRPr="00742A04">
        <w:t>años ocurre lo contrario</w:t>
      </w:r>
      <w:r w:rsidR="00545D1B" w:rsidRPr="00742A04">
        <w:t>.</w:t>
      </w:r>
    </w:p>
    <w:p w:rsidR="00B8584B" w:rsidRPr="00742A04" w:rsidRDefault="00B8584B" w:rsidP="00B8584B">
      <w:pPr>
        <w:pStyle w:val="SingleTxt"/>
        <w:keepNext/>
        <w:spacing w:after="0" w:line="120" w:lineRule="exact"/>
        <w:ind w:left="2160"/>
        <w:jc w:val="left"/>
        <w:rPr>
          <w:b/>
          <w:sz w:val="10"/>
        </w:rPr>
      </w:pPr>
    </w:p>
    <w:p w:rsidR="000A08D8" w:rsidRPr="00742A04" w:rsidRDefault="00EF5B12" w:rsidP="00BB574B">
      <w:pPr>
        <w:pStyle w:val="SingleTxt"/>
        <w:keepNext/>
        <w:tabs>
          <w:tab w:val="clear" w:pos="1742"/>
          <w:tab w:val="left" w:pos="1620"/>
        </w:tabs>
        <w:ind w:left="1620"/>
        <w:jc w:val="left"/>
        <w:rPr>
          <w:b/>
        </w:rPr>
      </w:pPr>
      <w:r>
        <w:rPr>
          <w:b/>
        </w:rPr>
        <w:t>Ni</w:t>
      </w:r>
      <w:r w:rsidR="00545D1B" w:rsidRPr="00742A04">
        <w:rPr>
          <w:b/>
        </w:rPr>
        <w:t xml:space="preserve">vel </w:t>
      </w:r>
      <w:r>
        <w:rPr>
          <w:b/>
        </w:rPr>
        <w:t xml:space="preserve">más elevado </w:t>
      </w:r>
      <w:r w:rsidR="004A0730" w:rsidRPr="00742A04">
        <w:rPr>
          <w:b/>
        </w:rPr>
        <w:t>de</w:t>
      </w:r>
      <w:r w:rsidR="00545D1B" w:rsidRPr="00742A04">
        <w:rPr>
          <w:b/>
        </w:rPr>
        <w:t xml:space="preserve"> </w:t>
      </w:r>
      <w:r w:rsidR="00A05847" w:rsidRPr="00742A04">
        <w:rPr>
          <w:b/>
        </w:rPr>
        <w:t>educación</w:t>
      </w:r>
      <w:r w:rsidR="00545D1B" w:rsidRPr="00742A04">
        <w:rPr>
          <w:b/>
        </w:rPr>
        <w:t xml:space="preserve"> </w:t>
      </w:r>
      <w:r>
        <w:rPr>
          <w:b/>
        </w:rPr>
        <w:t>de</w:t>
      </w:r>
      <w:r w:rsidR="00545D1B" w:rsidRPr="00742A04">
        <w:rPr>
          <w:b/>
        </w:rPr>
        <w:t xml:space="preserve"> </w:t>
      </w:r>
      <w:r w:rsidR="00072AD7" w:rsidRPr="00742A04">
        <w:rPr>
          <w:b/>
        </w:rPr>
        <w:t>mujeres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6317BB" w:rsidRPr="00742A04">
        <w:rPr>
          <w:b/>
        </w:rPr>
        <w:t xml:space="preserve"> </w:t>
      </w:r>
      <w:r w:rsidR="00072AD7" w:rsidRPr="00742A04">
        <w:rPr>
          <w:b/>
        </w:rPr>
        <w:t>hombres</w:t>
      </w:r>
      <w:r w:rsidR="006317BB" w:rsidRPr="00742A04">
        <w:rPr>
          <w:b/>
        </w:rPr>
        <w:t xml:space="preserve"> </w:t>
      </w:r>
      <w:r>
        <w:rPr>
          <w:b/>
        </w:rPr>
        <w:t>de</w:t>
      </w:r>
      <w:r w:rsidR="00545D1B" w:rsidRPr="00742A04">
        <w:rPr>
          <w:b/>
        </w:rPr>
        <w:t xml:space="preserve"> 16 </w:t>
      </w:r>
      <w:r>
        <w:rPr>
          <w:b/>
        </w:rPr>
        <w:t>años</w:t>
      </w:r>
      <w:r>
        <w:rPr>
          <w:b/>
        </w:rPr>
        <w:br/>
        <w:t>de edad o más</w:t>
      </w:r>
      <w:r w:rsidR="006317BB" w:rsidRPr="00742A04">
        <w:rPr>
          <w:b/>
        </w:rPr>
        <w:t>,</w:t>
      </w:r>
      <w:r>
        <w:rPr>
          <w:b/>
        </w:rPr>
        <w:t xml:space="preserve"> </w:t>
      </w:r>
      <w:r w:rsidR="00545D1B" w:rsidRPr="00742A04">
        <w:rPr>
          <w:b/>
        </w:rPr>
        <w:t xml:space="preserve">1990 </w:t>
      </w:r>
      <w:r w:rsidR="00877AA0" w:rsidRPr="00742A04">
        <w:rPr>
          <w:b/>
        </w:rPr>
        <w:t>y</w:t>
      </w:r>
      <w:r w:rsidR="00545D1B" w:rsidRPr="00742A04">
        <w:rPr>
          <w:b/>
        </w:rPr>
        <w:t xml:space="preserve"> 2004</w:t>
      </w:r>
      <w:r w:rsidR="000A08D8" w:rsidRPr="00742A04">
        <w:rPr>
          <w:b/>
        </w:rPr>
        <w:t>.</w:t>
      </w:r>
    </w:p>
    <w:p w:rsidR="00B85C95" w:rsidRPr="00742A04" w:rsidRDefault="00B85C95" w:rsidP="00BB574B">
      <w:pPr>
        <w:pStyle w:val="SingleTxt"/>
        <w:keepNext/>
        <w:tabs>
          <w:tab w:val="clear" w:pos="1742"/>
          <w:tab w:val="left" w:pos="1620"/>
        </w:tabs>
        <w:spacing w:after="0" w:line="120" w:lineRule="exact"/>
        <w:ind w:left="1620"/>
        <w:jc w:val="left"/>
        <w:rPr>
          <w:sz w:val="10"/>
        </w:rPr>
      </w:pPr>
      <w:r w:rsidRPr="00742A04">
        <w:rPr>
          <w:sz w:val="14"/>
        </w:rPr>
        <w:t>(</w:t>
      </w:r>
      <w:r w:rsidRPr="00EF5B12">
        <w:rPr>
          <w:i/>
          <w:sz w:val="14"/>
        </w:rPr>
        <w:t>En porcentajes</w:t>
      </w:r>
      <w:r w:rsidRPr="00742A04">
        <w:rPr>
          <w:sz w:val="14"/>
        </w:rPr>
        <w:t>)</w:t>
      </w:r>
    </w:p>
    <w:p w:rsidR="00B85C95" w:rsidRPr="00742A04" w:rsidRDefault="00B85C95" w:rsidP="00BB574B">
      <w:pPr>
        <w:pStyle w:val="SingleTxt"/>
        <w:keepNext/>
        <w:tabs>
          <w:tab w:val="clear" w:pos="1742"/>
          <w:tab w:val="left" w:pos="1620"/>
        </w:tabs>
        <w:spacing w:after="0" w:line="240" w:lineRule="auto"/>
        <w:ind w:left="1620"/>
        <w:jc w:val="left"/>
        <w:rPr>
          <w:sz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884"/>
        <w:gridCol w:w="884"/>
        <w:gridCol w:w="884"/>
        <w:gridCol w:w="885"/>
      </w:tblGrid>
      <w:tr w:rsidR="00BB574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047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574B" w:rsidRPr="00742A04" w:rsidRDefault="00BB574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Nivel educacional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vAlign w:val="bottom"/>
          </w:tcPr>
          <w:p w:rsidR="00BB574B" w:rsidRPr="00742A04" w:rsidRDefault="00BB574B" w:rsidP="00BB574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1990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vAlign w:val="bottom"/>
          </w:tcPr>
          <w:p w:rsidR="00BB574B" w:rsidRPr="00742A04" w:rsidRDefault="00BB574B" w:rsidP="00BB574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2004</w:t>
            </w:r>
          </w:p>
        </w:tc>
      </w:tr>
      <w:tr w:rsidR="00032F7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04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32F7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32F7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Mujeres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32F7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Ho</w:t>
            </w:r>
            <w:r w:rsidRPr="00742A04">
              <w:rPr>
                <w:i/>
                <w:sz w:val="14"/>
                <w:szCs w:val="14"/>
              </w:rPr>
              <w:t>m</w:t>
            </w:r>
            <w:r w:rsidRPr="00742A04">
              <w:rPr>
                <w:i/>
                <w:sz w:val="14"/>
                <w:szCs w:val="14"/>
              </w:rPr>
              <w:t>bres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32F7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Mujeres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32F7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Ho</w:t>
            </w:r>
            <w:r w:rsidRPr="00742A04">
              <w:rPr>
                <w:i/>
                <w:sz w:val="14"/>
                <w:szCs w:val="14"/>
              </w:rPr>
              <w:t>m</w:t>
            </w:r>
            <w:r w:rsidRPr="00742A04">
              <w:rPr>
                <w:i/>
                <w:sz w:val="14"/>
                <w:szCs w:val="14"/>
              </w:rPr>
              <w:t>bres</w:t>
            </w:r>
          </w:p>
        </w:tc>
      </w:tr>
      <w:tr w:rsidR="00B8584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047" w:type="dxa"/>
            <w:tcBorders>
              <w:top w:val="single" w:sz="12" w:space="0" w:color="auto"/>
            </w:tcBorders>
            <w:vAlign w:val="bottom"/>
          </w:tcPr>
          <w:p w:rsidR="00B8584B" w:rsidRPr="00742A04" w:rsidRDefault="00B8584B" w:rsidP="00032F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ind w:right="43"/>
              <w:rPr>
                <w:sz w:val="8"/>
                <w:szCs w:val="8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bottom"/>
          </w:tcPr>
          <w:p w:rsidR="00B8584B" w:rsidRPr="00742A04" w:rsidRDefault="00B8584B" w:rsidP="00032F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ind w:right="43"/>
              <w:jc w:val="right"/>
              <w:rPr>
                <w:sz w:val="8"/>
                <w:szCs w:val="8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</w:tcPr>
          <w:p w:rsidR="00B8584B" w:rsidRPr="00742A04" w:rsidRDefault="00B8584B" w:rsidP="00032F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ind w:right="43"/>
              <w:jc w:val="right"/>
              <w:rPr>
                <w:sz w:val="8"/>
                <w:szCs w:val="8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bottom"/>
          </w:tcPr>
          <w:p w:rsidR="00B8584B" w:rsidRPr="00742A04" w:rsidRDefault="00B8584B" w:rsidP="00032F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ind w:right="43"/>
              <w:jc w:val="right"/>
              <w:rPr>
                <w:sz w:val="8"/>
                <w:szCs w:val="8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B8584B" w:rsidRPr="00742A04" w:rsidRDefault="00B8584B" w:rsidP="00032F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ind w:right="43"/>
              <w:jc w:val="right"/>
              <w:rPr>
                <w:sz w:val="8"/>
                <w:szCs w:val="8"/>
              </w:rPr>
            </w:pPr>
          </w:p>
        </w:tc>
      </w:tr>
      <w:tr w:rsidR="00B8584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7" w:type="dxa"/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b/>
                <w:i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Escuela primaria</w:t>
            </w:r>
          </w:p>
        </w:tc>
        <w:tc>
          <w:tcPr>
            <w:tcW w:w="884" w:type="dxa"/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36,3</w:t>
            </w:r>
          </w:p>
        </w:tc>
        <w:tc>
          <w:tcPr>
            <w:tcW w:w="884" w:type="dxa"/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30,1</w:t>
            </w:r>
          </w:p>
        </w:tc>
        <w:tc>
          <w:tcPr>
            <w:tcW w:w="884" w:type="dxa"/>
          </w:tcPr>
          <w:p w:rsidR="00B8584B" w:rsidRPr="00742A04" w:rsidRDefault="00B8584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21</w:t>
            </w:r>
            <w:r w:rsidR="00032F7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4</w:t>
            </w:r>
          </w:p>
        </w:tc>
        <w:tc>
          <w:tcPr>
            <w:tcW w:w="885" w:type="dxa"/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17,6</w:t>
            </w:r>
          </w:p>
        </w:tc>
      </w:tr>
      <w:tr w:rsidR="00B8584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7" w:type="dxa"/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b/>
                <w:i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Escuela secundaria</w:t>
            </w:r>
          </w:p>
        </w:tc>
        <w:tc>
          <w:tcPr>
            <w:tcW w:w="884" w:type="dxa"/>
          </w:tcPr>
          <w:p w:rsidR="00B8584B" w:rsidRPr="00742A04" w:rsidRDefault="00B8584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49</w:t>
            </w:r>
            <w:r w:rsidR="00032F7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7</w:t>
            </w:r>
          </w:p>
        </w:tc>
        <w:tc>
          <w:tcPr>
            <w:tcW w:w="884" w:type="dxa"/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53,0</w:t>
            </w:r>
          </w:p>
        </w:tc>
        <w:tc>
          <w:tcPr>
            <w:tcW w:w="884" w:type="dxa"/>
          </w:tcPr>
          <w:p w:rsidR="00B8584B" w:rsidRPr="00742A04" w:rsidRDefault="00B8584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53</w:t>
            </w:r>
            <w:r w:rsidR="00032F7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9</w:t>
            </w:r>
          </w:p>
        </w:tc>
        <w:tc>
          <w:tcPr>
            <w:tcW w:w="885" w:type="dxa"/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59,3</w:t>
            </w:r>
          </w:p>
        </w:tc>
      </w:tr>
      <w:tr w:rsidR="00B8584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7" w:type="dxa"/>
          </w:tcPr>
          <w:p w:rsidR="00B8584B" w:rsidRPr="00742A04" w:rsidRDefault="00B8584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b/>
                <w:i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Universidad/</w:t>
            </w:r>
            <w:r w:rsidR="00032F7B" w:rsidRPr="00742A04">
              <w:rPr>
                <w:sz w:val="17"/>
                <w:szCs w:val="17"/>
              </w:rPr>
              <w:t>colegio</w:t>
            </w:r>
            <w:r w:rsidRPr="00742A04">
              <w:rPr>
                <w:sz w:val="17"/>
                <w:szCs w:val="17"/>
              </w:rPr>
              <w:t xml:space="preserve"> </w:t>
            </w:r>
            <w:r w:rsidR="00032F7B" w:rsidRPr="00742A04">
              <w:rPr>
                <w:sz w:val="17"/>
                <w:szCs w:val="17"/>
              </w:rPr>
              <w:t xml:space="preserve">de </w:t>
            </w:r>
            <w:r w:rsidRPr="00742A04">
              <w:rPr>
                <w:sz w:val="17"/>
                <w:szCs w:val="17"/>
              </w:rPr>
              <w:t>4 años</w:t>
            </w:r>
          </w:p>
        </w:tc>
        <w:tc>
          <w:tcPr>
            <w:tcW w:w="884" w:type="dxa"/>
          </w:tcPr>
          <w:p w:rsidR="00B8584B" w:rsidRPr="00742A04" w:rsidRDefault="00B8584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12</w:t>
            </w:r>
            <w:r w:rsidR="00032F7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7</w:t>
            </w:r>
          </w:p>
        </w:tc>
        <w:tc>
          <w:tcPr>
            <w:tcW w:w="884" w:type="dxa"/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11,7</w:t>
            </w:r>
          </w:p>
        </w:tc>
        <w:tc>
          <w:tcPr>
            <w:tcW w:w="884" w:type="dxa"/>
          </w:tcPr>
          <w:p w:rsidR="00B8584B" w:rsidRPr="00742A04" w:rsidRDefault="00B8584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21</w:t>
            </w:r>
            <w:r w:rsidR="00032F7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2</w:t>
            </w:r>
          </w:p>
        </w:tc>
        <w:tc>
          <w:tcPr>
            <w:tcW w:w="885" w:type="dxa"/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15,9</w:t>
            </w:r>
          </w:p>
        </w:tc>
      </w:tr>
      <w:tr w:rsidR="00B8584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7" w:type="dxa"/>
            <w:tcBorders>
              <w:bottom w:val="single" w:sz="12" w:space="0" w:color="auto"/>
            </w:tcBorders>
          </w:tcPr>
          <w:p w:rsidR="00B8584B" w:rsidRPr="00742A04" w:rsidRDefault="00B8584B" w:rsidP="00032F7B">
            <w:pPr>
              <w:pStyle w:val="SingleTxt"/>
              <w:spacing w:before="40" w:after="40" w:line="240" w:lineRule="auto"/>
              <w:ind w:left="115" w:right="115"/>
              <w:jc w:val="left"/>
              <w:rPr>
                <w:b/>
                <w:i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Universidad/</w:t>
            </w:r>
            <w:r w:rsidR="00032F7B" w:rsidRPr="00742A04">
              <w:rPr>
                <w:sz w:val="17"/>
                <w:szCs w:val="17"/>
              </w:rPr>
              <w:t>colegio</w:t>
            </w:r>
            <w:r w:rsidRPr="00742A04">
              <w:rPr>
                <w:sz w:val="17"/>
                <w:szCs w:val="17"/>
              </w:rPr>
              <w:t xml:space="preserve"> </w:t>
            </w:r>
            <w:r w:rsidR="00032F7B" w:rsidRPr="00742A04">
              <w:rPr>
                <w:sz w:val="17"/>
                <w:szCs w:val="17"/>
              </w:rPr>
              <w:t xml:space="preserve">de </w:t>
            </w:r>
            <w:r w:rsidRPr="00742A04">
              <w:rPr>
                <w:sz w:val="17"/>
                <w:szCs w:val="17"/>
              </w:rPr>
              <w:t>más de 4 años</w:t>
            </w: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:rsidR="00B8584B" w:rsidRPr="00742A04" w:rsidRDefault="00B8584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</w:t>
            </w:r>
            <w:r w:rsidR="00032F7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3</w:t>
            </w: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5,2</w:t>
            </w: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:rsidR="00B8584B" w:rsidRPr="00742A04" w:rsidRDefault="00B8584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</w:t>
            </w:r>
            <w:r w:rsidR="00032F7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6</w:t>
            </w: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:rsidR="00B8584B" w:rsidRPr="00742A04" w:rsidRDefault="00032F7B" w:rsidP="00032F7B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7,2</w:t>
            </w:r>
          </w:p>
        </w:tc>
      </w:tr>
    </w:tbl>
    <w:p w:rsidR="006317BB" w:rsidRPr="00742A04" w:rsidRDefault="006317BB" w:rsidP="006317BB">
      <w:pPr>
        <w:pStyle w:val="SingleTxt"/>
        <w:spacing w:after="0" w:line="120" w:lineRule="exact"/>
        <w:rPr>
          <w:b/>
          <w:sz w:val="10"/>
        </w:rPr>
      </w:pPr>
    </w:p>
    <w:p w:rsidR="006317BB" w:rsidRPr="00742A04" w:rsidRDefault="006317BB" w:rsidP="006317BB">
      <w:pPr>
        <w:pStyle w:val="SingleTxt"/>
        <w:spacing w:after="0" w:line="120" w:lineRule="exact"/>
        <w:rPr>
          <w:b/>
          <w:sz w:val="10"/>
        </w:rPr>
      </w:pPr>
    </w:p>
    <w:p w:rsidR="00545D1B" w:rsidRPr="00742A04" w:rsidRDefault="001167D2" w:rsidP="00BB574B">
      <w:pPr>
        <w:pStyle w:val="SingleTxt"/>
        <w:keepNext/>
        <w:rPr>
          <w:b/>
        </w:rPr>
      </w:pPr>
      <w:r w:rsidRPr="00742A04">
        <w:rPr>
          <w:b/>
        </w:rPr>
        <w:t>La elección</w:t>
      </w:r>
      <w:r w:rsidR="00545D1B" w:rsidRPr="00742A04">
        <w:rPr>
          <w:b/>
        </w:rPr>
        <w:t xml:space="preserve"> </w:t>
      </w:r>
      <w:r w:rsidR="004A0730" w:rsidRPr="00742A04">
        <w:rPr>
          <w:b/>
        </w:rPr>
        <w:t>de</w:t>
      </w:r>
      <w:r w:rsidR="00545D1B" w:rsidRPr="00742A04">
        <w:rPr>
          <w:b/>
        </w:rPr>
        <w:t xml:space="preserve"> </w:t>
      </w:r>
      <w:r w:rsidR="0020405D" w:rsidRPr="00742A04">
        <w:rPr>
          <w:b/>
        </w:rPr>
        <w:t>línea de estudios</w:t>
      </w:r>
      <w:r w:rsidR="00545D1B" w:rsidRPr="00742A04">
        <w:rPr>
          <w:b/>
        </w:rPr>
        <w:t xml:space="preserve"> </w:t>
      </w:r>
      <w:r w:rsidR="00C14BFF" w:rsidRPr="00742A04">
        <w:rPr>
          <w:b/>
        </w:rPr>
        <w:t>en</w:t>
      </w:r>
      <w:r w:rsidR="00545D1B" w:rsidRPr="00742A04">
        <w:rPr>
          <w:b/>
        </w:rPr>
        <w:t xml:space="preserve"> </w:t>
      </w:r>
      <w:r w:rsidR="0020405D" w:rsidRPr="00742A04">
        <w:rPr>
          <w:b/>
        </w:rPr>
        <w:t>la escuela secundaria superior</w:t>
      </w:r>
    </w:p>
    <w:p w:rsidR="00545D1B" w:rsidRPr="00742A04" w:rsidRDefault="006672E0" w:rsidP="001C0056">
      <w:pPr>
        <w:pStyle w:val="SingleTxt"/>
        <w:ind w:firstLine="475"/>
      </w:pPr>
      <w:r>
        <w:t>Las opciones e</w:t>
      </w:r>
      <w:r w:rsidR="008E5EBF" w:rsidRPr="00742A04">
        <w:t>ducacional</w:t>
      </w:r>
      <w:r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E0DFE" w:rsidRPr="00742A04">
        <w:t>ocupaci</w:t>
      </w:r>
      <w:r w:rsidR="00545D1B" w:rsidRPr="00742A04">
        <w:t>onal</w:t>
      </w:r>
      <w:r>
        <w:t>es</w:t>
      </w:r>
      <w:r w:rsidR="00545D1B" w:rsidRPr="00742A04">
        <w:t xml:space="preserve"> </w:t>
      </w:r>
      <w:r>
        <w:t>se forman a lo largo del proceso</w:t>
      </w:r>
      <w:r w:rsidR="00545D1B" w:rsidRPr="00742A04">
        <w:t xml:space="preserve"> </w:t>
      </w:r>
      <w:r w:rsidR="008E5EBF" w:rsidRPr="00742A04">
        <w:t>educacional</w:t>
      </w:r>
      <w:r w:rsidR="00545D1B" w:rsidRPr="00742A04">
        <w:t xml:space="preserve">. </w:t>
      </w:r>
      <w:r w:rsidR="00CB0483" w:rsidRPr="00742A04">
        <w:t>Sin embargo</w:t>
      </w:r>
      <w:r w:rsidR="00A93B9E" w:rsidRPr="00742A04">
        <w:t xml:space="preserve">, la </w:t>
      </w:r>
      <w:r w:rsidR="0020405D" w:rsidRPr="00742A04">
        <w:t>elección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0405D" w:rsidRPr="00742A04">
        <w:t>línea de estudios</w:t>
      </w:r>
      <w:r w:rsidR="00545D1B" w:rsidRPr="00742A04">
        <w:t xml:space="preserve"> </w:t>
      </w:r>
      <w:r w:rsidR="00323431" w:rsidRPr="00742A04">
        <w:t>en</w:t>
      </w:r>
      <w:r w:rsidR="00545D1B" w:rsidRPr="00742A04">
        <w:t xml:space="preserve"> </w:t>
      </w:r>
      <w:r w:rsidR="00323431" w:rsidRPr="00742A04">
        <w:t>un curso básico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0405D" w:rsidRPr="00742A04">
        <w:t>la escuela secundaria superior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323431" w:rsidRPr="00742A04">
        <w:t>la primera gran</w:t>
      </w:r>
      <w:r w:rsidR="00545D1B" w:rsidRPr="00742A04">
        <w:t xml:space="preserve"> </w:t>
      </w:r>
      <w:r w:rsidR="00323431" w:rsidRPr="00742A04">
        <w:t>opción educacional formal</w:t>
      </w:r>
      <w:r w:rsidR="00545D1B" w:rsidRPr="00742A04">
        <w:t xml:space="preserve"> </w:t>
      </w:r>
      <w:r w:rsidR="00323431" w:rsidRPr="00742A04">
        <w:t>que hace un joven o una joven</w:t>
      </w:r>
      <w:r w:rsidR="00545D1B" w:rsidRPr="00742A04">
        <w:t xml:space="preserve"> </w:t>
      </w:r>
      <w:r w:rsidR="003E4840" w:rsidRPr="00742A04">
        <w:t>después de</w:t>
      </w:r>
      <w:r w:rsidR="00545D1B" w:rsidRPr="00742A04">
        <w:t xml:space="preserve"> </w:t>
      </w:r>
      <w:r w:rsidR="001C54BB" w:rsidRPr="00742A04">
        <w:t>diez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323431" w:rsidRPr="00742A04">
        <w:t xml:space="preserve"> primaria y secundaria inf</w:t>
      </w:r>
      <w:r w:rsidR="00323431" w:rsidRPr="00742A04">
        <w:t>e</w:t>
      </w:r>
      <w:r w:rsidR="00323431" w:rsidRPr="00742A04">
        <w:t>rior</w:t>
      </w:r>
      <w:r w:rsidR="00545D1B" w:rsidRPr="00742A04">
        <w:t xml:space="preserve">. </w:t>
      </w:r>
      <w:r w:rsidR="00323431" w:rsidRPr="00742A04">
        <w:t>Esta</w:t>
      </w:r>
      <w:r w:rsidR="00545D1B" w:rsidRPr="00742A04">
        <w:t xml:space="preserve"> </w:t>
      </w:r>
      <w:r w:rsidR="00323431" w:rsidRPr="00742A04">
        <w:t>opción</w:t>
      </w:r>
      <w:r w:rsidR="00545D1B" w:rsidRPr="00742A04">
        <w:t xml:space="preserve"> </w:t>
      </w:r>
      <w:r w:rsidR="00323431" w:rsidRPr="00742A04">
        <w:t>tiene gran incidencia</w:t>
      </w:r>
      <w:r w:rsidR="00545D1B" w:rsidRPr="00742A04">
        <w:t xml:space="preserve"> </w:t>
      </w:r>
      <w:r w:rsidR="00323431" w:rsidRPr="00742A04">
        <w:t>en la posterior trayectoria educaci</w:t>
      </w:r>
      <w:r w:rsidR="00323431" w:rsidRPr="00742A04">
        <w:t>o</w:t>
      </w:r>
      <w:r w:rsidR="00323431" w:rsidRPr="00742A04">
        <w:t>nal de los alumnos</w:t>
      </w:r>
      <w:r w:rsidR="00545D1B" w:rsidRPr="00742A04">
        <w:t xml:space="preserve">, </w:t>
      </w:r>
      <w:r w:rsidR="00323431" w:rsidRPr="00742A04">
        <w:t>aun cuando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23431" w:rsidRPr="00742A04">
        <w:t xml:space="preserve">hay </w:t>
      </w:r>
      <w:r w:rsidR="001E30D6" w:rsidRPr="00742A04">
        <w:t>posi</w:t>
      </w:r>
      <w:r w:rsidR="00545D1B" w:rsidRPr="00742A04">
        <w:t>bili</w:t>
      </w:r>
      <w:r w:rsidR="00323431" w:rsidRPr="00742A04">
        <w:t>dad</w:t>
      </w:r>
      <w:r w:rsidR="00545D1B" w:rsidRPr="00742A04">
        <w:t xml:space="preserve">es </w:t>
      </w:r>
      <w:r w:rsidR="00323431" w:rsidRPr="00742A04">
        <w:t xml:space="preserve">de acceder </w:t>
      </w:r>
      <w:r w:rsidR="00F43124" w:rsidRPr="00742A04">
        <w:t>a</w:t>
      </w:r>
      <w:r w:rsidR="00545D1B" w:rsidRPr="00742A04">
        <w:t xml:space="preserve"> </w:t>
      </w:r>
      <w:r w:rsidR="00844FDB" w:rsidRPr="00742A04">
        <w:t>la educación superior</w:t>
      </w:r>
      <w:r w:rsidR="00545D1B" w:rsidRPr="00742A04">
        <w:t xml:space="preserve"> </w:t>
      </w:r>
      <w:r w:rsidR="00356229" w:rsidRPr="00742A04">
        <w:t>sobre la base</w:t>
      </w:r>
      <w:r w:rsidR="00FD7D4E" w:rsidRPr="00742A04">
        <w:t xml:space="preserve"> de </w:t>
      </w:r>
      <w:r w:rsidR="00323431" w:rsidRPr="00742A04">
        <w:t>un curso básico</w:t>
      </w:r>
      <w:r w:rsidR="00545D1B" w:rsidRPr="00742A04">
        <w:t xml:space="preserve"> </w:t>
      </w:r>
      <w:r w:rsidR="00323431" w:rsidRPr="00742A04">
        <w:t>de una línea de formación</w:t>
      </w:r>
      <w:r w:rsidR="00545D1B" w:rsidRPr="00742A04">
        <w:t xml:space="preserve"> </w:t>
      </w:r>
      <w:r w:rsidR="00323431" w:rsidRPr="00742A04">
        <w:t>vocaci</w:t>
      </w:r>
      <w:r w:rsidR="00323431" w:rsidRPr="00742A04">
        <w:t>o</w:t>
      </w:r>
      <w:r w:rsidR="00323431" w:rsidRPr="00742A04">
        <w:t>nal</w:t>
      </w:r>
      <w:r w:rsidR="00545D1B" w:rsidRPr="00742A04">
        <w:t>.</w:t>
      </w:r>
    </w:p>
    <w:p w:rsidR="00545D1B" w:rsidRPr="00742A04" w:rsidRDefault="005206AC" w:rsidP="001C0056">
      <w:pPr>
        <w:pStyle w:val="SingleTxt"/>
        <w:ind w:firstLine="475"/>
      </w:pPr>
      <w:r w:rsidRPr="00742A04">
        <w:t>La distribución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 estudiantes de primer año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Pr="00742A04">
        <w:t>las distintas líneas de e</w:t>
      </w:r>
      <w:r w:rsidRPr="00742A04">
        <w:t>s</w:t>
      </w:r>
      <w:r w:rsidRPr="00742A04">
        <w:t>tudio</w:t>
      </w:r>
      <w:r w:rsidR="00545D1B" w:rsidRPr="00742A04">
        <w:t xml:space="preserve"> </w:t>
      </w:r>
      <w:r w:rsidRPr="00742A04">
        <w:t>no</w:t>
      </w:r>
      <w:r w:rsidR="00545D1B" w:rsidRPr="00742A04">
        <w:t xml:space="preserve"> </w:t>
      </w:r>
      <w:r w:rsidR="0087472C" w:rsidRPr="00742A04">
        <w:t xml:space="preserve">refleja </w:t>
      </w:r>
      <w:r w:rsidR="00A836A1" w:rsidRPr="00742A04">
        <w:t>sólo</w:t>
      </w:r>
      <w:r w:rsidR="00545D1B" w:rsidRPr="00742A04">
        <w:t xml:space="preserve"> </w:t>
      </w:r>
      <w:r w:rsidRPr="00742A04">
        <w:t>los deseos de los jóvenes</w:t>
      </w:r>
      <w:r w:rsidR="00545D1B" w:rsidRPr="00742A04">
        <w:t xml:space="preserve">. </w:t>
      </w:r>
      <w:r w:rsidR="00537384" w:rsidRPr="00742A04">
        <w:t>T</w:t>
      </w:r>
      <w:r w:rsidR="00BA0349" w:rsidRPr="00742A04">
        <w:t>ambién</w:t>
      </w:r>
      <w:r w:rsidR="00537384" w:rsidRPr="00742A04">
        <w:t xml:space="preserve"> </w:t>
      </w:r>
      <w:r w:rsidR="00BA0349" w:rsidRPr="00742A04">
        <w:t>puede</w:t>
      </w:r>
      <w:r w:rsidR="00537384" w:rsidRPr="00742A04">
        <w:t xml:space="preserve"> verse</w:t>
      </w:r>
      <w:r w:rsidR="00545D1B" w:rsidRPr="00742A04">
        <w:t xml:space="preserve"> </w:t>
      </w:r>
      <w:r w:rsidR="00537384" w:rsidRPr="00742A04">
        <w:t>afectada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537384" w:rsidRPr="00742A04">
        <w:t xml:space="preserve">la </w:t>
      </w:r>
      <w:r w:rsidR="00545D1B" w:rsidRPr="00742A04">
        <w:t>capac</w:t>
      </w:r>
      <w:r w:rsidR="00502E16" w:rsidRPr="00742A04">
        <w:t>idad</w:t>
      </w:r>
      <w:r w:rsidR="00545D1B" w:rsidRPr="00742A04">
        <w:t xml:space="preserve"> </w:t>
      </w:r>
      <w:r w:rsidR="00537384" w:rsidRPr="00742A04">
        <w:t>existente en las diversas líneas</w:t>
      </w:r>
      <w:r w:rsidR="00545D1B" w:rsidRPr="00742A04">
        <w:t xml:space="preserve"> </w:t>
      </w:r>
      <w:r w:rsidR="00537384" w:rsidRPr="00742A04">
        <w:t>en todo</w:t>
      </w:r>
      <w:r w:rsidR="00545D1B" w:rsidRPr="00742A04">
        <w:t xml:space="preserve"> </w:t>
      </w:r>
      <w:r w:rsidR="00537384" w:rsidRPr="00742A04">
        <w:t xml:space="preserve">el </w:t>
      </w:r>
      <w:r w:rsidR="00893DF9" w:rsidRPr="00742A04">
        <w:t>país</w:t>
      </w:r>
      <w:r w:rsidR="00545D1B" w:rsidRPr="00742A04">
        <w:t xml:space="preserve">. </w:t>
      </w:r>
      <w:r w:rsidR="002213CF" w:rsidRPr="00742A04">
        <w:t>Sin embargo</w:t>
      </w:r>
      <w:r w:rsidR="00537384" w:rsidRPr="00742A04">
        <w:t>,</w:t>
      </w:r>
      <w:r w:rsidR="00545D1B" w:rsidRPr="00742A04">
        <w:t xml:space="preserve"> </w:t>
      </w:r>
      <w:r w:rsidR="00537384" w:rsidRPr="00742A04">
        <w:t>las cifras</w:t>
      </w:r>
      <w:r w:rsidR="00545D1B" w:rsidRPr="00742A04">
        <w:t xml:space="preserve"> </w:t>
      </w:r>
      <w:r w:rsidR="00537384" w:rsidRPr="00742A04">
        <w:t>dan un panorama bastante exacto</w:t>
      </w:r>
      <w:r w:rsidR="00545D1B" w:rsidRPr="00742A04">
        <w:t xml:space="preserve"> </w:t>
      </w:r>
      <w:r w:rsidR="004A0730" w:rsidRPr="00742A04">
        <w:t>de</w:t>
      </w:r>
      <w:r w:rsidR="00537384" w:rsidRPr="00742A04">
        <w:t xml:space="preserve"> las</w:t>
      </w:r>
      <w:r w:rsidR="00545D1B" w:rsidRPr="00742A04">
        <w:t xml:space="preserve"> </w:t>
      </w:r>
      <w:r w:rsidR="00323431" w:rsidRPr="00742A04">
        <w:t>opci</w:t>
      </w:r>
      <w:r w:rsidR="00537384" w:rsidRPr="00742A04">
        <w:t>o</w:t>
      </w:r>
      <w:r w:rsidR="00323431" w:rsidRPr="00742A04">
        <w:t>n</w:t>
      </w:r>
      <w:r w:rsidR="00537384" w:rsidRPr="00742A04">
        <w:t>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0405D" w:rsidRPr="00742A04">
        <w:t>línea de estudios</w:t>
      </w:r>
      <w:r w:rsidR="00537384" w:rsidRPr="00742A04">
        <w:t xml:space="preserve"> hechas por</w:t>
      </w:r>
      <w:r w:rsidR="00545D1B" w:rsidRPr="00742A04">
        <w:t xml:space="preserve"> </w:t>
      </w:r>
      <w:r w:rsidR="00537384" w:rsidRPr="00742A04">
        <w:t xml:space="preserve">los jóvenes y las jóvenes de Noruega </w:t>
      </w:r>
      <w:r w:rsidR="00C14BFF" w:rsidRPr="00742A04">
        <w:t>en</w:t>
      </w:r>
      <w:r w:rsidR="00545D1B" w:rsidRPr="00742A04">
        <w:t xml:space="preserve"> </w:t>
      </w:r>
      <w:r w:rsidR="00BB2CB9" w:rsidRPr="00742A04">
        <w:t>la educación secundaria superior</w:t>
      </w:r>
      <w:r w:rsidR="00545D1B" w:rsidRPr="00742A04">
        <w:t xml:space="preserve">. </w:t>
      </w:r>
      <w:r w:rsidR="00021DB5" w:rsidRPr="00742A04">
        <w:t>Hay</w:t>
      </w:r>
      <w:r w:rsidR="00545D1B" w:rsidRPr="00742A04">
        <w:t xml:space="preserve"> </w:t>
      </w:r>
      <w:r w:rsidR="00537384" w:rsidRPr="00742A04">
        <w:t>difere</w:t>
      </w:r>
      <w:r w:rsidR="00537384" w:rsidRPr="00742A04">
        <w:t>n</w:t>
      </w:r>
      <w:r w:rsidR="00537384" w:rsidRPr="00742A04">
        <w:t>cias de género</w:t>
      </w:r>
      <w:r w:rsidR="00545D1B" w:rsidRPr="00742A04">
        <w:t xml:space="preserve"> </w:t>
      </w:r>
      <w:r w:rsidR="00537384" w:rsidRPr="00742A04">
        <w:t>en lo tocante a</w:t>
      </w:r>
      <w:r w:rsidR="00545D1B" w:rsidRPr="00742A04">
        <w:t xml:space="preserve"> </w:t>
      </w:r>
      <w:r w:rsidRPr="00742A04">
        <w:t>la distribución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37384" w:rsidRPr="00742A04">
        <w:t>los estudiantes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537384" w:rsidRPr="00742A04">
        <w:t>las diversas l</w:t>
      </w:r>
      <w:r w:rsidR="00537384" w:rsidRPr="00742A04">
        <w:t>í</w:t>
      </w:r>
      <w:r w:rsidR="00537384" w:rsidRPr="00742A04">
        <w:t>neas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37384" w:rsidRPr="00742A04">
        <w:t>el primer año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0405D" w:rsidRPr="00742A04">
        <w:t>la escuela secundaria superior</w:t>
      </w:r>
      <w:r w:rsidR="00545D1B" w:rsidRPr="00742A04">
        <w:t xml:space="preserve">. </w:t>
      </w:r>
      <w:r w:rsidRPr="00742A04">
        <w:t>En algunas</w:t>
      </w:r>
      <w:r w:rsidR="00545D1B" w:rsidRPr="00742A04">
        <w:t xml:space="preserve"> </w:t>
      </w:r>
      <w:r w:rsidRPr="00742A04">
        <w:t>líneas de est</w:t>
      </w:r>
      <w:r w:rsidRPr="00742A04">
        <w:t>u</w:t>
      </w:r>
      <w:r w:rsidRPr="00742A04">
        <w:t>dio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37384" w:rsidRPr="00742A04">
        <w:t>Estudios Sociales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37384" w:rsidRPr="00742A04">
        <w:t>Diseño</w:t>
      </w:r>
      <w:r w:rsidR="00545D1B" w:rsidRPr="00742A04">
        <w:t xml:space="preserve">, </w:t>
      </w:r>
      <w:r w:rsidR="009815FF" w:rsidRPr="00742A04">
        <w:t>las jóvenes son</w:t>
      </w:r>
      <w:r w:rsidR="00545D1B" w:rsidRPr="00742A04">
        <w:t xml:space="preserve"> </w:t>
      </w:r>
      <w:r w:rsidR="00B0197C" w:rsidRPr="00742A04">
        <w:t>mayoría</w:t>
      </w:r>
      <w:r w:rsidR="00545D1B" w:rsidRPr="00742A04">
        <w:t xml:space="preserve">. </w:t>
      </w:r>
      <w:r w:rsidRPr="00742A04">
        <w:t>En otras</w:t>
      </w:r>
      <w:r w:rsidR="00545D1B" w:rsidRPr="00742A04">
        <w:t xml:space="preserve"> </w:t>
      </w:r>
      <w:r w:rsidRPr="00742A04">
        <w:t>líneas de estudio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Construc</w:t>
      </w:r>
      <w:r w:rsidR="00537384" w:rsidRPr="00742A04">
        <w:t xml:space="preserve">ción y estudios de </w:t>
      </w:r>
      <w:r w:rsidR="00545D1B" w:rsidRPr="00742A04">
        <w:t>Electric</w:t>
      </w:r>
      <w:r w:rsidR="00537384" w:rsidRPr="00742A04">
        <w:t>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Mec</w:t>
      </w:r>
      <w:r w:rsidR="00537384" w:rsidRPr="00742A04">
        <w:t>á</w:t>
      </w:r>
      <w:r w:rsidR="00537384" w:rsidRPr="00742A04">
        <w:t>nica</w:t>
      </w:r>
      <w:r w:rsidR="00545D1B" w:rsidRPr="00742A04">
        <w:t xml:space="preserve"> </w:t>
      </w:r>
      <w:r w:rsidR="00F43124" w:rsidRPr="00742A04">
        <w:t>hay</w:t>
      </w:r>
      <w:r w:rsidR="00545D1B" w:rsidRPr="00742A04">
        <w:t xml:space="preserve"> </w:t>
      </w:r>
      <w:r w:rsidR="00537384" w:rsidRPr="00742A04">
        <w:t>un</w:t>
      </w:r>
      <w:r w:rsidR="00545D1B" w:rsidRPr="00742A04">
        <w:t xml:space="preserve">a </w:t>
      </w:r>
      <w:r w:rsidR="00B0197C" w:rsidRPr="00742A04">
        <w:t>mayoría</w:t>
      </w:r>
      <w:r w:rsidR="00545D1B" w:rsidRPr="00742A04">
        <w:t xml:space="preserve"> </w:t>
      </w:r>
      <w:r w:rsidR="00C076F2" w:rsidRPr="00742A04">
        <w:t xml:space="preserve">de </w:t>
      </w:r>
      <w:r w:rsidR="002213CF" w:rsidRPr="00742A04">
        <w:t>varones</w:t>
      </w:r>
      <w:r w:rsidR="00545D1B" w:rsidRPr="00742A04">
        <w:t xml:space="preserve">. </w:t>
      </w:r>
      <w:r w:rsidR="00537384" w:rsidRPr="00742A04">
        <w:t>La distribución de género</w:t>
      </w:r>
      <w:r w:rsidR="00C14BFF" w:rsidRPr="00742A04">
        <w:t xml:space="preserve"> </w:t>
      </w:r>
      <w:r w:rsidR="00537384" w:rsidRPr="00742A04">
        <w:t>e</w:t>
      </w:r>
      <w:r w:rsidR="00545D1B" w:rsidRPr="00742A04">
        <w:t xml:space="preserve">n </w:t>
      </w:r>
      <w:r w:rsidR="00537384" w:rsidRPr="00742A04">
        <w:t>las diversas líneas</w:t>
      </w:r>
      <w:r w:rsidRPr="00742A04">
        <w:t xml:space="preserve"> de estudio</w:t>
      </w:r>
      <w:r w:rsidR="00545D1B" w:rsidRPr="00742A04">
        <w:t xml:space="preserve"> </w:t>
      </w:r>
      <w:r w:rsidR="006D7D2F" w:rsidRPr="00742A04">
        <w:t>ha sido</w:t>
      </w:r>
      <w:r w:rsidR="00545D1B" w:rsidRPr="00742A04">
        <w:t xml:space="preserve"> relativ</w:t>
      </w:r>
      <w:r w:rsidR="00BC2FBE" w:rsidRPr="00742A04">
        <w:t>amente estable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D313C" w:rsidRPr="00742A04">
        <w:t>los últimos años</w:t>
      </w:r>
      <w:r w:rsidR="00545D1B" w:rsidRPr="00742A04">
        <w:t xml:space="preserve">. </w:t>
      </w:r>
      <w:r w:rsidR="00537384" w:rsidRPr="00742A04">
        <w:t>Desde finales</w:t>
      </w:r>
      <w:r w:rsidR="00545D1B" w:rsidRPr="00742A04">
        <w:t xml:space="preserve"> </w:t>
      </w:r>
      <w:r w:rsidR="00537384" w:rsidRPr="00742A04">
        <w:t>del decenio de 1990</w:t>
      </w:r>
      <w:r w:rsidR="00545D1B" w:rsidRPr="00742A04">
        <w:t xml:space="preserve"> </w:t>
      </w:r>
      <w:r w:rsidR="00537384" w:rsidRPr="00742A04">
        <w:t>h</w:t>
      </w:r>
      <w:r w:rsidR="00194AB3" w:rsidRPr="00742A04">
        <w:t>asta</w:t>
      </w:r>
      <w:r w:rsidR="00545D1B" w:rsidRPr="00742A04">
        <w:t xml:space="preserve"> 2004, </w:t>
      </w:r>
      <w:r w:rsidR="00537384" w:rsidRPr="00742A04">
        <w:t>los únicos</w:t>
      </w:r>
      <w:r w:rsidR="00545D1B" w:rsidRPr="00742A04">
        <w:t xml:space="preserve"> </w:t>
      </w:r>
      <w:r w:rsidR="00537384" w:rsidRPr="00742A04">
        <w:t>cambios significativos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37384" w:rsidRPr="00742A04">
        <w:t>la distribución de género</w:t>
      </w:r>
      <w:r w:rsidR="00C14BFF" w:rsidRPr="00742A04">
        <w:t xml:space="preserve"> </w:t>
      </w:r>
      <w:r w:rsidR="005C19C7" w:rsidRPr="00742A04">
        <w:t xml:space="preserve">han </w:t>
      </w:r>
      <w:r w:rsidR="00537384" w:rsidRPr="00742A04">
        <w:t>ten</w:t>
      </w:r>
      <w:r w:rsidR="005C19C7" w:rsidRPr="00742A04">
        <w:t>ido</w:t>
      </w:r>
      <w:r w:rsidR="00545D1B" w:rsidRPr="00742A04">
        <w:t xml:space="preserve"> </w:t>
      </w:r>
      <w:r w:rsidR="00537384" w:rsidRPr="00742A04">
        <w:t xml:space="preserve">lugar </w:t>
      </w:r>
      <w:r w:rsidR="00C14BFF" w:rsidRPr="00742A04">
        <w:t>en</w:t>
      </w:r>
      <w:r w:rsidR="00545D1B" w:rsidRPr="00742A04">
        <w:t xml:space="preserve"> </w:t>
      </w:r>
      <w:r w:rsidRPr="00742A04">
        <w:t>líneas de estudio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1C54BB" w:rsidRPr="00742A04">
        <w:t>muy</w:t>
      </w:r>
      <w:r w:rsidR="00545D1B" w:rsidRPr="00742A04">
        <w:t xml:space="preserve"> </w:t>
      </w:r>
      <w:r w:rsidR="00893DF9" w:rsidRPr="00742A04">
        <w:t>pocas</w:t>
      </w:r>
      <w:r w:rsidR="00545D1B" w:rsidRPr="00742A04">
        <w:t xml:space="preserve"> </w:t>
      </w:r>
      <w:r w:rsidR="00537384" w:rsidRPr="00742A04">
        <w:t>plazas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537384" w:rsidRPr="00742A04">
        <w:t>Estudios Ambientales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37384" w:rsidRPr="00742A04">
        <w:t>Química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37384" w:rsidRPr="00742A04">
        <w:t>Procesamiento</w:t>
      </w:r>
      <w:r w:rsidR="00545D1B" w:rsidRPr="00742A04">
        <w:t xml:space="preserve">. </w:t>
      </w:r>
      <w:r w:rsidR="00537384" w:rsidRPr="00742A04">
        <w:t>La distribución de género</w:t>
      </w:r>
      <w:r w:rsidR="00C14BFF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F6A61" w:rsidRPr="00742A04">
        <w:t>la</w:t>
      </w:r>
      <w:r w:rsidR="00537384" w:rsidRPr="00742A04">
        <w:t>s</w:t>
      </w:r>
      <w:r w:rsidR="00AF6A61" w:rsidRPr="00742A04">
        <w:t xml:space="preserve"> nueva</w:t>
      </w:r>
      <w:r w:rsidR="00537384" w:rsidRPr="00742A04">
        <w:t>s</w:t>
      </w:r>
      <w:r w:rsidR="00545D1B" w:rsidRPr="00742A04">
        <w:t xml:space="preserve"> </w:t>
      </w:r>
      <w:r w:rsidR="00537384" w:rsidRPr="00742A04">
        <w:t>disciplinas de</w:t>
      </w:r>
      <w:r w:rsidR="00545D1B" w:rsidRPr="00742A04">
        <w:t xml:space="preserve"> Medi</w:t>
      </w:r>
      <w:r w:rsidR="00537384" w:rsidRPr="00742A04">
        <w:t>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7443" w:rsidRPr="00742A04">
        <w:t>Comun</w:t>
      </w:r>
      <w:r w:rsidR="00545D1B" w:rsidRPr="00742A04">
        <w:t>ica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537384" w:rsidRPr="00742A04">
        <w:t>Ventas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C08FB" w:rsidRPr="00742A04">
        <w:t>Servicio</w:t>
      </w:r>
      <w:r w:rsidR="00537384" w:rsidRPr="00742A04">
        <w:t>s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537384" w:rsidRPr="00742A04">
        <w:t>fuero</w:t>
      </w:r>
      <w:r w:rsidR="00E73E8E" w:rsidRPr="00742A04">
        <w:t>n</w:t>
      </w:r>
      <w:r w:rsidR="00537384" w:rsidRPr="00742A04">
        <w:t xml:space="preserve"> incorpor</w:t>
      </w:r>
      <w:r w:rsidR="00537384" w:rsidRPr="00742A04">
        <w:t>a</w:t>
      </w:r>
      <w:r w:rsidR="00537384" w:rsidRPr="00742A04">
        <w:t>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37384" w:rsidRPr="00742A04">
        <w:t xml:space="preserve">el año </w:t>
      </w:r>
      <w:r w:rsidR="00545D1B" w:rsidRPr="00742A04">
        <w:t xml:space="preserve">2000, </w:t>
      </w:r>
      <w:r w:rsidR="00BB4DB1" w:rsidRPr="00742A04">
        <w:t>es</w:t>
      </w:r>
      <w:r w:rsidR="00545D1B" w:rsidRPr="00742A04">
        <w:t xml:space="preserve"> </w:t>
      </w:r>
      <w:r w:rsidR="009815FF" w:rsidRPr="00742A04">
        <w:t>en términos generales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581775" w:rsidRPr="00742A04">
        <w:t>igual</w:t>
      </w:r>
      <w:r w:rsidR="00537384" w:rsidRPr="00742A04">
        <w:t>itaria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537384" w:rsidRPr="00742A04">
        <w:t>en las otra</w:t>
      </w:r>
      <w:r w:rsidR="00BC2FBE" w:rsidRPr="00742A04">
        <w:t>s</w:t>
      </w:r>
      <w:r w:rsidR="00545D1B" w:rsidRPr="00742A04">
        <w:t xml:space="preserve"> </w:t>
      </w:r>
      <w:r w:rsidRPr="00742A04">
        <w:t>líneas de est</w:t>
      </w:r>
      <w:r w:rsidRPr="00742A04">
        <w:t>u</w:t>
      </w:r>
      <w:r w:rsidRPr="00742A04">
        <w:t>dio</w:t>
      </w:r>
      <w:r w:rsidR="00545D1B" w:rsidRPr="00742A04">
        <w:t>.</w:t>
      </w:r>
    </w:p>
    <w:p w:rsidR="00545D1B" w:rsidRPr="00742A04" w:rsidRDefault="00545D1B" w:rsidP="001C0056">
      <w:pPr>
        <w:pStyle w:val="SingleTxt"/>
        <w:ind w:firstLine="475"/>
      </w:pPr>
      <w:r w:rsidRPr="00742A04">
        <w:t xml:space="preserve">No </w:t>
      </w:r>
      <w:r w:rsidR="00495D7B" w:rsidRPr="00742A04">
        <w:t xml:space="preserve">se han </w:t>
      </w:r>
      <w:r w:rsidR="009815FF" w:rsidRPr="00742A04">
        <w:t>realiz</w:t>
      </w:r>
      <w:r w:rsidR="00495D7B" w:rsidRPr="00742A04">
        <w:t xml:space="preserve">ado </w:t>
      </w:r>
      <w:r w:rsidR="009815FF" w:rsidRPr="00742A04">
        <w:t>encuestas</w:t>
      </w:r>
      <w:r w:rsidRPr="00742A04">
        <w:t xml:space="preserve"> </w:t>
      </w:r>
      <w:r w:rsidR="009815FF" w:rsidRPr="00742A04">
        <w:t>comprensivas de</w:t>
      </w:r>
      <w:r w:rsidRPr="00742A04">
        <w:t xml:space="preserve"> </w:t>
      </w:r>
      <w:r w:rsidR="009815FF" w:rsidRPr="00742A04">
        <w:t>las razones</w:t>
      </w:r>
      <w:r w:rsidRPr="00742A04">
        <w:t xml:space="preserve"> </w:t>
      </w:r>
      <w:r w:rsidR="009815FF" w:rsidRPr="00742A04">
        <w:t>de las</w:t>
      </w:r>
      <w:r w:rsidRPr="00742A04">
        <w:t xml:space="preserve"> </w:t>
      </w:r>
      <w:r w:rsidR="00B306AA" w:rsidRPr="00742A04">
        <w:t>opciones tr</w:t>
      </w:r>
      <w:r w:rsidR="00B306AA" w:rsidRPr="00742A04">
        <w:t>a</w:t>
      </w:r>
      <w:r w:rsidR="00B306AA" w:rsidRPr="00742A04">
        <w:t>dicionales</w:t>
      </w:r>
      <w:r w:rsidRPr="00742A04">
        <w:t xml:space="preserve"> </w:t>
      </w:r>
      <w:r w:rsidR="009815FF" w:rsidRPr="00742A04">
        <w:t xml:space="preserve">en materia </w:t>
      </w:r>
      <w:r w:rsidR="004A0730" w:rsidRPr="00742A04">
        <w:t>de</w:t>
      </w:r>
      <w:r w:rsidRPr="00742A04">
        <w:t xml:space="preserve"> </w:t>
      </w:r>
      <w:r w:rsidR="00A05847" w:rsidRPr="00742A04">
        <w:t>educación</w:t>
      </w:r>
      <w:r w:rsidRPr="00742A04">
        <w:t xml:space="preserve"> </w:t>
      </w:r>
      <w:r w:rsidR="00C14BFF" w:rsidRPr="00742A04">
        <w:t>en</w:t>
      </w:r>
      <w:r w:rsidRPr="00742A04">
        <w:t xml:space="preserve"> </w:t>
      </w:r>
      <w:r w:rsidR="00EA26AB" w:rsidRPr="00742A04">
        <w:t>Noruega</w:t>
      </w:r>
      <w:r w:rsidRPr="00742A04">
        <w:t xml:space="preserve"> </w:t>
      </w:r>
      <w:r w:rsidR="00C14BFF" w:rsidRPr="00742A04">
        <w:t>en</w:t>
      </w:r>
      <w:r w:rsidRPr="00742A04">
        <w:t xml:space="preserve"> </w:t>
      </w:r>
      <w:r w:rsidR="004D313C" w:rsidRPr="00742A04">
        <w:t>los últimos años</w:t>
      </w:r>
      <w:r w:rsidRPr="00742A04">
        <w:t xml:space="preserve">. </w:t>
      </w:r>
      <w:r w:rsidR="009815FF" w:rsidRPr="00742A04">
        <w:t xml:space="preserve">El </w:t>
      </w:r>
      <w:r w:rsidR="00F67A1B" w:rsidRPr="00742A04">
        <w:t>Instituto</w:t>
      </w:r>
      <w:r w:rsidRPr="00742A04">
        <w:t xml:space="preserve"> </w:t>
      </w:r>
      <w:r w:rsidR="009815FF" w:rsidRPr="00742A04">
        <w:t>de Estudio</w:t>
      </w:r>
      <w:r w:rsidRPr="00742A04">
        <w:t xml:space="preserve">s </w:t>
      </w:r>
      <w:r w:rsidR="00C14BFF" w:rsidRPr="00742A04">
        <w:t>en</w:t>
      </w:r>
      <w:r w:rsidRPr="00742A04">
        <w:t xml:space="preserve"> Innova</w:t>
      </w:r>
      <w:r w:rsidR="00935A90" w:rsidRPr="00742A04">
        <w:t>ción,</w:t>
      </w:r>
      <w:r w:rsidRPr="00742A04">
        <w:t xml:space="preserve"> </w:t>
      </w:r>
      <w:r w:rsidR="001902F8" w:rsidRPr="00742A04">
        <w:t>Investigación</w:t>
      </w:r>
      <w:r w:rsidRPr="00742A04">
        <w:t xml:space="preserve"> </w:t>
      </w:r>
      <w:r w:rsidR="00877AA0" w:rsidRPr="00742A04">
        <w:t>y</w:t>
      </w:r>
      <w:r w:rsidRPr="00742A04">
        <w:t xml:space="preserve"> </w:t>
      </w:r>
      <w:r w:rsidR="00A05847" w:rsidRPr="00742A04">
        <w:t>Educación</w:t>
      </w:r>
      <w:r w:rsidRPr="00742A04">
        <w:t xml:space="preserve"> </w:t>
      </w:r>
      <w:r w:rsidR="009815FF" w:rsidRPr="00742A04">
        <w:t>de Noruega realizó encuestas de ese</w:t>
      </w:r>
      <w:r w:rsidR="004F2F8A" w:rsidRPr="00742A04">
        <w:t xml:space="preserve"> tipo</w:t>
      </w:r>
      <w:r w:rsidRPr="00742A04">
        <w:t xml:space="preserve"> </w:t>
      </w:r>
      <w:r w:rsidR="009815FF" w:rsidRPr="00742A04">
        <w:t>a comienzos del decenio de 1980</w:t>
      </w:r>
      <w:r w:rsidRPr="00742A04">
        <w:t xml:space="preserve"> </w:t>
      </w:r>
      <w:r w:rsidR="00877AA0" w:rsidRPr="00742A04">
        <w:t>y</w:t>
      </w:r>
      <w:r w:rsidRPr="00742A04">
        <w:t xml:space="preserve"> </w:t>
      </w:r>
      <w:r w:rsidR="00C14BFF" w:rsidRPr="00742A04">
        <w:t>en</w:t>
      </w:r>
      <w:r w:rsidRPr="00742A04">
        <w:t xml:space="preserve"> </w:t>
      </w:r>
      <w:r w:rsidR="009815FF" w:rsidRPr="00742A04">
        <w:t>el decenio de 1990</w:t>
      </w:r>
      <w:r w:rsidRPr="00742A04">
        <w:t xml:space="preserve">. </w:t>
      </w:r>
      <w:r w:rsidR="00F43124" w:rsidRPr="00742A04">
        <w:t>Hay</w:t>
      </w:r>
      <w:r w:rsidRPr="00742A04">
        <w:t xml:space="preserve"> </w:t>
      </w:r>
      <w:r w:rsidR="009815FF" w:rsidRPr="00742A04">
        <w:t>razo</w:t>
      </w:r>
      <w:r w:rsidR="00982243" w:rsidRPr="00742A04">
        <w:t>n</w:t>
      </w:r>
      <w:r w:rsidR="009815FF" w:rsidRPr="00742A04">
        <w:t>es</w:t>
      </w:r>
      <w:r w:rsidRPr="00742A04">
        <w:t xml:space="preserve"> </w:t>
      </w:r>
      <w:r w:rsidR="00982243" w:rsidRPr="00742A04">
        <w:t>para creer</w:t>
      </w:r>
      <w:r w:rsidRPr="00742A04">
        <w:t xml:space="preserve"> </w:t>
      </w:r>
      <w:r w:rsidR="009815FF" w:rsidRPr="00742A04">
        <w:t xml:space="preserve">que </w:t>
      </w:r>
      <w:r w:rsidR="00CE7870" w:rsidRPr="00742A04">
        <w:t>mu</w:t>
      </w:r>
      <w:r w:rsidR="009815FF" w:rsidRPr="00742A04">
        <w:t>cha</w:t>
      </w:r>
      <w:r w:rsidR="00CE7870" w:rsidRPr="00742A04">
        <w:t>s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9815FF" w:rsidRPr="00742A04">
        <w:t>las</w:t>
      </w:r>
      <w:r w:rsidRPr="00742A04">
        <w:t xml:space="preserve"> </w:t>
      </w:r>
      <w:r w:rsidR="00D52339" w:rsidRPr="00742A04">
        <w:t>comprobaciones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9815FF" w:rsidRPr="00742A04">
        <w:t>esas encuestas</w:t>
      </w:r>
      <w:r w:rsidRPr="00742A04">
        <w:t xml:space="preserve"> </w:t>
      </w:r>
      <w:r w:rsidR="009815FF" w:rsidRPr="00742A04">
        <w:t>no han tenido cambios</w:t>
      </w:r>
      <w:r w:rsidRPr="00742A04">
        <w:t xml:space="preserve"> </w:t>
      </w:r>
      <w:r w:rsidR="005D2D07" w:rsidRPr="00742A04">
        <w:t>signif</w:t>
      </w:r>
      <w:r w:rsidR="005D2D07" w:rsidRPr="00742A04">
        <w:t>i</w:t>
      </w:r>
      <w:r w:rsidR="005D2D07" w:rsidRPr="00742A04">
        <w:t>cativ</w:t>
      </w:r>
      <w:r w:rsidR="009815FF" w:rsidRPr="00742A04">
        <w:t>os</w:t>
      </w:r>
      <w:r w:rsidRPr="00742A04">
        <w:t>.</w:t>
      </w:r>
    </w:p>
    <w:p w:rsidR="00545D1B" w:rsidRPr="00742A04" w:rsidRDefault="009815FF" w:rsidP="001C0056">
      <w:pPr>
        <w:pStyle w:val="SingleTxt"/>
        <w:ind w:firstLine="475"/>
      </w:pPr>
      <w:r w:rsidRPr="00742A04">
        <w:t>¿Por qué hacen las jóvenes</w:t>
      </w:r>
      <w:r w:rsidR="00545D1B" w:rsidRPr="00742A04">
        <w:t xml:space="preserve"> </w:t>
      </w:r>
      <w:r w:rsidR="001167D2" w:rsidRPr="00742A04">
        <w:t>la</w:t>
      </w:r>
      <w:r w:rsidRPr="00742A04">
        <w:t>s</w:t>
      </w:r>
      <w:r w:rsidR="001167D2" w:rsidRPr="00742A04">
        <w:t xml:space="preserve"> </w:t>
      </w:r>
      <w:r w:rsidRPr="00742A04">
        <w:t>opciones que</w:t>
      </w:r>
      <w:r w:rsidR="00545D1B" w:rsidRPr="00742A04">
        <w:t xml:space="preserve"> </w:t>
      </w:r>
      <w:r w:rsidRPr="00742A04">
        <w:t>hacen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B2CB9" w:rsidRPr="00742A04">
        <w:t>la educación secu</w:t>
      </w:r>
      <w:r w:rsidR="00BB2CB9" w:rsidRPr="00742A04">
        <w:t>n</w:t>
      </w:r>
      <w:r w:rsidR="00BB2CB9" w:rsidRPr="00742A04">
        <w:t>daria superior</w:t>
      </w:r>
      <w:r w:rsidR="00545D1B" w:rsidRPr="00742A04">
        <w:t xml:space="preserve">? </w:t>
      </w:r>
      <w:r w:rsidR="00F43124" w:rsidRPr="00742A04">
        <w:t>Algunas de las</w:t>
      </w:r>
      <w:r w:rsidR="00545D1B" w:rsidRPr="00742A04">
        <w:t xml:space="preserve"> </w:t>
      </w:r>
      <w:r w:rsidR="00D52339" w:rsidRPr="00742A04">
        <w:t>comprobaciones</w:t>
      </w:r>
      <w:r w:rsidR="00FD7D4E" w:rsidRPr="00742A04">
        <w:t xml:space="preserve"> de </w:t>
      </w:r>
      <w:r w:rsidR="00311327" w:rsidRPr="00742A04">
        <w:t>la encuesta</w:t>
      </w:r>
      <w:r w:rsidR="00545D1B" w:rsidRPr="00742A04">
        <w:t xml:space="preserve"> </w:t>
      </w:r>
      <w:r w:rsidR="00AD5494" w:rsidRPr="00742A04">
        <w:t>llevada a cabo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1995 </w:t>
      </w:r>
      <w:r w:rsidR="00E73E8E" w:rsidRPr="00742A04">
        <w:t>eran</w:t>
      </w:r>
      <w:r w:rsidR="00545D1B" w:rsidRPr="00742A04">
        <w:t xml:space="preserve"> </w:t>
      </w:r>
      <w:r w:rsidRPr="00742A04">
        <w:t>las siguientes</w:t>
      </w:r>
      <w:r w:rsidR="00545D1B" w:rsidRPr="00742A04">
        <w:t>:</w:t>
      </w:r>
    </w:p>
    <w:p w:rsidR="00545D1B" w:rsidRPr="00742A04" w:rsidRDefault="009815FF" w:rsidP="001C0056">
      <w:pPr>
        <w:pStyle w:val="SingleTxt"/>
        <w:numPr>
          <w:ilvl w:val="0"/>
          <w:numId w:val="42"/>
        </w:numPr>
        <w:tabs>
          <w:tab w:val="clear" w:pos="1742"/>
          <w:tab w:val="left" w:pos="1080"/>
        </w:tabs>
      </w:pPr>
      <w:r w:rsidRPr="00742A04">
        <w:rPr>
          <w:i/>
        </w:rPr>
        <w:t>Para tener</w:t>
      </w:r>
      <w:r w:rsidR="00545D1B" w:rsidRPr="00742A04">
        <w:rPr>
          <w:i/>
        </w:rPr>
        <w:t xml:space="preserve"> </w:t>
      </w:r>
      <w:r w:rsidRPr="00742A04">
        <w:rPr>
          <w:i/>
        </w:rPr>
        <w:t>posibilidades</w:t>
      </w:r>
      <w:r w:rsidR="00545D1B" w:rsidRPr="00742A04">
        <w:rPr>
          <w:i/>
        </w:rPr>
        <w:t xml:space="preserve"> </w:t>
      </w:r>
      <w:r w:rsidRPr="00742A04">
        <w:rPr>
          <w:i/>
        </w:rPr>
        <w:t>de trabajar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Pr="00742A04">
        <w:rPr>
          <w:i/>
        </w:rPr>
        <w:t>el lugar en que viven</w:t>
      </w:r>
      <w:r w:rsidR="00545D1B" w:rsidRPr="00742A04">
        <w:t xml:space="preserve">. </w:t>
      </w:r>
      <w:r w:rsidRPr="00742A04">
        <w:t xml:space="preserve">El </w:t>
      </w:r>
      <w:r w:rsidR="00545D1B" w:rsidRPr="00742A04">
        <w:t>16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E6919" w:rsidRPr="00742A04">
        <w:t xml:space="preserve">las </w:t>
      </w:r>
      <w:r w:rsidRPr="00742A04">
        <w:t>jóvenes matriculadas</w:t>
      </w:r>
      <w:r w:rsidR="00545D1B" w:rsidRPr="00742A04">
        <w:t xml:space="preserve"> </w:t>
      </w:r>
      <w:r w:rsidR="006672E0">
        <w:t>e</w:t>
      </w:r>
      <w:r w:rsidR="006672E0" w:rsidRPr="00742A04">
        <w:t>n</w:t>
      </w:r>
      <w:r w:rsidR="00545D1B" w:rsidRPr="00742A04">
        <w:t xml:space="preserve"> </w:t>
      </w:r>
      <w:r w:rsidRPr="00742A04">
        <w:t>el curso de estudio general</w:t>
      </w:r>
      <w:r w:rsidR="00545D1B" w:rsidRPr="00742A04">
        <w:t xml:space="preserve"> </w:t>
      </w:r>
      <w:r w:rsidRPr="00742A04">
        <w:t>dieron est</w:t>
      </w:r>
      <w:r w:rsidR="00545D1B" w:rsidRPr="00742A04">
        <w:t xml:space="preserve">a </w:t>
      </w:r>
      <w:r w:rsidR="00982243" w:rsidRPr="00742A04">
        <w:t>razón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34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2213CF" w:rsidRPr="00742A04">
        <w:t>varones</w:t>
      </w:r>
      <w:r w:rsidR="00545D1B" w:rsidRPr="00742A04">
        <w:t xml:space="preserve"> </w:t>
      </w:r>
      <w:r w:rsidRPr="00742A04">
        <w:t>matriculados e</w:t>
      </w:r>
      <w:r w:rsidR="00545D1B" w:rsidRPr="00742A04">
        <w:t xml:space="preserve">n </w:t>
      </w:r>
      <w:r w:rsidRPr="00742A04">
        <w:t>los cursos vocaci</w:t>
      </w:r>
      <w:r w:rsidRPr="00742A04">
        <w:t>o</w:t>
      </w:r>
      <w:r w:rsidRPr="00742A04">
        <w:t>nales</w:t>
      </w:r>
      <w:r w:rsidR="00545D1B" w:rsidRPr="00742A04">
        <w:t>.</w:t>
      </w:r>
    </w:p>
    <w:p w:rsidR="00545D1B" w:rsidRPr="00742A04" w:rsidRDefault="009815FF" w:rsidP="001C0056">
      <w:pPr>
        <w:pStyle w:val="SingleTxt"/>
        <w:numPr>
          <w:ilvl w:val="0"/>
          <w:numId w:val="42"/>
        </w:numPr>
        <w:tabs>
          <w:tab w:val="clear" w:pos="1742"/>
          <w:tab w:val="left" w:pos="1080"/>
        </w:tabs>
      </w:pPr>
      <w:r w:rsidRPr="00742A04">
        <w:rPr>
          <w:i/>
        </w:rPr>
        <w:t>Para satisfacer</w:t>
      </w:r>
      <w:r w:rsidR="00545D1B" w:rsidRPr="00742A04">
        <w:rPr>
          <w:i/>
        </w:rPr>
        <w:t xml:space="preserve"> </w:t>
      </w:r>
      <w:r w:rsidR="00F97F41" w:rsidRPr="00742A04">
        <w:rPr>
          <w:i/>
        </w:rPr>
        <w:t>su</w:t>
      </w:r>
      <w:r w:rsidR="00545D1B" w:rsidRPr="00742A04">
        <w:rPr>
          <w:i/>
        </w:rPr>
        <w:t xml:space="preserve"> </w:t>
      </w:r>
      <w:r w:rsidRPr="00742A04">
        <w:rPr>
          <w:i/>
        </w:rPr>
        <w:t>interés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Pr="00742A04">
        <w:rPr>
          <w:i/>
        </w:rPr>
        <w:t>determinadas asignaturas</w:t>
      </w:r>
      <w:r w:rsidR="00545D1B" w:rsidRPr="00742A04">
        <w:t xml:space="preserve">. </w:t>
      </w:r>
      <w:r w:rsidR="005E6919" w:rsidRPr="00742A04">
        <w:t xml:space="preserve">Las </w:t>
      </w:r>
      <w:r w:rsidRPr="00742A04">
        <w:t>jóvenes</w:t>
      </w:r>
      <w:r w:rsidR="00545D1B" w:rsidRPr="00742A04">
        <w:t xml:space="preserve"> </w:t>
      </w:r>
      <w:r w:rsidR="006672E0" w:rsidRPr="00742A04">
        <w:t>dest</w:t>
      </w:r>
      <w:r w:rsidR="006672E0" w:rsidRPr="00742A04">
        <w:t>a</w:t>
      </w:r>
      <w:r w:rsidR="006672E0" w:rsidRPr="00742A04">
        <w:t>can</w:t>
      </w:r>
      <w:r w:rsidR="004A3F50" w:rsidRPr="00742A04">
        <w:t xml:space="preserve"> este punto con más frecuencia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2213CF" w:rsidRPr="00742A04">
        <w:t>los varones</w:t>
      </w:r>
      <w:r w:rsidR="00545D1B" w:rsidRPr="00742A04">
        <w:t>.</w:t>
      </w:r>
    </w:p>
    <w:p w:rsidR="00545D1B" w:rsidRPr="00742A04" w:rsidRDefault="004A3F50" w:rsidP="001C0056">
      <w:pPr>
        <w:pStyle w:val="SingleTxt"/>
        <w:numPr>
          <w:ilvl w:val="0"/>
          <w:numId w:val="42"/>
        </w:numPr>
        <w:tabs>
          <w:tab w:val="clear" w:pos="1742"/>
          <w:tab w:val="left" w:pos="1080"/>
        </w:tabs>
        <w:rPr>
          <w:i/>
        </w:rPr>
      </w:pPr>
      <w:r w:rsidRPr="00742A04">
        <w:rPr>
          <w:i/>
        </w:rPr>
        <w:t>Para tener un empleo</w:t>
      </w:r>
      <w:r w:rsidR="00545D1B" w:rsidRPr="00742A04">
        <w:rPr>
          <w:i/>
        </w:rPr>
        <w:t xml:space="preserve"> </w:t>
      </w:r>
      <w:r w:rsidR="00056EF1" w:rsidRPr="00742A04">
        <w:rPr>
          <w:i/>
        </w:rPr>
        <w:t>en que</w:t>
      </w:r>
      <w:r w:rsidR="00545D1B" w:rsidRPr="00742A04">
        <w:rPr>
          <w:i/>
        </w:rPr>
        <w:t xml:space="preserve"> </w:t>
      </w:r>
      <w:r w:rsidRPr="00742A04">
        <w:rPr>
          <w:i/>
        </w:rPr>
        <w:t>puedan utilizar sus capacidades</w:t>
      </w:r>
      <w:r w:rsidR="00545D1B" w:rsidRPr="00742A04">
        <w:rPr>
          <w:i/>
        </w:rPr>
        <w:t>.</w:t>
      </w:r>
    </w:p>
    <w:p w:rsidR="00545D1B" w:rsidRPr="00742A04" w:rsidRDefault="004A3F50" w:rsidP="001C0056">
      <w:pPr>
        <w:pStyle w:val="SingleTxt"/>
        <w:numPr>
          <w:ilvl w:val="0"/>
          <w:numId w:val="42"/>
        </w:numPr>
        <w:tabs>
          <w:tab w:val="clear" w:pos="1742"/>
          <w:tab w:val="left" w:pos="1080"/>
        </w:tabs>
      </w:pPr>
      <w:r w:rsidRPr="00742A04">
        <w:rPr>
          <w:i/>
        </w:rPr>
        <w:t>Para tener un empleo</w:t>
      </w:r>
      <w:r w:rsidR="00545D1B" w:rsidRPr="00742A04">
        <w:rPr>
          <w:i/>
        </w:rPr>
        <w:t xml:space="preserve"> </w:t>
      </w:r>
      <w:r w:rsidRPr="00742A04">
        <w:rPr>
          <w:i/>
        </w:rPr>
        <w:t>que las ponga en</w:t>
      </w:r>
      <w:r w:rsidR="00545D1B" w:rsidRPr="00742A04">
        <w:rPr>
          <w:i/>
        </w:rPr>
        <w:t xml:space="preserve"> </w:t>
      </w:r>
      <w:r w:rsidR="00802868" w:rsidRPr="00742A04">
        <w:rPr>
          <w:i/>
        </w:rPr>
        <w:t>contacto</w:t>
      </w:r>
      <w:r w:rsidR="00545D1B" w:rsidRPr="00742A04">
        <w:rPr>
          <w:i/>
        </w:rPr>
        <w:t xml:space="preserve"> </w:t>
      </w:r>
      <w:r w:rsidR="004A0730" w:rsidRPr="00742A04">
        <w:rPr>
          <w:i/>
        </w:rPr>
        <w:t>con</w:t>
      </w:r>
      <w:r w:rsidR="00545D1B" w:rsidRPr="00742A04">
        <w:rPr>
          <w:i/>
        </w:rPr>
        <w:t xml:space="preserve"> </w:t>
      </w:r>
      <w:r w:rsidRPr="00742A04">
        <w:rPr>
          <w:i/>
        </w:rPr>
        <w:t>otras personas</w:t>
      </w:r>
      <w:r w:rsidR="00545D1B" w:rsidRPr="00742A04">
        <w:t xml:space="preserve">. </w:t>
      </w:r>
      <w:r w:rsidRPr="00742A04">
        <w:t>Co</w:t>
      </w:r>
      <w:r w:rsidRPr="00742A04">
        <w:t>n</w:t>
      </w:r>
      <w:r w:rsidRPr="00742A04">
        <w:t xml:space="preserve">sideraban que esto era importante </w:t>
      </w:r>
      <w:r w:rsidR="00545D1B" w:rsidRPr="00742A04">
        <w:t xml:space="preserve">3 </w:t>
      </w:r>
      <w:r w:rsidRPr="00742A04">
        <w:t>de cada</w:t>
      </w:r>
      <w:r w:rsidR="00545D1B" w:rsidRPr="00742A04">
        <w:t xml:space="preserve"> 10 </w:t>
      </w:r>
      <w:r w:rsidR="0087472C">
        <w:t xml:space="preserve">de </w:t>
      </w:r>
      <w:r w:rsidR="002213CF" w:rsidRPr="00742A04">
        <w:t>los varones</w:t>
      </w:r>
      <w:r w:rsidR="00545D1B" w:rsidRPr="00742A04">
        <w:t xml:space="preserve">, </w:t>
      </w:r>
      <w:r w:rsidR="00E73E8E" w:rsidRPr="00742A04">
        <w:t>en compar</w:t>
      </w:r>
      <w:r w:rsidR="00E73E8E" w:rsidRPr="00742A04">
        <w:t>a</w:t>
      </w:r>
      <w:r w:rsidR="00E73E8E" w:rsidRPr="00742A04">
        <w:t>ción con</w:t>
      </w:r>
      <w:r w:rsidR="00545D1B" w:rsidRPr="00742A04">
        <w:t xml:space="preserve"> 6 </w:t>
      </w:r>
      <w:r w:rsidRPr="00742A04">
        <w:t>de cada</w:t>
      </w:r>
      <w:r w:rsidR="00545D1B" w:rsidRPr="00742A04">
        <w:t xml:space="preserve"> 10 </w:t>
      </w:r>
      <w:r w:rsidRPr="00742A04">
        <w:t xml:space="preserve">de </w:t>
      </w:r>
      <w:r w:rsidR="005E6919" w:rsidRPr="00742A04">
        <w:t xml:space="preserve">las </w:t>
      </w:r>
      <w:r w:rsidR="009815FF" w:rsidRPr="00742A04">
        <w:t>jóvenes</w:t>
      </w:r>
      <w:r w:rsidR="00545D1B" w:rsidRPr="00742A04">
        <w:t>.</w:t>
      </w:r>
    </w:p>
    <w:p w:rsidR="000A08D8" w:rsidRPr="00742A04" w:rsidRDefault="001E30D6" w:rsidP="001C0056">
      <w:pPr>
        <w:pStyle w:val="SingleTxt"/>
        <w:numPr>
          <w:ilvl w:val="0"/>
          <w:numId w:val="42"/>
        </w:numPr>
        <w:tabs>
          <w:tab w:val="clear" w:pos="1742"/>
        </w:tabs>
      </w:pPr>
      <w:r w:rsidRPr="00742A04">
        <w:rPr>
          <w:i/>
        </w:rPr>
        <w:t>Posi</w:t>
      </w:r>
      <w:r w:rsidR="00545D1B" w:rsidRPr="00742A04">
        <w:rPr>
          <w:i/>
        </w:rPr>
        <w:t>b</w:t>
      </w:r>
      <w:r w:rsidR="00502E16" w:rsidRPr="00742A04">
        <w:rPr>
          <w:i/>
        </w:rPr>
        <w:t>ilidad</w:t>
      </w:r>
      <w:r w:rsidR="00545D1B" w:rsidRPr="00742A04">
        <w:rPr>
          <w:i/>
        </w:rPr>
        <w:t xml:space="preserve"> </w:t>
      </w:r>
      <w:r w:rsidR="004A3F50" w:rsidRPr="00742A04">
        <w:rPr>
          <w:i/>
        </w:rPr>
        <w:t>de tener mayores</w:t>
      </w:r>
      <w:r w:rsidR="005E2D7A" w:rsidRPr="00742A04">
        <w:rPr>
          <w:i/>
        </w:rPr>
        <w:t xml:space="preserve"> ingresos</w:t>
      </w:r>
      <w:r w:rsidR="00545D1B" w:rsidRPr="00742A04">
        <w:t xml:space="preserve">. </w:t>
      </w:r>
      <w:r w:rsidR="004A3F50" w:rsidRPr="00742A04">
        <w:t>Esto era considerado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6 </w:t>
      </w:r>
      <w:r w:rsidR="004A3F50" w:rsidRPr="00742A04">
        <w:t>de cada</w:t>
      </w:r>
      <w:r w:rsidR="00545D1B" w:rsidRPr="00742A04">
        <w:t xml:space="preserve"> 10 </w:t>
      </w:r>
      <w:r w:rsidR="004A3F50" w:rsidRPr="00742A04">
        <w:t>varones matriculados en</w:t>
      </w:r>
      <w:r w:rsidR="00545D1B" w:rsidRPr="00742A04">
        <w:t xml:space="preserve"> </w:t>
      </w:r>
      <w:r w:rsidR="009815FF" w:rsidRPr="00742A04">
        <w:t>el curso de estudio general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3 </w:t>
      </w:r>
      <w:r w:rsidR="004A3F50" w:rsidRPr="00742A04">
        <w:t>de cada 10 de las jóvenes matriculadas en</w:t>
      </w:r>
      <w:r w:rsidR="00545D1B" w:rsidRPr="00742A04">
        <w:t xml:space="preserve"> </w:t>
      </w:r>
      <w:r w:rsidR="009815FF" w:rsidRPr="00742A04">
        <w:t>los cursos vocacionales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4A3F50" w:rsidRPr="00742A04">
        <w:t>esta esfera</w:t>
      </w:r>
      <w:r w:rsidR="00545D1B" w:rsidRPr="00742A04">
        <w:t xml:space="preserve">, </w:t>
      </w:r>
      <w:r w:rsidR="004A3F50" w:rsidRPr="00742A04">
        <w:t>hubo</w:t>
      </w:r>
      <w:r w:rsidR="00545D1B" w:rsidRPr="00742A04">
        <w:t xml:space="preserve"> </w:t>
      </w:r>
      <w:r w:rsidR="004A3F50" w:rsidRPr="00742A04">
        <w:t>un cambio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3F50" w:rsidRPr="00742A04">
        <w:t>las preferencias de los jóvenes</w:t>
      </w:r>
      <w:r w:rsidR="00545D1B" w:rsidRPr="00742A04">
        <w:t xml:space="preserve"> </w:t>
      </w:r>
      <w:r w:rsidR="004A3F50" w:rsidRPr="00742A04">
        <w:t>entre</w:t>
      </w:r>
      <w:r w:rsidR="00545D1B" w:rsidRPr="00742A04">
        <w:t xml:space="preserve"> 1980 </w:t>
      </w:r>
      <w:r w:rsidR="004A3F50" w:rsidRPr="00742A04">
        <w:t>y</w:t>
      </w:r>
      <w:r w:rsidR="00545D1B" w:rsidRPr="00742A04">
        <w:t xml:space="preserve"> 1991. </w:t>
      </w:r>
      <w:r w:rsidR="00A836A1" w:rsidRPr="00742A04">
        <w:t>Sólo</w:t>
      </w:r>
      <w:r w:rsidR="00545D1B" w:rsidRPr="00742A04">
        <w:t xml:space="preserve"> 2 </w:t>
      </w:r>
      <w:r w:rsidR="004A3F50" w:rsidRPr="00742A04">
        <w:t>de cada</w:t>
      </w:r>
      <w:r w:rsidR="00545D1B" w:rsidRPr="00742A04">
        <w:t xml:space="preserve"> 10 </w:t>
      </w:r>
      <w:r w:rsidR="004A3F50" w:rsidRPr="00742A04">
        <w:t>alumnos matriculados en</w:t>
      </w:r>
      <w:r w:rsidR="00545D1B" w:rsidRPr="00742A04">
        <w:t xml:space="preserve"> </w:t>
      </w:r>
      <w:r w:rsidR="009815FF" w:rsidRPr="00742A04">
        <w:t>el curso de estudio gen</w:t>
      </w:r>
      <w:r w:rsidR="009815FF" w:rsidRPr="00742A04">
        <w:t>e</w:t>
      </w:r>
      <w:r w:rsidR="009815FF" w:rsidRPr="00742A04">
        <w:t>ral</w:t>
      </w:r>
      <w:r w:rsidR="00545D1B" w:rsidRPr="00742A04">
        <w:t xml:space="preserve"> </w:t>
      </w:r>
      <w:r w:rsidR="004A3F50" w:rsidRPr="00742A04">
        <w:t>dijeron que un alto nivel de ingresos era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1980, </w:t>
      </w:r>
      <w:r w:rsidR="00E73E8E" w:rsidRPr="00742A04">
        <w:t>en comp</w:t>
      </w:r>
      <w:r w:rsidR="00E73E8E" w:rsidRPr="00742A04">
        <w:t>a</w:t>
      </w:r>
      <w:r w:rsidR="00E73E8E" w:rsidRPr="00742A04">
        <w:t>ración con</w:t>
      </w:r>
      <w:r w:rsidR="00545D1B" w:rsidRPr="00742A04">
        <w:t xml:space="preserve"> 4 </w:t>
      </w:r>
      <w:r w:rsidR="004A3F50" w:rsidRPr="00742A04">
        <w:t>de cada</w:t>
      </w:r>
      <w:r w:rsidR="00545D1B" w:rsidRPr="00742A04">
        <w:t xml:space="preserve"> 10 </w:t>
      </w:r>
      <w:r w:rsidR="004A3F50" w:rsidRPr="00742A04">
        <w:t>tanto en</w:t>
      </w:r>
      <w:r w:rsidR="00545D1B" w:rsidRPr="00742A04">
        <w:t xml:space="preserve"> 1991 </w:t>
      </w:r>
      <w:r w:rsidR="004A3F50" w:rsidRPr="00742A04">
        <w:t>como en</w:t>
      </w:r>
      <w:r w:rsidR="00545D1B" w:rsidRPr="00742A04">
        <w:t xml:space="preserve"> 1995</w:t>
      </w:r>
      <w:r w:rsidR="000A08D8" w:rsidRPr="00742A04">
        <w:t>.</w:t>
      </w:r>
    </w:p>
    <w:p w:rsidR="00545D1B" w:rsidRPr="00742A04" w:rsidRDefault="004A3F50" w:rsidP="001C0056">
      <w:pPr>
        <w:pStyle w:val="SingleTxt"/>
        <w:numPr>
          <w:ilvl w:val="0"/>
          <w:numId w:val="42"/>
        </w:numPr>
        <w:tabs>
          <w:tab w:val="clear" w:pos="1742"/>
        </w:tabs>
      </w:pPr>
      <w:r w:rsidRPr="00742A04">
        <w:rPr>
          <w:i/>
        </w:rPr>
        <w:t>Para tener un empleo</w:t>
      </w:r>
      <w:r w:rsidR="00545D1B" w:rsidRPr="00742A04">
        <w:rPr>
          <w:i/>
        </w:rPr>
        <w:t xml:space="preserve"> </w:t>
      </w:r>
      <w:r w:rsidRPr="00742A04">
        <w:rPr>
          <w:i/>
        </w:rPr>
        <w:t xml:space="preserve">que pueda combinarse </w:t>
      </w:r>
      <w:r w:rsidR="004A0730" w:rsidRPr="00742A04">
        <w:rPr>
          <w:i/>
        </w:rPr>
        <w:t>con</w:t>
      </w:r>
      <w:r w:rsidR="00545D1B" w:rsidRPr="00742A04">
        <w:rPr>
          <w:i/>
        </w:rPr>
        <w:t xml:space="preserve"> </w:t>
      </w:r>
      <w:r w:rsidR="00844FDB" w:rsidRPr="00742A04">
        <w:rPr>
          <w:i/>
        </w:rPr>
        <w:t xml:space="preserve">el cuidado </w:t>
      </w:r>
      <w:r w:rsidR="00C076F2" w:rsidRPr="00742A04">
        <w:rPr>
          <w:i/>
        </w:rPr>
        <w:t xml:space="preserve">de los </w:t>
      </w:r>
      <w:r w:rsidR="00844FDB" w:rsidRPr="00742A04">
        <w:rPr>
          <w:i/>
        </w:rPr>
        <w:t>niños</w:t>
      </w:r>
      <w:r w:rsidR="00545D1B" w:rsidRPr="00742A04">
        <w:rPr>
          <w:i/>
        </w:rPr>
        <w:t>.</w:t>
      </w:r>
      <w:r w:rsidR="00545D1B" w:rsidRPr="00742A04">
        <w:t xml:space="preserve"> </w:t>
      </w:r>
      <w:r w:rsidRPr="00742A04">
        <w:t>Esto era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3 </w:t>
      </w:r>
      <w:r w:rsidRPr="00742A04">
        <w:t>de cada</w:t>
      </w:r>
      <w:r w:rsidR="00545D1B" w:rsidRPr="00742A04">
        <w:t xml:space="preserve"> 10 </w:t>
      </w:r>
      <w:r w:rsidRPr="00742A04">
        <w:t>varones matriculados tanto en el cu</w:t>
      </w:r>
      <w:r w:rsidRPr="00742A04">
        <w:t>r</w:t>
      </w:r>
      <w:r w:rsidRPr="00742A04">
        <w:t>so</w:t>
      </w:r>
      <w:r w:rsidR="00545D1B" w:rsidRPr="00742A04">
        <w:t xml:space="preserve"> general </w:t>
      </w:r>
      <w:r w:rsidRPr="00742A04">
        <w:t>como en</w:t>
      </w:r>
      <w:r w:rsidR="00545D1B" w:rsidRPr="00742A04">
        <w:t xml:space="preserve"> </w:t>
      </w:r>
      <w:r w:rsidR="009815FF" w:rsidRPr="00742A04">
        <w:t>los cursos vocacionales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estudio</w:t>
      </w:r>
      <w:r w:rsidR="00545D1B" w:rsidRPr="00742A04">
        <w:t xml:space="preserve">, </w:t>
      </w:r>
      <w:r w:rsidR="00F43124" w:rsidRPr="00742A04">
        <w:t>para</w:t>
      </w:r>
      <w:r w:rsidR="00545D1B" w:rsidRPr="00742A04">
        <w:t xml:space="preserve"> 4 </w:t>
      </w:r>
      <w:r w:rsidRPr="00742A04">
        <w:t>de cada 10 de las jóvenes matriculadas en</w:t>
      </w:r>
      <w:r w:rsidR="00545D1B" w:rsidRPr="00742A04">
        <w:t xml:space="preserve"> </w:t>
      </w:r>
      <w:r w:rsidR="009815FF" w:rsidRPr="00742A04">
        <w:t>el curso de estudio general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5 </w:t>
      </w:r>
      <w:r w:rsidRPr="00742A04">
        <w:t>de cada 10 de las jóvenes m</w:t>
      </w:r>
      <w:r w:rsidRPr="00742A04">
        <w:t>a</w:t>
      </w:r>
      <w:r w:rsidRPr="00742A04">
        <w:t>triculadas en</w:t>
      </w:r>
      <w:r w:rsidR="00545D1B" w:rsidRPr="00742A04">
        <w:t xml:space="preserve"> </w:t>
      </w:r>
      <w:r w:rsidR="009815FF" w:rsidRPr="00742A04">
        <w:t>los cursos vocacionales</w:t>
      </w:r>
      <w:r w:rsidR="00545D1B" w:rsidRPr="00742A04">
        <w:t>.</w:t>
      </w:r>
    </w:p>
    <w:p w:rsidR="00545D1B" w:rsidRPr="00742A04" w:rsidRDefault="004A3F50" w:rsidP="001C0056">
      <w:pPr>
        <w:pStyle w:val="SingleTxt"/>
        <w:numPr>
          <w:ilvl w:val="0"/>
          <w:numId w:val="42"/>
        </w:numPr>
        <w:tabs>
          <w:tab w:val="clear" w:pos="1742"/>
        </w:tabs>
      </w:pPr>
      <w:r w:rsidRPr="00742A04">
        <w:rPr>
          <w:i/>
        </w:rPr>
        <w:t>Para poder</w:t>
      </w:r>
      <w:r w:rsidR="00545D1B" w:rsidRPr="00742A04">
        <w:rPr>
          <w:i/>
        </w:rPr>
        <w:t xml:space="preserve"> </w:t>
      </w:r>
      <w:r w:rsidR="00CE7870" w:rsidRPr="00742A04">
        <w:rPr>
          <w:i/>
        </w:rPr>
        <w:t>ayudar a</w:t>
      </w:r>
      <w:r w:rsidR="00545D1B" w:rsidRPr="00742A04">
        <w:rPr>
          <w:i/>
        </w:rPr>
        <w:t xml:space="preserve"> </w:t>
      </w:r>
      <w:r w:rsidRPr="00742A04">
        <w:rPr>
          <w:i/>
        </w:rPr>
        <w:t>otras personas</w:t>
      </w:r>
      <w:r w:rsidR="00545D1B" w:rsidRPr="00742A04">
        <w:rPr>
          <w:i/>
        </w:rPr>
        <w:t>.</w:t>
      </w:r>
      <w:r w:rsidR="00545D1B" w:rsidRPr="00742A04">
        <w:t xml:space="preserve"> </w:t>
      </w:r>
      <w:r w:rsidRPr="00742A04">
        <w:t>Esto era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5 </w:t>
      </w:r>
      <w:r w:rsidRPr="00742A04">
        <w:t>de cada 10 de las jóvenes matriculadas en</w:t>
      </w:r>
      <w:r w:rsidR="00545D1B" w:rsidRPr="00742A04">
        <w:t xml:space="preserve"> </w:t>
      </w:r>
      <w:r w:rsidR="009815FF" w:rsidRPr="00742A04">
        <w:t>los cursos vocacionales</w:t>
      </w:r>
      <w:r w:rsidRPr="00742A04">
        <w:t xml:space="preserve"> y</w:t>
      </w:r>
      <w:r w:rsidR="00545D1B" w:rsidRPr="00742A04">
        <w:t xml:space="preserve"> 4 </w:t>
      </w:r>
      <w:r w:rsidRPr="00742A04">
        <w:t>de cada 10 de las jóvenes matriculadas en</w:t>
      </w:r>
      <w:r w:rsidR="00545D1B" w:rsidRPr="00742A04">
        <w:t xml:space="preserve"> </w:t>
      </w:r>
      <w:r w:rsidR="009815FF" w:rsidRPr="00742A04">
        <w:t>el curso de estudio general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2 </w:t>
      </w:r>
      <w:r w:rsidRPr="00742A04">
        <w:t>de c</w:t>
      </w:r>
      <w:r w:rsidRPr="00742A04">
        <w:t>a</w:t>
      </w:r>
      <w:r w:rsidRPr="00742A04">
        <w:t>da</w:t>
      </w:r>
      <w:r w:rsidR="00545D1B" w:rsidRPr="00742A04">
        <w:t xml:space="preserve"> 10 </w:t>
      </w:r>
      <w:r w:rsidRPr="00742A04">
        <w:t xml:space="preserve">varones matriculados </w:t>
      </w:r>
      <w:r w:rsidR="003A496F" w:rsidRPr="00742A04">
        <w:t>tanto en el curso general como en los cursos v</w:t>
      </w:r>
      <w:r w:rsidR="003A496F" w:rsidRPr="00742A04">
        <w:t>o</w:t>
      </w:r>
      <w:r w:rsidR="003A496F" w:rsidRPr="00742A04">
        <w:t xml:space="preserve">cacionales de estudio </w:t>
      </w:r>
      <w:r w:rsidR="009815FF" w:rsidRPr="00742A04">
        <w:t>s</w:t>
      </w:r>
      <w:r w:rsidR="00545D1B" w:rsidRPr="00742A04">
        <w:t>.</w:t>
      </w:r>
    </w:p>
    <w:p w:rsidR="000A08D8" w:rsidRPr="00742A04" w:rsidRDefault="00F67A1B" w:rsidP="001C0056">
      <w:pPr>
        <w:pStyle w:val="SingleTxt"/>
        <w:ind w:firstLine="475"/>
      </w:pPr>
      <w:r w:rsidRPr="00742A04">
        <w:t>La encuesta</w:t>
      </w:r>
      <w:r w:rsidR="00545D1B" w:rsidRPr="00742A04">
        <w:t xml:space="preserve"> </w:t>
      </w:r>
      <w:r w:rsidR="003E5775" w:rsidRPr="00742A04">
        <w:t>indica que</w:t>
      </w:r>
      <w:r w:rsidR="00545D1B" w:rsidRPr="00742A04">
        <w:t xml:space="preserve"> </w:t>
      </w:r>
      <w:r w:rsidR="005E6919" w:rsidRPr="00742A04">
        <w:t xml:space="preserve">las </w:t>
      </w:r>
      <w:r w:rsidR="009815FF" w:rsidRPr="00742A04">
        <w:t>jóvenes</w:t>
      </w:r>
      <w:r w:rsidR="00545D1B" w:rsidRPr="00742A04">
        <w:t xml:space="preserve"> </w:t>
      </w:r>
      <w:r w:rsidR="003A496F" w:rsidRPr="00742A04">
        <w:t>procuran satisfacer</w:t>
      </w:r>
      <w:r w:rsidR="00545D1B" w:rsidRPr="00742A04">
        <w:t xml:space="preserve"> </w:t>
      </w:r>
      <w:r w:rsidR="00F97F41" w:rsidRPr="00742A04">
        <w:t>su</w:t>
      </w:r>
      <w:r w:rsidR="003A496F" w:rsidRPr="00742A04">
        <w:t>s</w:t>
      </w:r>
      <w:r w:rsidR="00545D1B" w:rsidRPr="00742A04">
        <w:t xml:space="preserve"> </w:t>
      </w:r>
      <w:r w:rsidR="00FF39FE" w:rsidRPr="00742A04">
        <w:t>intereses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A496F" w:rsidRPr="00742A04">
        <w:t>disc</w:t>
      </w:r>
      <w:r w:rsidR="003A496F" w:rsidRPr="00742A04">
        <w:t>i</w:t>
      </w:r>
      <w:r w:rsidR="003A496F" w:rsidRPr="00742A04">
        <w:t>plinas determinadas</w:t>
      </w:r>
      <w:r w:rsidR="00545D1B" w:rsidRPr="00742A04">
        <w:t>.</w:t>
      </w:r>
      <w:r w:rsidR="003A496F" w:rsidRPr="00742A04">
        <w:t xml:space="preserve"> Es</w:t>
      </w:r>
      <w:r w:rsidR="00545D1B" w:rsidRPr="00742A04">
        <w:t xml:space="preserve"> prob</w:t>
      </w:r>
      <w:r w:rsidR="00982243" w:rsidRPr="00742A04">
        <w:t>able</w:t>
      </w:r>
      <w:r w:rsidR="003A496F" w:rsidRPr="00742A04">
        <w:t xml:space="preserve"> que</w:t>
      </w:r>
      <w:r w:rsidR="00982243" w:rsidRPr="00742A04">
        <w:t xml:space="preserve"> </w:t>
      </w:r>
      <w:r w:rsidR="0030626A" w:rsidRPr="00742A04">
        <w:t>también</w:t>
      </w:r>
      <w:r w:rsidR="00545D1B" w:rsidRPr="00742A04">
        <w:t xml:space="preserve"> de</w:t>
      </w:r>
      <w:r w:rsidR="003A496F" w:rsidRPr="00742A04">
        <w:t>diquen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ti</w:t>
      </w:r>
      <w:r w:rsidR="003A496F" w:rsidRPr="00742A04">
        <w:t>empo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62786" w:rsidRPr="00742A04">
        <w:t>energía</w:t>
      </w:r>
      <w:r w:rsidR="00545D1B" w:rsidRPr="00742A04">
        <w:t xml:space="preserve"> </w:t>
      </w:r>
      <w:r w:rsidR="0030626A" w:rsidRPr="00742A04">
        <w:t>a</w:t>
      </w:r>
      <w:r w:rsidR="003A496F" w:rsidRPr="00742A04">
        <w:t>l tr</w:t>
      </w:r>
      <w:r w:rsidR="003A496F" w:rsidRPr="00742A04">
        <w:t>a</w:t>
      </w:r>
      <w:r w:rsidR="003A496F" w:rsidRPr="00742A04">
        <w:t>bajo escolar</w:t>
      </w:r>
      <w:r w:rsidR="00545D1B" w:rsidRPr="00742A04">
        <w:t xml:space="preserve">. </w:t>
      </w:r>
      <w:r w:rsidR="003A496F" w:rsidRPr="00742A04">
        <w:t>Será</w:t>
      </w:r>
      <w:r w:rsidR="00545D1B" w:rsidRPr="00742A04">
        <w:t xml:space="preserve"> </w:t>
      </w:r>
      <w:r w:rsidR="00417824" w:rsidRPr="00742A04">
        <w:t>necesario</w:t>
      </w:r>
      <w:r w:rsidR="00545D1B" w:rsidRPr="00742A04">
        <w:t xml:space="preserve"> </w:t>
      </w:r>
      <w:r w:rsidR="006672E0">
        <w:t>centrar</w:t>
      </w:r>
      <w:r w:rsidR="00545D1B" w:rsidRPr="00742A04">
        <w:t xml:space="preserve"> </w:t>
      </w:r>
      <w:r w:rsidR="009D1A12" w:rsidRPr="00742A04">
        <w:t>continu</w:t>
      </w:r>
      <w:r w:rsidR="006672E0">
        <w:t>amente la atención e</w:t>
      </w:r>
      <w:r w:rsidR="00545D1B" w:rsidRPr="00742A04">
        <w:t xml:space="preserve">n </w:t>
      </w:r>
      <w:r w:rsidR="006672E0">
        <w:t xml:space="preserve">las </w:t>
      </w:r>
      <w:r w:rsidR="006672E0" w:rsidRPr="00742A04">
        <w:t xml:space="preserve">opciones </w:t>
      </w:r>
      <w:r w:rsidR="006672E0">
        <w:t xml:space="preserve">de </w:t>
      </w:r>
      <w:r w:rsidR="005C6D40" w:rsidRPr="00742A04">
        <w:t>c</w:t>
      </w:r>
      <w:r w:rsidR="005C6D40" w:rsidRPr="00742A04">
        <w:t>a</w:t>
      </w:r>
      <w:r w:rsidR="005C6D40" w:rsidRPr="00742A04">
        <w:t>rrera</w:t>
      </w:r>
      <w:r w:rsidR="006672E0">
        <w:t xml:space="preserve"> </w:t>
      </w:r>
      <w:r w:rsidR="006672E0" w:rsidRPr="00742A04">
        <w:t>de los jóvenes</w:t>
      </w:r>
      <w:r w:rsidR="006672E0">
        <w:t xml:space="preserve"> y</w:t>
      </w:r>
      <w:r w:rsidR="00545D1B" w:rsidRPr="00742A04">
        <w:t xml:space="preserve"> </w:t>
      </w:r>
      <w:r w:rsidR="006672E0">
        <w:t xml:space="preserve">alentarlos a que amplíen </w:t>
      </w:r>
      <w:r w:rsidR="00F97F41" w:rsidRPr="00742A04">
        <w:t>su</w:t>
      </w:r>
      <w:r w:rsidR="006672E0">
        <w:t>s</w:t>
      </w:r>
      <w:r w:rsidR="00545D1B" w:rsidRPr="00742A04">
        <w:t xml:space="preserve"> </w:t>
      </w:r>
      <w:r w:rsidR="00FF39FE" w:rsidRPr="00742A04">
        <w:t>intereses</w:t>
      </w:r>
      <w:r w:rsidR="006672E0" w:rsidRPr="006672E0">
        <w:t xml:space="preserve"> </w:t>
      </w:r>
      <w:r w:rsidR="006672E0" w:rsidRPr="00742A04">
        <w:t>educacion</w:t>
      </w:r>
      <w:r w:rsidR="006672E0" w:rsidRPr="00742A04">
        <w:t>a</w:t>
      </w:r>
      <w:r w:rsidR="006672E0" w:rsidRPr="00742A04">
        <w:t>l</w:t>
      </w:r>
      <w:r w:rsidR="006672E0">
        <w:t>es</w:t>
      </w:r>
      <w:r w:rsidR="000A08D8" w:rsidRPr="00742A04">
        <w:t>.</w:t>
      </w:r>
    </w:p>
    <w:p w:rsidR="00545D1B" w:rsidRPr="00742A04" w:rsidRDefault="004A3F50" w:rsidP="0087472C">
      <w:pPr>
        <w:pStyle w:val="SingleTxt"/>
        <w:keepNext/>
        <w:rPr>
          <w:b/>
        </w:rPr>
      </w:pPr>
      <w:r w:rsidRPr="00742A04">
        <w:rPr>
          <w:b/>
          <w:color w:val="000000"/>
        </w:rPr>
        <w:t>Cuadro.</w:t>
      </w:r>
      <w:r w:rsidR="00545D1B" w:rsidRPr="00742A04">
        <w:rPr>
          <w:b/>
          <w:color w:val="000000"/>
        </w:rPr>
        <w:t xml:space="preserve"> </w:t>
      </w:r>
      <w:r w:rsidR="005909B9" w:rsidRPr="00742A04">
        <w:rPr>
          <w:b/>
          <w:color w:val="000000"/>
        </w:rPr>
        <w:t>Porcentaje</w:t>
      </w:r>
      <w:r w:rsidR="00545D1B" w:rsidRPr="00742A04">
        <w:rPr>
          <w:b/>
          <w:color w:val="000000"/>
        </w:rPr>
        <w:t xml:space="preserve"> </w:t>
      </w:r>
      <w:r w:rsidR="004A0730" w:rsidRPr="00742A04">
        <w:rPr>
          <w:b/>
          <w:color w:val="000000"/>
        </w:rPr>
        <w:t>de</w:t>
      </w:r>
      <w:r w:rsidR="00545D1B" w:rsidRPr="00742A04">
        <w:rPr>
          <w:b/>
          <w:color w:val="000000"/>
        </w:rPr>
        <w:t xml:space="preserve"> </w:t>
      </w:r>
      <w:r w:rsidR="009815FF" w:rsidRPr="00742A04">
        <w:rPr>
          <w:b/>
          <w:color w:val="000000"/>
        </w:rPr>
        <w:t>estudiantes de sexo femenino</w:t>
      </w:r>
      <w:r w:rsidR="00545D1B" w:rsidRPr="00742A04">
        <w:rPr>
          <w:b/>
          <w:color w:val="000000"/>
        </w:rPr>
        <w:t xml:space="preserve"> </w:t>
      </w:r>
      <w:r w:rsidR="0087472C">
        <w:rPr>
          <w:b/>
          <w:color w:val="000000"/>
        </w:rPr>
        <w:t>matriculadas en cursos</w:t>
      </w:r>
      <w:r w:rsidR="0087472C">
        <w:rPr>
          <w:b/>
          <w:color w:val="000000"/>
        </w:rPr>
        <w:br/>
      </w:r>
      <w:r w:rsidR="009815FF" w:rsidRPr="00742A04">
        <w:rPr>
          <w:b/>
          <w:color w:val="000000"/>
        </w:rPr>
        <w:t>b</w:t>
      </w:r>
      <w:r w:rsidR="009815FF" w:rsidRPr="00742A04">
        <w:rPr>
          <w:b/>
          <w:color w:val="000000"/>
        </w:rPr>
        <w:t>á</w:t>
      </w:r>
      <w:r w:rsidR="009815FF" w:rsidRPr="00742A04">
        <w:rPr>
          <w:b/>
          <w:color w:val="000000"/>
        </w:rPr>
        <w:t>sicos</w:t>
      </w:r>
      <w:r w:rsidR="00545D1B" w:rsidRPr="00742A04">
        <w:rPr>
          <w:b/>
          <w:color w:val="000000"/>
        </w:rPr>
        <w:t xml:space="preserve"> </w:t>
      </w:r>
      <w:r w:rsidR="00C14BFF" w:rsidRPr="00742A04">
        <w:rPr>
          <w:b/>
          <w:color w:val="000000"/>
        </w:rPr>
        <w:t>en</w:t>
      </w:r>
      <w:r w:rsidR="00545D1B" w:rsidRPr="00742A04">
        <w:rPr>
          <w:b/>
          <w:color w:val="000000"/>
        </w:rPr>
        <w:t xml:space="preserve"> </w:t>
      </w:r>
      <w:r w:rsidR="0020405D" w:rsidRPr="00742A04">
        <w:rPr>
          <w:b/>
          <w:color w:val="000000"/>
        </w:rPr>
        <w:t>la escuela secundaria superior</w:t>
      </w:r>
      <w:r w:rsidR="00545D1B" w:rsidRPr="00742A04">
        <w:rPr>
          <w:b/>
          <w:color w:val="000000"/>
        </w:rPr>
        <w:t>,</w:t>
      </w:r>
      <w:r w:rsidRPr="00742A04">
        <w:rPr>
          <w:b/>
          <w:color w:val="000000"/>
        </w:rPr>
        <w:t xml:space="preserve"> </w:t>
      </w:r>
      <w:r w:rsidR="00545D1B" w:rsidRPr="00742A04">
        <w:rPr>
          <w:b/>
        </w:rPr>
        <w:t xml:space="preserve">1998-2004, </w:t>
      </w:r>
      <w:r w:rsidR="001167D2" w:rsidRPr="00742A04">
        <w:rPr>
          <w:b/>
        </w:rPr>
        <w:t>por</w:t>
      </w:r>
      <w:r w:rsidR="00545D1B" w:rsidRPr="00742A04">
        <w:rPr>
          <w:b/>
        </w:rPr>
        <w:t xml:space="preserve"> </w:t>
      </w:r>
      <w:r w:rsidR="0020405D" w:rsidRPr="00742A04">
        <w:rPr>
          <w:b/>
        </w:rPr>
        <w:t>línea de estudios</w:t>
      </w:r>
    </w:p>
    <w:p w:rsidR="00F674CD" w:rsidRPr="00742A04" w:rsidRDefault="00F674CD" w:rsidP="003A496F">
      <w:pPr>
        <w:pStyle w:val="SingleTxt"/>
        <w:keepNext/>
        <w:spacing w:after="0" w:line="120" w:lineRule="exact"/>
        <w:rPr>
          <w:bCs/>
          <w:sz w:val="10"/>
        </w:rPr>
      </w:pPr>
    </w:p>
    <w:tbl>
      <w:tblPr>
        <w:tblW w:w="74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698"/>
        <w:gridCol w:w="698"/>
        <w:gridCol w:w="698"/>
        <w:gridCol w:w="698"/>
      </w:tblGrid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6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96F" w:rsidRPr="00742A04" w:rsidRDefault="003A496F" w:rsidP="000B71A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115" w:right="43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Línea de estudios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A496F" w:rsidRPr="00742A04" w:rsidRDefault="003A496F" w:rsidP="00F674CD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1998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A496F" w:rsidRPr="00742A04" w:rsidRDefault="003A496F" w:rsidP="00F674CD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A496F" w:rsidRPr="00742A04" w:rsidRDefault="003A496F" w:rsidP="00F674CD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A496F" w:rsidRPr="00742A04" w:rsidRDefault="003A496F" w:rsidP="00F674CD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742A04">
              <w:rPr>
                <w:i/>
                <w:sz w:val="14"/>
              </w:rPr>
              <w:t>2004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  <w:jc w:val="center"/>
        </w:trPr>
        <w:tc>
          <w:tcPr>
            <w:tcW w:w="4642" w:type="dxa"/>
            <w:tcBorders>
              <w:top w:val="single" w:sz="12" w:space="0" w:color="auto"/>
            </w:tcBorders>
            <w:vAlign w:val="bottom"/>
          </w:tcPr>
          <w:p w:rsidR="003A496F" w:rsidRPr="00742A04" w:rsidRDefault="003A496F" w:rsidP="00F674CD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bottom"/>
          </w:tcPr>
          <w:p w:rsidR="003A496F" w:rsidRPr="00742A04" w:rsidRDefault="003A496F" w:rsidP="00F674CD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bottom"/>
          </w:tcPr>
          <w:p w:rsidR="003A496F" w:rsidRPr="00742A04" w:rsidRDefault="003A496F" w:rsidP="00F674CD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bottom"/>
          </w:tcPr>
          <w:p w:rsidR="003A496F" w:rsidRPr="00742A04" w:rsidRDefault="003A496F" w:rsidP="00F674CD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bottom"/>
          </w:tcPr>
          <w:p w:rsidR="003A496F" w:rsidRPr="00742A04" w:rsidRDefault="003A496F" w:rsidP="00F674CD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 xml:space="preserve">Porcentaje de </w:t>
            </w:r>
            <w:r w:rsidR="000B71AA" w:rsidRPr="00742A04">
              <w:t>estudiantes de sexo femenino</w:t>
            </w:r>
            <w:r w:rsidRPr="00742A04">
              <w:t>, t</w:t>
            </w:r>
            <w:r w:rsidRPr="00742A04">
              <w:t>o</w:t>
            </w:r>
            <w:r w:rsidRPr="00742A04">
              <w:t>tal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49,3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48,5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48,0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47,9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General, Econom</w:t>
            </w:r>
            <w:r w:rsidR="000B71AA" w:rsidRPr="00742A04">
              <w:t>ía</w:t>
            </w:r>
            <w:r w:rsidRPr="00742A04">
              <w:t xml:space="preserve"> y Admini</w:t>
            </w:r>
            <w:r w:rsidRPr="00742A04">
              <w:t>s</w:t>
            </w:r>
            <w:r w:rsidRPr="00742A04">
              <w:t>tración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54,0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52,1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51,5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53,2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0B71AA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Música</w:t>
            </w:r>
            <w:r w:rsidR="003A496F" w:rsidRPr="00742A04">
              <w:t xml:space="preserve">, </w:t>
            </w:r>
            <w:r w:rsidRPr="00742A04">
              <w:t>Danza</w:t>
            </w:r>
            <w:r w:rsidR="003A496F" w:rsidRPr="00742A04">
              <w:t xml:space="preserve">, </w:t>
            </w:r>
            <w:r w:rsidRPr="00742A04">
              <w:t>Teatro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69,1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75,7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73,8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70,8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0B71AA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Deportes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40,5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37,5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42,1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41,9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Salud y Estudios Sociales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90,8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88,5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88,8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87,1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Estudios Ambientales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41,7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46,5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54,1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54,7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Diseño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81,3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82,8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84,8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84,8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Hotel</w:t>
            </w:r>
            <w:r w:rsidR="000B71AA" w:rsidRPr="00742A04">
              <w:t>ería</w:t>
            </w:r>
            <w:r w:rsidRPr="00742A04">
              <w:t xml:space="preserve"> e </w:t>
            </w:r>
            <w:r w:rsidR="000B71AA" w:rsidRPr="00742A04">
              <w:t>Industria</w:t>
            </w:r>
            <w:r w:rsidRPr="00742A04">
              <w:t>*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53,2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54,5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56,5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53,7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0B71AA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Construcción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2,2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2,1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1,6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1,8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0B71AA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Construcción Técnica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9,7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6,8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6,9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5,8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Ele</w:t>
            </w:r>
            <w:r w:rsidRPr="00742A04">
              <w:t>c</w:t>
            </w:r>
            <w:r w:rsidRPr="00742A04">
              <w:t>tric</w:t>
            </w:r>
            <w:r w:rsidR="000B71AA" w:rsidRPr="00742A04">
              <w:t>idad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4,4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3,8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5,1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3,6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Mec</w:t>
            </w:r>
            <w:r w:rsidR="000B71AA" w:rsidRPr="00742A04">
              <w:t>á</w:t>
            </w:r>
            <w:r w:rsidRPr="00742A04">
              <w:t>n</w:t>
            </w:r>
            <w:r w:rsidRPr="00742A04">
              <w:t>i</w:t>
            </w:r>
            <w:r w:rsidRPr="00742A04">
              <w:t>ca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6,0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4,3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5,4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5,6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Química y Procesamiento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39,3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35,1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31,2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30,8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0B71AA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Industria de la Madera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21,1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17,7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13,8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15,6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 xml:space="preserve">Medios y </w:t>
            </w:r>
            <w:r w:rsidR="006672E0" w:rsidRPr="00742A04">
              <w:t>Comun</w:t>
            </w:r>
            <w:r w:rsidR="006672E0" w:rsidRPr="00742A04">
              <w:t>i</w:t>
            </w:r>
            <w:r w:rsidR="006672E0" w:rsidRPr="00742A04">
              <w:t>cación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57,1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57,4</w:t>
            </w:r>
          </w:p>
        </w:tc>
        <w:tc>
          <w:tcPr>
            <w:tcW w:w="698" w:type="dxa"/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53,2</w:t>
            </w:r>
          </w:p>
        </w:tc>
      </w:tr>
      <w:tr w:rsidR="003A496F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tcBorders>
              <w:bottom w:val="single" w:sz="12" w:space="0" w:color="auto"/>
            </w:tcBorders>
          </w:tcPr>
          <w:p w:rsidR="003A496F" w:rsidRPr="00742A04" w:rsidRDefault="003A496F" w:rsidP="00F674CD">
            <w:pPr>
              <w:pStyle w:val="SingleTxt"/>
              <w:keepNext/>
              <w:spacing w:before="40" w:after="40" w:line="240" w:lineRule="auto"/>
              <w:ind w:left="115" w:right="115"/>
            </w:pPr>
            <w:r w:rsidRPr="00742A04">
              <w:t>Ventas y Servicios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3A496F" w:rsidRPr="00742A04" w:rsidRDefault="003A496F" w:rsidP="00F674CD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3A496F" w:rsidRPr="00742A04" w:rsidRDefault="003A496F" w:rsidP="000B71AA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55,1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3A496F" w:rsidRPr="00742A04" w:rsidRDefault="003A496F" w:rsidP="000B71AA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59,2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3A496F" w:rsidRPr="00742A04" w:rsidRDefault="003A496F" w:rsidP="000B71AA">
            <w:pPr>
              <w:keepNext/>
              <w:spacing w:before="40" w:after="40" w:line="240" w:lineRule="auto"/>
              <w:ind w:left="115" w:right="115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55,8</w:t>
            </w:r>
          </w:p>
        </w:tc>
      </w:tr>
    </w:tbl>
    <w:p w:rsidR="00F674CD" w:rsidRPr="00742A04" w:rsidRDefault="00F674CD" w:rsidP="00F674CD">
      <w:pPr>
        <w:pStyle w:val="SingleTxt"/>
        <w:spacing w:after="0" w:line="120" w:lineRule="exact"/>
        <w:rPr>
          <w:sz w:val="10"/>
        </w:rPr>
      </w:pPr>
    </w:p>
    <w:p w:rsidR="00F674CD" w:rsidRPr="00742A04" w:rsidRDefault="003A496F" w:rsidP="00F674CD">
      <w:pPr>
        <w:pStyle w:val="SingleTxt"/>
      </w:pPr>
      <w:r w:rsidRPr="00742A04">
        <w:t>Fuente</w:t>
      </w:r>
      <w:r w:rsidR="00F674CD" w:rsidRPr="00742A04">
        <w:t xml:space="preserve">: </w:t>
      </w:r>
      <w:r w:rsidR="00AF398C" w:rsidRPr="00742A04">
        <w:t>Instituto Nacional de Estadísticas de Noruega</w:t>
      </w:r>
    </w:p>
    <w:p w:rsidR="00F674CD" w:rsidRPr="00742A04" w:rsidRDefault="00F674CD" w:rsidP="00F674CD">
      <w:pPr>
        <w:pStyle w:val="SingleTxt"/>
        <w:spacing w:after="0" w:line="120" w:lineRule="exact"/>
        <w:rPr>
          <w:b/>
          <w:bCs/>
          <w:sz w:val="10"/>
        </w:rPr>
      </w:pPr>
    </w:p>
    <w:p w:rsidR="00545D1B" w:rsidRPr="00742A04" w:rsidRDefault="0087472C" w:rsidP="000B71AA">
      <w:pPr>
        <w:pStyle w:val="SingleTxt"/>
        <w:keepNext/>
        <w:rPr>
          <w:b/>
          <w:bCs/>
        </w:rPr>
      </w:pPr>
      <w:r>
        <w:rPr>
          <w:b/>
          <w:bCs/>
        </w:rPr>
        <w:t>Rendimient</w:t>
      </w:r>
      <w:r w:rsidR="008825AE" w:rsidRPr="00742A04">
        <w:rPr>
          <w:b/>
          <w:bCs/>
        </w:rPr>
        <w:t>o de los alumnos</w:t>
      </w:r>
    </w:p>
    <w:p w:rsidR="00545D1B" w:rsidRPr="00742A04" w:rsidRDefault="00495D7B" w:rsidP="005347C0">
      <w:pPr>
        <w:pStyle w:val="SingleTxt"/>
        <w:ind w:firstLine="475"/>
        <w:rPr>
          <w:bCs/>
        </w:rPr>
      </w:pPr>
      <w:r w:rsidRPr="00742A04">
        <w:rPr>
          <w:bCs/>
        </w:rPr>
        <w:t>Uno</w:t>
      </w:r>
      <w:r w:rsidR="00545D1B" w:rsidRPr="00742A04">
        <w:rPr>
          <w:bCs/>
        </w:rPr>
        <w:t xml:space="preserve"> </w:t>
      </w:r>
      <w:r w:rsidR="004A0730" w:rsidRPr="00742A04">
        <w:rPr>
          <w:bCs/>
        </w:rPr>
        <w:t>de</w:t>
      </w:r>
      <w:r w:rsidR="00545D1B" w:rsidRPr="00742A04">
        <w:rPr>
          <w:bCs/>
        </w:rPr>
        <w:t xml:space="preserve"> </w:t>
      </w:r>
      <w:r w:rsidR="00552CFE" w:rsidRPr="00742A04">
        <w:rPr>
          <w:bCs/>
        </w:rPr>
        <w:t xml:space="preserve">los </w:t>
      </w:r>
      <w:r w:rsidR="00657260" w:rsidRPr="00742A04">
        <w:rPr>
          <w:bCs/>
        </w:rPr>
        <w:t>factores</w:t>
      </w:r>
      <w:r w:rsidR="00545D1B" w:rsidRPr="00742A04">
        <w:rPr>
          <w:bCs/>
        </w:rPr>
        <w:t xml:space="preserve"> </w:t>
      </w:r>
      <w:r w:rsidR="00552CFE" w:rsidRPr="00742A04">
        <w:rPr>
          <w:bCs/>
        </w:rPr>
        <w:t>que han afectado</w:t>
      </w:r>
      <w:r w:rsidR="00545D1B" w:rsidRPr="00742A04">
        <w:rPr>
          <w:bCs/>
        </w:rPr>
        <w:t xml:space="preserve"> </w:t>
      </w:r>
      <w:r w:rsidR="00552CFE" w:rsidRPr="00742A04">
        <w:rPr>
          <w:bCs/>
        </w:rPr>
        <w:t>el debate educacional</w:t>
      </w:r>
      <w:r w:rsidR="00545D1B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EA26AB" w:rsidRPr="00742A04">
        <w:rPr>
          <w:bCs/>
        </w:rPr>
        <w:t>Noruega</w:t>
      </w:r>
      <w:r w:rsidR="00545D1B" w:rsidRPr="00742A04">
        <w:rPr>
          <w:bCs/>
        </w:rPr>
        <w:t xml:space="preserve"> </w:t>
      </w:r>
      <w:r w:rsidR="00552CFE" w:rsidRPr="00742A04">
        <w:rPr>
          <w:bCs/>
        </w:rPr>
        <w:t>desde la iniciación del nuevo</w:t>
      </w:r>
      <w:r w:rsidR="00545D1B" w:rsidRPr="00742A04">
        <w:rPr>
          <w:bCs/>
        </w:rPr>
        <w:t xml:space="preserve"> </w:t>
      </w:r>
      <w:r w:rsidR="00552CFE" w:rsidRPr="00742A04">
        <w:rPr>
          <w:bCs/>
        </w:rPr>
        <w:t>milenio</w:t>
      </w:r>
      <w:r w:rsidR="00545D1B" w:rsidRPr="00742A04">
        <w:rPr>
          <w:bCs/>
        </w:rPr>
        <w:t xml:space="preserve"> </w:t>
      </w:r>
      <w:r w:rsidR="00BB4DB1" w:rsidRPr="00742A04">
        <w:rPr>
          <w:bCs/>
        </w:rPr>
        <w:t>es</w:t>
      </w:r>
      <w:r w:rsidR="00545D1B" w:rsidRPr="00742A04">
        <w:rPr>
          <w:bCs/>
        </w:rPr>
        <w:t xml:space="preserve"> </w:t>
      </w:r>
      <w:r w:rsidR="00552CFE" w:rsidRPr="00742A04">
        <w:rPr>
          <w:bCs/>
        </w:rPr>
        <w:t>el constante incremento</w:t>
      </w:r>
      <w:r w:rsidR="00E542AA" w:rsidRPr="00742A04">
        <w:rPr>
          <w:bCs/>
        </w:rPr>
        <w:t xml:space="preserve"> de</w:t>
      </w:r>
      <w:r w:rsidR="00545D1B" w:rsidRPr="00742A04">
        <w:rPr>
          <w:bCs/>
        </w:rPr>
        <w:t xml:space="preserve"> </w:t>
      </w:r>
      <w:r w:rsidR="005E6919" w:rsidRPr="00742A04">
        <w:rPr>
          <w:bCs/>
        </w:rPr>
        <w:t>la concentración en</w:t>
      </w:r>
      <w:r w:rsidR="00545D1B" w:rsidRPr="00742A04">
        <w:rPr>
          <w:bCs/>
        </w:rPr>
        <w:t xml:space="preserve"> </w:t>
      </w:r>
      <w:r w:rsidR="00552CFE" w:rsidRPr="00742A04">
        <w:rPr>
          <w:bCs/>
        </w:rPr>
        <w:t xml:space="preserve">el </w:t>
      </w:r>
      <w:r w:rsidR="00FD58FD" w:rsidRPr="00742A04">
        <w:rPr>
          <w:bCs/>
        </w:rPr>
        <w:t>rendimiento</w:t>
      </w:r>
      <w:r w:rsidR="00552CFE" w:rsidRPr="00742A04">
        <w:rPr>
          <w:bCs/>
        </w:rPr>
        <w:t xml:space="preserve"> de los alumnos</w:t>
      </w:r>
      <w:r w:rsidR="00545D1B" w:rsidRPr="00742A04">
        <w:rPr>
          <w:bCs/>
        </w:rPr>
        <w:t xml:space="preserve">. </w:t>
      </w:r>
      <w:r w:rsidR="00552CFE" w:rsidRPr="00742A04">
        <w:rPr>
          <w:bCs/>
          <w:i/>
        </w:rPr>
        <w:t>Aun cuando</w:t>
      </w:r>
      <w:r w:rsidR="00545D1B" w:rsidRPr="00742A04">
        <w:rPr>
          <w:bCs/>
          <w:i/>
        </w:rPr>
        <w:t xml:space="preserve"> </w:t>
      </w:r>
      <w:r w:rsidR="00552CFE" w:rsidRPr="00742A04">
        <w:rPr>
          <w:bCs/>
          <w:i/>
        </w:rPr>
        <w:t>los alumnos</w:t>
      </w:r>
      <w:r w:rsidR="00545D1B" w:rsidRPr="00742A04">
        <w:rPr>
          <w:bCs/>
          <w:i/>
        </w:rPr>
        <w:t xml:space="preserve"> </w:t>
      </w:r>
      <w:r w:rsidR="00877AA0" w:rsidRPr="00742A04">
        <w:rPr>
          <w:bCs/>
          <w:i/>
        </w:rPr>
        <w:t>y</w:t>
      </w:r>
      <w:r w:rsidR="00545D1B" w:rsidRPr="00742A04">
        <w:rPr>
          <w:bCs/>
          <w:i/>
        </w:rPr>
        <w:t xml:space="preserve"> </w:t>
      </w:r>
      <w:r w:rsidR="00537384" w:rsidRPr="00742A04">
        <w:rPr>
          <w:bCs/>
          <w:i/>
        </w:rPr>
        <w:t>los estudiantes</w:t>
      </w:r>
      <w:r w:rsidR="00545D1B" w:rsidRPr="00742A04">
        <w:rPr>
          <w:bCs/>
          <w:i/>
        </w:rPr>
        <w:t xml:space="preserve"> </w:t>
      </w:r>
      <w:r w:rsidR="00241CED">
        <w:rPr>
          <w:bCs/>
          <w:i/>
        </w:rPr>
        <w:t>noruegos</w:t>
      </w:r>
      <w:r w:rsidR="00552CFE" w:rsidRPr="00742A04">
        <w:rPr>
          <w:bCs/>
          <w:i/>
        </w:rPr>
        <w:t xml:space="preserve"> hacen opciones educacionales tradicionales</w:t>
      </w:r>
      <w:r w:rsidR="00545D1B" w:rsidRPr="00742A04">
        <w:rPr>
          <w:bCs/>
          <w:i/>
        </w:rPr>
        <w:t xml:space="preserve">, </w:t>
      </w:r>
      <w:r w:rsidR="005E6919" w:rsidRPr="00742A04">
        <w:rPr>
          <w:bCs/>
          <w:i/>
        </w:rPr>
        <w:t xml:space="preserve">las </w:t>
      </w:r>
      <w:r w:rsidR="00552CFE" w:rsidRPr="00742A04">
        <w:rPr>
          <w:bCs/>
          <w:i/>
        </w:rPr>
        <w:t>mujere</w:t>
      </w:r>
      <w:r w:rsidR="005E6919" w:rsidRPr="00742A04">
        <w:rPr>
          <w:bCs/>
          <w:i/>
        </w:rPr>
        <w:t>s</w:t>
      </w:r>
      <w:r w:rsidR="00545D1B" w:rsidRPr="00742A04">
        <w:rPr>
          <w:bCs/>
          <w:i/>
        </w:rPr>
        <w:t xml:space="preserve"> </w:t>
      </w:r>
      <w:r w:rsidR="00552CFE" w:rsidRPr="00742A04">
        <w:rPr>
          <w:bCs/>
          <w:i/>
        </w:rPr>
        <w:t>obtienen mejores</w:t>
      </w:r>
      <w:r w:rsidR="00545D1B" w:rsidRPr="00742A04">
        <w:rPr>
          <w:bCs/>
          <w:i/>
        </w:rPr>
        <w:t xml:space="preserve"> </w:t>
      </w:r>
      <w:r w:rsidR="001C0F42" w:rsidRPr="00742A04">
        <w:rPr>
          <w:bCs/>
          <w:i/>
        </w:rPr>
        <w:t>puntaje</w:t>
      </w:r>
      <w:r w:rsidR="004F2F8A" w:rsidRPr="00742A04">
        <w:rPr>
          <w:bCs/>
          <w:i/>
        </w:rPr>
        <w:t>s</w:t>
      </w:r>
      <w:r w:rsidR="00545D1B" w:rsidRPr="00742A04">
        <w:rPr>
          <w:bCs/>
          <w:i/>
        </w:rPr>
        <w:t xml:space="preserve"> </w:t>
      </w:r>
      <w:r w:rsidR="005C6D40" w:rsidRPr="00742A04">
        <w:rPr>
          <w:bCs/>
          <w:i/>
        </w:rPr>
        <w:t>que</w:t>
      </w:r>
      <w:r w:rsidR="00545D1B" w:rsidRPr="00742A04">
        <w:rPr>
          <w:bCs/>
          <w:i/>
        </w:rPr>
        <w:t xml:space="preserve"> </w:t>
      </w:r>
      <w:r w:rsidR="002213CF" w:rsidRPr="00742A04">
        <w:rPr>
          <w:bCs/>
          <w:i/>
        </w:rPr>
        <w:t>los varones</w:t>
      </w:r>
      <w:r w:rsidR="00545D1B" w:rsidRPr="00742A04">
        <w:rPr>
          <w:bCs/>
          <w:i/>
        </w:rPr>
        <w:t xml:space="preserve"> </w:t>
      </w:r>
      <w:r w:rsidR="00552CFE" w:rsidRPr="00742A04">
        <w:rPr>
          <w:bCs/>
          <w:i/>
        </w:rPr>
        <w:t>en la escuela</w:t>
      </w:r>
      <w:r w:rsidR="00545D1B" w:rsidRPr="00742A04">
        <w:rPr>
          <w:bCs/>
          <w:i/>
        </w:rPr>
        <w:t>.</w:t>
      </w:r>
      <w:r w:rsidR="00545D1B" w:rsidRPr="00742A04">
        <w:rPr>
          <w:bCs/>
        </w:rPr>
        <w:t xml:space="preserve"> </w:t>
      </w:r>
      <w:r w:rsidR="00552CFE" w:rsidRPr="00742A04">
        <w:rPr>
          <w:bCs/>
        </w:rPr>
        <w:t>Los datos provenientes</w:t>
      </w:r>
      <w:r w:rsidR="00545D1B" w:rsidRPr="00742A04">
        <w:rPr>
          <w:bCs/>
        </w:rPr>
        <w:t xml:space="preserve"> </w:t>
      </w:r>
      <w:r w:rsidR="008F0C8E" w:rsidRPr="00742A04">
        <w:rPr>
          <w:bCs/>
        </w:rPr>
        <w:t>de</w:t>
      </w:r>
      <w:r w:rsidR="00545D1B" w:rsidRPr="00742A04">
        <w:rPr>
          <w:bCs/>
        </w:rPr>
        <w:t xml:space="preserve"> </w:t>
      </w:r>
      <w:r w:rsidR="00272D31" w:rsidRPr="00742A04">
        <w:rPr>
          <w:bCs/>
        </w:rPr>
        <w:t>las principales</w:t>
      </w:r>
      <w:r w:rsidR="00545D1B" w:rsidRPr="00742A04">
        <w:rPr>
          <w:bCs/>
        </w:rPr>
        <w:t xml:space="preserve"> </w:t>
      </w:r>
      <w:r w:rsidR="00311327" w:rsidRPr="00742A04">
        <w:rPr>
          <w:bCs/>
        </w:rPr>
        <w:t>encue</w:t>
      </w:r>
      <w:r w:rsidR="00311327" w:rsidRPr="00742A04">
        <w:rPr>
          <w:bCs/>
        </w:rPr>
        <w:t>s</w:t>
      </w:r>
      <w:r w:rsidR="00311327" w:rsidRPr="00742A04">
        <w:rPr>
          <w:bCs/>
        </w:rPr>
        <w:t>ta</w:t>
      </w:r>
      <w:r w:rsidR="00545D1B" w:rsidRPr="00742A04">
        <w:rPr>
          <w:bCs/>
        </w:rPr>
        <w:t xml:space="preserve">s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67405D" w:rsidRPr="00742A04">
        <w:rPr>
          <w:bCs/>
        </w:rPr>
        <w:t>estadísticas</w:t>
      </w:r>
      <w:r w:rsidR="00545D1B" w:rsidRPr="00742A04">
        <w:rPr>
          <w:bCs/>
        </w:rPr>
        <w:t xml:space="preserve"> </w:t>
      </w:r>
      <w:r w:rsidR="00272D31" w:rsidRPr="00742A04">
        <w:rPr>
          <w:bCs/>
        </w:rPr>
        <w:t>internacionales en que figuran las calificaciones finales</w:t>
      </w:r>
      <w:r w:rsidR="00545D1B" w:rsidRPr="00742A04">
        <w:rPr>
          <w:bCs/>
        </w:rPr>
        <w:t xml:space="preserve"> </w:t>
      </w:r>
      <w:r w:rsidR="004A0730" w:rsidRPr="00742A04">
        <w:rPr>
          <w:bCs/>
        </w:rPr>
        <w:t>de</w:t>
      </w:r>
      <w:r w:rsidR="00545D1B" w:rsidRPr="00742A04">
        <w:rPr>
          <w:bCs/>
        </w:rPr>
        <w:t xml:space="preserve"> </w:t>
      </w:r>
      <w:r w:rsidR="00552CFE" w:rsidRPr="00742A04">
        <w:rPr>
          <w:bCs/>
        </w:rPr>
        <w:t>los alumnos</w:t>
      </w:r>
      <w:r w:rsidR="00545D1B" w:rsidRPr="00742A04">
        <w:rPr>
          <w:bCs/>
        </w:rPr>
        <w:t xml:space="preserve"> </w:t>
      </w:r>
      <w:r w:rsidR="00241CED">
        <w:rPr>
          <w:bCs/>
        </w:rPr>
        <w:t>noruegos</w:t>
      </w:r>
      <w:r w:rsidR="00272D31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20405D" w:rsidRPr="00742A04">
        <w:rPr>
          <w:bCs/>
        </w:rPr>
        <w:t>la escuela secundaria superior</w:t>
      </w:r>
      <w:r w:rsidR="00545D1B" w:rsidRPr="00742A04">
        <w:rPr>
          <w:bCs/>
        </w:rPr>
        <w:t xml:space="preserve"> </w:t>
      </w:r>
      <w:r w:rsidR="005206AC" w:rsidRPr="00742A04">
        <w:rPr>
          <w:bCs/>
        </w:rPr>
        <w:t>no</w:t>
      </w:r>
      <w:r w:rsidR="00545D1B" w:rsidRPr="00742A04">
        <w:rPr>
          <w:bCs/>
        </w:rPr>
        <w:t xml:space="preserve"> </w:t>
      </w:r>
      <w:r w:rsidR="00A836A1" w:rsidRPr="00742A04">
        <w:rPr>
          <w:bCs/>
        </w:rPr>
        <w:t>sólo</w:t>
      </w:r>
      <w:r w:rsidR="00545D1B" w:rsidRPr="00742A04">
        <w:rPr>
          <w:bCs/>
        </w:rPr>
        <w:t xml:space="preserve"> </w:t>
      </w:r>
      <w:r w:rsidR="00272D31" w:rsidRPr="00742A04">
        <w:rPr>
          <w:bCs/>
        </w:rPr>
        <w:t>indican que</w:t>
      </w:r>
      <w:r w:rsidR="00545D1B"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="00545D1B" w:rsidRPr="00742A04">
        <w:rPr>
          <w:bCs/>
        </w:rPr>
        <w:t xml:space="preserve"> </w:t>
      </w:r>
      <w:r w:rsidR="00272D31" w:rsidRPr="00742A04">
        <w:rPr>
          <w:bCs/>
        </w:rPr>
        <w:t>tienen resultados superiores</w:t>
      </w:r>
      <w:r w:rsidR="00545D1B" w:rsidRPr="00742A04">
        <w:rPr>
          <w:bCs/>
        </w:rPr>
        <w:t xml:space="preserve"> </w:t>
      </w:r>
      <w:r w:rsidR="00537384" w:rsidRPr="00742A04">
        <w:rPr>
          <w:bCs/>
        </w:rPr>
        <w:t>en lo tocante a</w:t>
      </w:r>
      <w:r w:rsidR="00545D1B" w:rsidRPr="00742A04">
        <w:rPr>
          <w:bCs/>
        </w:rPr>
        <w:t xml:space="preserve"> </w:t>
      </w:r>
      <w:r w:rsidR="00272D31" w:rsidRPr="00742A04">
        <w:rPr>
          <w:bCs/>
        </w:rPr>
        <w:t>calificaciones</w:t>
      </w:r>
      <w:r w:rsidR="00545D1B" w:rsidRPr="00742A04">
        <w:rPr>
          <w:bCs/>
        </w:rPr>
        <w:t xml:space="preserve">, </w:t>
      </w:r>
      <w:r w:rsidR="00272D31" w:rsidRPr="00742A04">
        <w:rPr>
          <w:bCs/>
        </w:rPr>
        <w:t>sino</w:t>
      </w:r>
      <w:r w:rsidR="00545D1B" w:rsidRPr="00742A04">
        <w:rPr>
          <w:bCs/>
        </w:rPr>
        <w:t xml:space="preserve"> </w:t>
      </w:r>
      <w:r w:rsidR="0030626A" w:rsidRPr="00742A04">
        <w:rPr>
          <w:bCs/>
        </w:rPr>
        <w:t>también</w:t>
      </w:r>
      <w:r w:rsidR="00545D1B" w:rsidRPr="00742A04">
        <w:rPr>
          <w:bCs/>
        </w:rPr>
        <w:t xml:space="preserve"> </w:t>
      </w:r>
      <w:r w:rsidR="00272D31" w:rsidRPr="00742A04">
        <w:rPr>
          <w:bCs/>
        </w:rPr>
        <w:t>que obtienen mej</w:t>
      </w:r>
      <w:r w:rsidR="00272D31" w:rsidRPr="00742A04">
        <w:rPr>
          <w:bCs/>
        </w:rPr>
        <w:t>o</w:t>
      </w:r>
      <w:r w:rsidR="00272D31" w:rsidRPr="00742A04">
        <w:rPr>
          <w:bCs/>
        </w:rPr>
        <w:t>res</w:t>
      </w:r>
      <w:r w:rsidR="00545D1B" w:rsidRPr="00742A04">
        <w:rPr>
          <w:bCs/>
        </w:rPr>
        <w:t xml:space="preserve"> </w:t>
      </w:r>
      <w:r w:rsidR="00272D31" w:rsidRPr="00742A04">
        <w:rPr>
          <w:bCs/>
        </w:rPr>
        <w:t>calificaciones</w:t>
      </w:r>
      <w:r w:rsidR="00545D1B" w:rsidRPr="00742A04">
        <w:rPr>
          <w:bCs/>
        </w:rPr>
        <w:t xml:space="preserve"> </w:t>
      </w:r>
      <w:r w:rsidR="005C6D40" w:rsidRPr="00742A04">
        <w:rPr>
          <w:bCs/>
        </w:rPr>
        <w:t>que</w:t>
      </w:r>
      <w:r w:rsidR="00545D1B" w:rsidRPr="00742A04">
        <w:rPr>
          <w:bCs/>
        </w:rPr>
        <w:t xml:space="preserve"> </w:t>
      </w:r>
      <w:r w:rsidR="002213CF" w:rsidRPr="00742A04">
        <w:rPr>
          <w:bCs/>
        </w:rPr>
        <w:t>los varones</w:t>
      </w:r>
      <w:r w:rsidR="00545D1B" w:rsidRPr="00742A04">
        <w:rPr>
          <w:bCs/>
        </w:rPr>
        <w:t xml:space="preserve">. </w:t>
      </w:r>
      <w:r w:rsidR="00272D31" w:rsidRPr="00742A04">
        <w:rPr>
          <w:bCs/>
        </w:rPr>
        <w:t xml:space="preserve">Ello ha generado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EA26AB" w:rsidRPr="00742A04">
        <w:rPr>
          <w:bCs/>
        </w:rPr>
        <w:t>Noruega</w:t>
      </w:r>
      <w:r w:rsidR="00545D1B" w:rsidRPr="00742A04">
        <w:rPr>
          <w:bCs/>
        </w:rPr>
        <w:t xml:space="preserve"> </w:t>
      </w:r>
      <w:r w:rsidR="00272D31" w:rsidRPr="00742A04">
        <w:rPr>
          <w:bCs/>
        </w:rPr>
        <w:t xml:space="preserve">un debate </w:t>
      </w:r>
      <w:r w:rsidR="003E4840" w:rsidRPr="00742A04">
        <w:rPr>
          <w:bCs/>
        </w:rPr>
        <w:t>acerca de</w:t>
      </w:r>
      <w:r w:rsidR="00545D1B" w:rsidRPr="00742A04">
        <w:rPr>
          <w:bCs/>
        </w:rPr>
        <w:t xml:space="preserve"> </w:t>
      </w:r>
      <w:r w:rsidR="0056679F" w:rsidRPr="00742A04">
        <w:rPr>
          <w:bCs/>
        </w:rPr>
        <w:t>si</w:t>
      </w:r>
      <w:r w:rsidR="00545D1B" w:rsidRPr="00742A04">
        <w:rPr>
          <w:bCs/>
        </w:rPr>
        <w:t xml:space="preserve"> </w:t>
      </w:r>
      <w:r w:rsidR="002213CF" w:rsidRPr="00742A04">
        <w:rPr>
          <w:bCs/>
        </w:rPr>
        <w:t>los varones</w:t>
      </w:r>
      <w:r w:rsidR="00545D1B" w:rsidRPr="00742A04">
        <w:rPr>
          <w:bCs/>
        </w:rPr>
        <w:t xml:space="preserve"> </w:t>
      </w:r>
      <w:r w:rsidR="006137EC" w:rsidRPr="00742A04">
        <w:rPr>
          <w:bCs/>
        </w:rPr>
        <w:t>son</w:t>
      </w:r>
      <w:r w:rsidR="00545D1B" w:rsidRPr="00742A04">
        <w:rPr>
          <w:bCs/>
        </w:rPr>
        <w:t xml:space="preserve"> </w:t>
      </w:r>
      <w:r w:rsidR="00E06311" w:rsidRPr="00742A04">
        <w:rPr>
          <w:bCs/>
        </w:rPr>
        <w:t>ahora</w:t>
      </w:r>
      <w:r w:rsidR="00545D1B" w:rsidRPr="00742A04">
        <w:rPr>
          <w:bCs/>
        </w:rPr>
        <w:t xml:space="preserve"> </w:t>
      </w:r>
      <w:r w:rsidR="00272D31" w:rsidRPr="00742A04">
        <w:rPr>
          <w:bCs/>
        </w:rPr>
        <w:t>perdedores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56679F" w:rsidRPr="00742A04">
        <w:rPr>
          <w:bCs/>
        </w:rPr>
        <w:t>si</w:t>
      </w:r>
      <w:r w:rsidR="00545D1B" w:rsidRPr="00742A04">
        <w:rPr>
          <w:bCs/>
        </w:rPr>
        <w:t xml:space="preserve"> </w:t>
      </w:r>
      <w:r w:rsidR="003E5775" w:rsidRPr="00742A04">
        <w:rPr>
          <w:bCs/>
        </w:rPr>
        <w:t>las escuelas</w:t>
      </w:r>
      <w:r w:rsidR="00272D31" w:rsidRPr="00742A04">
        <w:rPr>
          <w:bCs/>
        </w:rPr>
        <w:t xml:space="preserve"> noruegas se adaptan mejor al</w:t>
      </w:r>
      <w:r w:rsidR="00545D1B" w:rsidRPr="00742A04">
        <w:rPr>
          <w:bCs/>
        </w:rPr>
        <w:t xml:space="preserve"> </w:t>
      </w:r>
      <w:r w:rsidR="006B65CD" w:rsidRPr="00742A04">
        <w:rPr>
          <w:bCs/>
        </w:rPr>
        <w:t>desarrollo</w:t>
      </w:r>
      <w:r w:rsidR="00545D1B" w:rsidRPr="00742A04">
        <w:rPr>
          <w:bCs/>
        </w:rPr>
        <w:t xml:space="preserve"> </w:t>
      </w:r>
      <w:r w:rsidR="00241CED">
        <w:rPr>
          <w:bCs/>
        </w:rPr>
        <w:t xml:space="preserve">de las </w:t>
      </w:r>
      <w:r w:rsidR="00272D31" w:rsidRPr="00742A04">
        <w:rPr>
          <w:bCs/>
        </w:rPr>
        <w:t xml:space="preserve">aptitudes </w:t>
      </w:r>
      <w:r w:rsidR="00545D1B" w:rsidRPr="00742A04">
        <w:rPr>
          <w:bCs/>
        </w:rPr>
        <w:t>co</w:t>
      </w:r>
      <w:r w:rsidR="00545D1B" w:rsidRPr="00742A04">
        <w:rPr>
          <w:bCs/>
        </w:rPr>
        <w:t>g</w:t>
      </w:r>
      <w:r w:rsidR="00545D1B" w:rsidRPr="00742A04">
        <w:rPr>
          <w:bCs/>
        </w:rPr>
        <w:t>nitiv</w:t>
      </w:r>
      <w:r w:rsidR="00272D31" w:rsidRPr="00742A04">
        <w:rPr>
          <w:bCs/>
        </w:rPr>
        <w:t>as femeninas</w:t>
      </w:r>
      <w:r w:rsidR="00545D1B" w:rsidRPr="00742A04">
        <w:rPr>
          <w:bCs/>
        </w:rPr>
        <w:t>.</w:t>
      </w:r>
    </w:p>
    <w:p w:rsidR="00545D1B" w:rsidRPr="00742A04" w:rsidRDefault="00545D1B" w:rsidP="002C4922">
      <w:pPr>
        <w:pStyle w:val="SingleTxt"/>
        <w:rPr>
          <w:bCs/>
          <w:i/>
        </w:rPr>
      </w:pPr>
      <w:r w:rsidRPr="00742A04">
        <w:rPr>
          <w:bCs/>
          <w:i/>
        </w:rPr>
        <w:t>PISA</w:t>
      </w:r>
    </w:p>
    <w:p w:rsidR="00545D1B" w:rsidRPr="00742A04" w:rsidRDefault="00272D31" w:rsidP="005347C0">
      <w:pPr>
        <w:pStyle w:val="SingleTxt"/>
        <w:ind w:firstLine="475"/>
        <w:rPr>
          <w:bCs/>
        </w:rPr>
      </w:pPr>
      <w:r w:rsidRPr="00742A04">
        <w:rPr>
          <w:bCs/>
        </w:rPr>
        <w:t>El</w:t>
      </w:r>
      <w:r w:rsidR="00DD40C1" w:rsidRPr="00742A04">
        <w:rPr>
          <w:bCs/>
        </w:rPr>
        <w:t xml:space="preserve"> Programa Internacional de seguimiento </w:t>
      </w:r>
      <w:r w:rsidR="00C076F2" w:rsidRPr="00742A04">
        <w:rPr>
          <w:bCs/>
        </w:rPr>
        <w:t xml:space="preserve">de los </w:t>
      </w:r>
      <w:r w:rsidR="00DD40C1" w:rsidRPr="00742A04">
        <w:rPr>
          <w:bCs/>
        </w:rPr>
        <w:t xml:space="preserve">conocimientos </w:t>
      </w:r>
      <w:r w:rsidR="00C076F2" w:rsidRPr="00742A04">
        <w:rPr>
          <w:bCs/>
        </w:rPr>
        <w:t xml:space="preserve">de los </w:t>
      </w:r>
      <w:r w:rsidR="00DD40C1" w:rsidRPr="00742A04">
        <w:rPr>
          <w:bCs/>
        </w:rPr>
        <w:t>est</w:t>
      </w:r>
      <w:r w:rsidR="00DD40C1" w:rsidRPr="00742A04">
        <w:rPr>
          <w:bCs/>
        </w:rPr>
        <w:t>u</w:t>
      </w:r>
      <w:r w:rsidR="00DD40C1" w:rsidRPr="00742A04">
        <w:rPr>
          <w:bCs/>
        </w:rPr>
        <w:t>diantes (</w:t>
      </w:r>
      <w:r w:rsidR="00545D1B" w:rsidRPr="00742A04">
        <w:rPr>
          <w:bCs/>
        </w:rPr>
        <w:t>PISA</w:t>
      </w:r>
      <w:r w:rsidR="00DD40C1" w:rsidRPr="00742A04">
        <w:rPr>
          <w:bCs/>
        </w:rPr>
        <w:t>)</w:t>
      </w:r>
      <w:r w:rsidR="00545D1B" w:rsidRPr="00742A04">
        <w:rPr>
          <w:bCs/>
        </w:rPr>
        <w:t xml:space="preserve"> </w:t>
      </w:r>
      <w:r w:rsidR="00BB4DB1" w:rsidRPr="00742A04">
        <w:rPr>
          <w:bCs/>
        </w:rPr>
        <w:t>es</w:t>
      </w:r>
      <w:r w:rsidR="00545D1B" w:rsidRPr="00742A04">
        <w:rPr>
          <w:bCs/>
        </w:rPr>
        <w:t xml:space="preserve"> </w:t>
      </w:r>
      <w:r w:rsidRPr="00742A04">
        <w:rPr>
          <w:bCs/>
        </w:rPr>
        <w:t>un estudio</w:t>
      </w:r>
      <w:r w:rsidR="00545D1B" w:rsidRPr="00742A04">
        <w:rPr>
          <w:bCs/>
        </w:rPr>
        <w:t xml:space="preserve"> </w:t>
      </w:r>
      <w:r w:rsidR="001167D2" w:rsidRPr="00742A04">
        <w:rPr>
          <w:bCs/>
        </w:rPr>
        <w:t>internacional</w:t>
      </w:r>
      <w:r w:rsidR="00545D1B" w:rsidRPr="00742A04">
        <w:rPr>
          <w:bCs/>
        </w:rPr>
        <w:t xml:space="preserve"> </w:t>
      </w:r>
      <w:r w:rsidRPr="00742A04">
        <w:rPr>
          <w:bCs/>
        </w:rPr>
        <w:t>realizado</w:t>
      </w:r>
      <w:r w:rsidR="00545D1B" w:rsidRPr="00742A04">
        <w:rPr>
          <w:bCs/>
        </w:rPr>
        <w:t xml:space="preserve"> </w:t>
      </w:r>
      <w:r w:rsidR="002213CF" w:rsidRPr="00742A04">
        <w:rPr>
          <w:bCs/>
        </w:rPr>
        <w:t>bajo los auspicios</w:t>
      </w:r>
      <w:r w:rsidR="00545D1B" w:rsidRPr="00742A04">
        <w:rPr>
          <w:bCs/>
        </w:rPr>
        <w:t xml:space="preserve"> </w:t>
      </w:r>
      <w:r w:rsidR="004A0730" w:rsidRPr="00742A04">
        <w:rPr>
          <w:bCs/>
        </w:rPr>
        <w:t>de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la OCDE</w:t>
      </w:r>
      <w:r w:rsidR="00545D1B" w:rsidRPr="00742A04">
        <w:rPr>
          <w:bCs/>
        </w:rPr>
        <w:t xml:space="preserve"> </w:t>
      </w:r>
      <w:r w:rsidR="00E575DB" w:rsidRPr="00742A04">
        <w:rPr>
          <w:bCs/>
        </w:rPr>
        <w:t>que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mide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los conocimientos y aptitudes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 xml:space="preserve">de los alumnos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lectura</w:t>
      </w:r>
      <w:r w:rsidR="00545D1B" w:rsidRPr="00742A04">
        <w:rPr>
          <w:bCs/>
        </w:rPr>
        <w:t xml:space="preserve">, </w:t>
      </w:r>
      <w:r w:rsidR="00AE4459" w:rsidRPr="00742A04">
        <w:rPr>
          <w:bCs/>
        </w:rPr>
        <w:t>matemática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ciencias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al término del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ciclo de enseñanza obligatoria</w:t>
      </w:r>
      <w:r w:rsidR="00545D1B" w:rsidRPr="00742A04">
        <w:rPr>
          <w:bCs/>
        </w:rPr>
        <w:t xml:space="preserve">. </w:t>
      </w:r>
      <w:r w:rsidR="00AE4459" w:rsidRPr="00742A04">
        <w:rPr>
          <w:bCs/>
        </w:rPr>
        <w:t>L</w:t>
      </w:r>
      <w:r w:rsidR="00311327" w:rsidRPr="00742A04">
        <w:rPr>
          <w:bCs/>
        </w:rPr>
        <w:t>a</w:t>
      </w:r>
      <w:r w:rsidR="00AE4459" w:rsidRPr="00742A04">
        <w:rPr>
          <w:bCs/>
        </w:rPr>
        <w:t xml:space="preserve"> </w:t>
      </w:r>
      <w:r w:rsidR="00311327" w:rsidRPr="00742A04">
        <w:rPr>
          <w:bCs/>
        </w:rPr>
        <w:t>encuesta</w:t>
      </w:r>
      <w:r w:rsidR="00AE4459" w:rsidRPr="00742A04">
        <w:rPr>
          <w:bCs/>
        </w:rPr>
        <w:t xml:space="preserve"> de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 xml:space="preserve">PISA de 2003 </w:t>
      </w:r>
      <w:r w:rsidR="0028385C" w:rsidRPr="00742A04">
        <w:rPr>
          <w:bCs/>
        </w:rPr>
        <w:t>demostró</w:t>
      </w:r>
      <w:r w:rsidR="00E575DB" w:rsidRPr="00742A04">
        <w:rPr>
          <w:bCs/>
        </w:rPr>
        <w:t xml:space="preserve"> que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los jóvenes n</w:t>
      </w:r>
      <w:r w:rsidR="00BD47D3" w:rsidRPr="00742A04">
        <w:rPr>
          <w:bCs/>
        </w:rPr>
        <w:t>o</w:t>
      </w:r>
      <w:r w:rsidR="00031851" w:rsidRPr="00742A04">
        <w:rPr>
          <w:bCs/>
        </w:rPr>
        <w:t xml:space="preserve">ruegos de 15 </w:t>
      </w:r>
      <w:r w:rsidR="004D313C" w:rsidRPr="00742A04">
        <w:rPr>
          <w:bCs/>
        </w:rPr>
        <w:t>año</w:t>
      </w:r>
      <w:r w:rsidR="00031851" w:rsidRPr="00742A04">
        <w:rPr>
          <w:bCs/>
        </w:rPr>
        <w:t>s de edad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 xml:space="preserve">tenían </w:t>
      </w:r>
      <w:r w:rsidR="001C0F42" w:rsidRPr="00742A04">
        <w:rPr>
          <w:bCs/>
        </w:rPr>
        <w:t>puntaje</w:t>
      </w:r>
      <w:r w:rsidR="00031851" w:rsidRPr="00742A04">
        <w:rPr>
          <w:bCs/>
        </w:rPr>
        <w:t>s más bajos</w:t>
      </w:r>
      <w:r w:rsidR="00545D1B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ciencias</w:t>
      </w:r>
      <w:r w:rsidR="00545D1B" w:rsidRPr="00742A04">
        <w:rPr>
          <w:bCs/>
        </w:rPr>
        <w:t xml:space="preserve">, </w:t>
      </w:r>
      <w:r w:rsidR="00AE4459" w:rsidRPr="00742A04">
        <w:rPr>
          <w:bCs/>
        </w:rPr>
        <w:t>matemática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lectura</w:t>
      </w:r>
      <w:r w:rsidR="00545D1B" w:rsidRPr="00742A04">
        <w:rPr>
          <w:bCs/>
        </w:rPr>
        <w:t xml:space="preserve"> </w:t>
      </w:r>
      <w:r w:rsidR="005C6D40" w:rsidRPr="00742A04">
        <w:rPr>
          <w:bCs/>
        </w:rPr>
        <w:t>que</w:t>
      </w:r>
      <w:r w:rsidR="00545D1B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la anterior encuesta, del año</w:t>
      </w:r>
      <w:r w:rsidR="00545D1B" w:rsidRPr="00742A04">
        <w:rPr>
          <w:bCs/>
        </w:rPr>
        <w:t xml:space="preserve"> 2000. </w:t>
      </w:r>
      <w:r w:rsidR="00021DB5" w:rsidRPr="00742A04">
        <w:rPr>
          <w:bCs/>
        </w:rPr>
        <w:t>Hay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p</w:t>
      </w:r>
      <w:r w:rsidR="00031851" w:rsidRPr="00742A04">
        <w:rPr>
          <w:bCs/>
        </w:rPr>
        <w:t>e</w:t>
      </w:r>
      <w:r w:rsidR="00031851" w:rsidRPr="00742A04">
        <w:rPr>
          <w:bCs/>
        </w:rPr>
        <w:t>queñas diferencias</w:t>
      </w:r>
      <w:r w:rsidR="00537384" w:rsidRPr="00742A04">
        <w:rPr>
          <w:bCs/>
        </w:rPr>
        <w:t xml:space="preserve"> de género</w:t>
      </w:r>
      <w:r w:rsidR="00545D1B" w:rsidRPr="00742A04">
        <w:rPr>
          <w:bCs/>
        </w:rPr>
        <w:t xml:space="preserve"> </w:t>
      </w:r>
      <w:r w:rsidR="007D66F2" w:rsidRPr="00742A04">
        <w:rPr>
          <w:bCs/>
        </w:rPr>
        <w:t>entre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los alumnos noruegos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tanto en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ciencias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como en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matemática</w:t>
      </w:r>
      <w:r w:rsidR="00545D1B" w:rsidRPr="00742A04">
        <w:rPr>
          <w:bCs/>
        </w:rPr>
        <w:t xml:space="preserve">. </w:t>
      </w:r>
      <w:r w:rsidR="004A0730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lectura</w:t>
      </w:r>
      <w:r w:rsidR="00545D1B" w:rsidRPr="00742A04">
        <w:rPr>
          <w:bCs/>
        </w:rPr>
        <w:t xml:space="preserve">, </w:t>
      </w:r>
      <w:r w:rsidR="00811D75" w:rsidRPr="00742A04">
        <w:rPr>
          <w:bCs/>
        </w:rPr>
        <w:t>las diferencias de género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se han vuelto aún</w:t>
      </w:r>
      <w:r w:rsidR="00545D1B" w:rsidRPr="00742A04">
        <w:rPr>
          <w:bCs/>
        </w:rPr>
        <w:t xml:space="preserve"> </w:t>
      </w:r>
      <w:r w:rsidR="00BA5ABE" w:rsidRPr="00742A04">
        <w:rPr>
          <w:bCs/>
        </w:rPr>
        <w:t>más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notorias en</w:t>
      </w:r>
      <w:r w:rsidR="00130F7F" w:rsidRPr="00742A04">
        <w:rPr>
          <w:bCs/>
        </w:rPr>
        <w:t xml:space="preserve"> favor</w:t>
      </w:r>
      <w:r w:rsidR="00545D1B" w:rsidRPr="00742A04">
        <w:rPr>
          <w:bCs/>
        </w:rPr>
        <w:t xml:space="preserve"> </w:t>
      </w:r>
      <w:r w:rsidR="004A0730" w:rsidRPr="00742A04">
        <w:rPr>
          <w:bCs/>
        </w:rPr>
        <w:t>de</w:t>
      </w:r>
      <w:r w:rsidR="00545D1B"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Pr="00742A04">
        <w:rPr>
          <w:bCs/>
        </w:rPr>
        <w:t>mujeres</w:t>
      </w:r>
      <w:r w:rsidR="00545D1B" w:rsidRPr="00742A04">
        <w:rPr>
          <w:bCs/>
        </w:rPr>
        <w:t xml:space="preserve">. </w:t>
      </w:r>
      <w:r w:rsidR="00031851" w:rsidRPr="00742A04">
        <w:rPr>
          <w:bCs/>
        </w:rPr>
        <w:t>Ello se debe</w:t>
      </w:r>
      <w:r w:rsidR="00545D1B" w:rsidRPr="00742A04">
        <w:rPr>
          <w:bCs/>
        </w:rPr>
        <w:t xml:space="preserve"> </w:t>
      </w:r>
      <w:r w:rsidR="00BC2FBE" w:rsidRPr="00742A04">
        <w:rPr>
          <w:bCs/>
        </w:rPr>
        <w:t>en gran medida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 xml:space="preserve">a </w:t>
      </w:r>
      <w:r w:rsidR="007E0DFE" w:rsidRPr="00742A04">
        <w:rPr>
          <w:bCs/>
        </w:rPr>
        <w:t>que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los varones noruegos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tuvi</w:t>
      </w:r>
      <w:r w:rsidR="00031851" w:rsidRPr="00742A04">
        <w:rPr>
          <w:bCs/>
        </w:rPr>
        <w:t>e</w:t>
      </w:r>
      <w:r w:rsidR="00031851" w:rsidRPr="00742A04">
        <w:rPr>
          <w:bCs/>
        </w:rPr>
        <w:t xml:space="preserve">ron un </w:t>
      </w:r>
      <w:r w:rsidR="00FD58FD" w:rsidRPr="00742A04">
        <w:rPr>
          <w:bCs/>
        </w:rPr>
        <w:t>rendimiento</w:t>
      </w:r>
      <w:r w:rsidR="00031851" w:rsidRPr="00742A04">
        <w:rPr>
          <w:bCs/>
        </w:rPr>
        <w:t xml:space="preserve"> inferior al que habían tenido en</w:t>
      </w:r>
      <w:r w:rsidR="00545D1B" w:rsidRPr="00742A04">
        <w:rPr>
          <w:bCs/>
        </w:rPr>
        <w:t xml:space="preserve"> PISA 2000.</w:t>
      </w:r>
    </w:p>
    <w:p w:rsidR="00545D1B" w:rsidRPr="00742A04" w:rsidRDefault="003D37DC" w:rsidP="002C4922">
      <w:pPr>
        <w:pStyle w:val="SingleTxt"/>
        <w:rPr>
          <w:bCs/>
          <w:i/>
        </w:rPr>
      </w:pPr>
      <w:r w:rsidRPr="00742A04">
        <w:rPr>
          <w:bCs/>
          <w:i/>
        </w:rPr>
        <w:t>D</w:t>
      </w:r>
      <w:r w:rsidR="00537384" w:rsidRPr="00742A04">
        <w:rPr>
          <w:bCs/>
          <w:i/>
        </w:rPr>
        <w:t>iferencias de género</w:t>
      </w:r>
      <w:r w:rsidR="00545D1B" w:rsidRPr="00742A04">
        <w:rPr>
          <w:bCs/>
          <w:i/>
        </w:rPr>
        <w:t xml:space="preserve"> </w:t>
      </w:r>
      <w:r w:rsidR="00C14BFF" w:rsidRPr="00742A04">
        <w:rPr>
          <w:bCs/>
          <w:i/>
        </w:rPr>
        <w:t>en</w:t>
      </w:r>
      <w:r w:rsidR="00545D1B" w:rsidRPr="00742A04">
        <w:rPr>
          <w:bCs/>
          <w:i/>
        </w:rPr>
        <w:t xml:space="preserve"> </w:t>
      </w:r>
      <w:r w:rsidR="00AE4459" w:rsidRPr="00742A04">
        <w:rPr>
          <w:bCs/>
          <w:i/>
        </w:rPr>
        <w:t>lectura</w:t>
      </w:r>
    </w:p>
    <w:p w:rsidR="000A08D8" w:rsidRPr="00742A04" w:rsidRDefault="004A0730" w:rsidP="005347C0">
      <w:pPr>
        <w:pStyle w:val="SingleTxt"/>
        <w:ind w:firstLine="475"/>
        <w:rPr>
          <w:bCs/>
        </w:rPr>
      </w:pPr>
      <w:r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lectura</w:t>
      </w:r>
      <w:r w:rsidR="00545D1B" w:rsidRPr="00742A04">
        <w:rPr>
          <w:bCs/>
        </w:rPr>
        <w:t xml:space="preserve">, </w:t>
      </w:r>
      <w:r w:rsidR="00811D75" w:rsidRPr="00742A04">
        <w:rPr>
          <w:bCs/>
        </w:rPr>
        <w:t>las diferencias de género</w:t>
      </w:r>
      <w:r w:rsidR="00545D1B" w:rsidRPr="00742A04">
        <w:rPr>
          <w:bCs/>
        </w:rPr>
        <w:t xml:space="preserve"> </w:t>
      </w:r>
      <w:r w:rsidR="003D37DC" w:rsidRPr="00742A04">
        <w:rPr>
          <w:bCs/>
        </w:rPr>
        <w:t xml:space="preserve">favorecen </w:t>
      </w:r>
      <w:r w:rsidR="00032136" w:rsidRPr="00742A04">
        <w:rPr>
          <w:bCs/>
        </w:rPr>
        <w:t>claramente</w:t>
      </w:r>
      <w:r w:rsidR="00545D1B" w:rsidRPr="00742A04">
        <w:rPr>
          <w:bCs/>
        </w:rPr>
        <w:t xml:space="preserve"> </w:t>
      </w:r>
      <w:r w:rsidR="003D37DC" w:rsidRPr="00742A04">
        <w:rPr>
          <w:bCs/>
        </w:rPr>
        <w:t xml:space="preserve">a las </w:t>
      </w:r>
      <w:r w:rsidR="00272D31" w:rsidRPr="00742A04">
        <w:rPr>
          <w:bCs/>
        </w:rPr>
        <w:t>mujeres</w:t>
      </w:r>
      <w:r w:rsidR="00545D1B" w:rsidRPr="00742A04">
        <w:rPr>
          <w:bCs/>
        </w:rPr>
        <w:t xml:space="preserve">,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los varones noruegos</w:t>
      </w:r>
      <w:r w:rsidR="00545D1B" w:rsidRPr="00742A04">
        <w:rPr>
          <w:bCs/>
        </w:rPr>
        <w:t xml:space="preserve"> </w:t>
      </w:r>
      <w:r w:rsidR="003D37DC" w:rsidRPr="00742A04">
        <w:rPr>
          <w:bCs/>
        </w:rPr>
        <w:t xml:space="preserve">tuvieron en PISA 2003 un </w:t>
      </w:r>
      <w:r w:rsidR="00FD58FD" w:rsidRPr="00742A04">
        <w:rPr>
          <w:bCs/>
        </w:rPr>
        <w:t>rendimiento</w:t>
      </w:r>
      <w:r w:rsidR="003D37DC" w:rsidRPr="00742A04">
        <w:rPr>
          <w:bCs/>
        </w:rPr>
        <w:t xml:space="preserve"> inferior al que habían ten</w:t>
      </w:r>
      <w:r w:rsidR="003D37DC" w:rsidRPr="00742A04">
        <w:rPr>
          <w:bCs/>
        </w:rPr>
        <w:t>i</w:t>
      </w:r>
      <w:r w:rsidR="003D37DC" w:rsidRPr="00742A04">
        <w:rPr>
          <w:bCs/>
        </w:rPr>
        <w:t>do en PISA 2000</w:t>
      </w:r>
      <w:r w:rsidR="00545D1B" w:rsidRPr="00742A04">
        <w:rPr>
          <w:bCs/>
        </w:rPr>
        <w:t xml:space="preserve">. </w:t>
      </w:r>
      <w:r w:rsidR="003D37DC" w:rsidRPr="00742A04">
        <w:rPr>
          <w:bCs/>
        </w:rPr>
        <w:t>En la figura</w:t>
      </w:r>
      <w:r w:rsidR="00545D1B" w:rsidRPr="00742A04">
        <w:rPr>
          <w:bCs/>
        </w:rPr>
        <w:t xml:space="preserve"> 1 </w:t>
      </w:r>
      <w:r w:rsidR="003D37DC" w:rsidRPr="00742A04">
        <w:rPr>
          <w:bCs/>
        </w:rPr>
        <w:t>se muestra</w:t>
      </w:r>
      <w:r w:rsidR="00545D1B" w:rsidRPr="00742A04">
        <w:rPr>
          <w:bCs/>
        </w:rPr>
        <w:t xml:space="preserve"> </w:t>
      </w:r>
      <w:r w:rsidR="003D37DC" w:rsidRPr="00742A04">
        <w:rPr>
          <w:bCs/>
        </w:rPr>
        <w:t>la diferencia porcentual</w:t>
      </w:r>
      <w:r w:rsidR="00545D1B" w:rsidRPr="00742A04">
        <w:rPr>
          <w:bCs/>
        </w:rPr>
        <w:t xml:space="preserve"> </w:t>
      </w:r>
      <w:r w:rsidR="007D66F2" w:rsidRPr="00742A04">
        <w:rPr>
          <w:bCs/>
        </w:rPr>
        <w:t>entre</w:t>
      </w:r>
      <w:r w:rsidR="00545D1B" w:rsidRPr="00742A04">
        <w:rPr>
          <w:bCs/>
        </w:rPr>
        <w:t xml:space="preserve"> </w:t>
      </w:r>
      <w:r w:rsidR="002213CF" w:rsidRPr="00742A04">
        <w:rPr>
          <w:bCs/>
        </w:rPr>
        <w:t>los var</w:t>
      </w:r>
      <w:r w:rsidR="002213CF" w:rsidRPr="00742A04">
        <w:rPr>
          <w:bCs/>
        </w:rPr>
        <w:t>o</w:t>
      </w:r>
      <w:r w:rsidR="002213CF" w:rsidRPr="00742A04">
        <w:rPr>
          <w:bCs/>
        </w:rPr>
        <w:t>nes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="00545D1B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3D37DC" w:rsidRPr="00742A04">
        <w:rPr>
          <w:bCs/>
        </w:rPr>
        <w:t xml:space="preserve">los resultados de </w:t>
      </w:r>
      <w:r w:rsidR="00AE4459" w:rsidRPr="00742A04">
        <w:rPr>
          <w:bCs/>
        </w:rPr>
        <w:t>lectura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en los</w:t>
      </w:r>
      <w:r w:rsidR="00545D1B" w:rsidRPr="00742A04">
        <w:rPr>
          <w:bCs/>
        </w:rPr>
        <w:t xml:space="preserve"> </w:t>
      </w:r>
      <w:r w:rsidR="002E41F3" w:rsidRPr="00742A04">
        <w:rPr>
          <w:bCs/>
        </w:rPr>
        <w:t>tres</w:t>
      </w:r>
      <w:r w:rsidR="00545D1B" w:rsidRPr="00742A04">
        <w:rPr>
          <w:bCs/>
        </w:rPr>
        <w:t xml:space="preserve"> </w:t>
      </w:r>
      <w:r w:rsidR="00615664" w:rsidRPr="00742A04">
        <w:rPr>
          <w:bCs/>
        </w:rPr>
        <w:t>tipos</w:t>
      </w:r>
      <w:r w:rsidR="00545D1B" w:rsidRPr="00742A04">
        <w:rPr>
          <w:bCs/>
        </w:rPr>
        <w:t xml:space="preserve"> </w:t>
      </w:r>
      <w:r w:rsidRPr="00742A04">
        <w:rPr>
          <w:bCs/>
        </w:rPr>
        <w:t>de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lectura</w:t>
      </w:r>
      <w:r w:rsidR="00545D1B" w:rsidRPr="00742A04">
        <w:rPr>
          <w:bCs/>
        </w:rPr>
        <w:t xml:space="preserve"> investig</w:t>
      </w:r>
      <w:r w:rsidR="00545D1B" w:rsidRPr="00742A04">
        <w:rPr>
          <w:bCs/>
        </w:rPr>
        <w:t>a</w:t>
      </w:r>
      <w:r w:rsidR="009D1A12" w:rsidRPr="00742A04">
        <w:rPr>
          <w:bCs/>
        </w:rPr>
        <w:t>dos</w:t>
      </w:r>
      <w:r w:rsidR="00545D1B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PISA. </w:t>
      </w:r>
      <w:r w:rsidR="009D1A12" w:rsidRPr="00742A04">
        <w:rPr>
          <w:bCs/>
        </w:rPr>
        <w:t>Los resultados p</w:t>
      </w:r>
      <w:r w:rsidR="00545D1B" w:rsidRPr="00742A04">
        <w:rPr>
          <w:bCs/>
        </w:rPr>
        <w:t>ositiv</w:t>
      </w:r>
      <w:r w:rsidR="009D1A12" w:rsidRPr="00742A04">
        <w:rPr>
          <w:bCs/>
        </w:rPr>
        <w:t>os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indican mejores</w:t>
      </w:r>
      <w:r w:rsidR="00545D1B" w:rsidRPr="00742A04">
        <w:rPr>
          <w:bCs/>
        </w:rPr>
        <w:t xml:space="preserve"> </w:t>
      </w:r>
      <w:r w:rsidR="001C0F42" w:rsidRPr="00742A04">
        <w:rPr>
          <w:bCs/>
        </w:rPr>
        <w:t>puntaje</w:t>
      </w:r>
      <w:r w:rsidR="004F2F8A" w:rsidRPr="00742A04">
        <w:rPr>
          <w:bCs/>
        </w:rPr>
        <w:t>s</w:t>
      </w:r>
      <w:r w:rsidR="00545D1B" w:rsidRPr="00742A04">
        <w:rPr>
          <w:bCs/>
        </w:rPr>
        <w:t xml:space="preserve"> </w:t>
      </w:r>
      <w:r w:rsidR="00F43124" w:rsidRPr="00742A04">
        <w:rPr>
          <w:bCs/>
        </w:rPr>
        <w:t>para</w:t>
      </w:r>
      <w:r w:rsidR="00545D1B"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="00545D1B" w:rsidRPr="00742A04">
        <w:rPr>
          <w:bCs/>
        </w:rPr>
        <w:t xml:space="preserve">. </w:t>
      </w:r>
      <w:r w:rsidR="00537384" w:rsidRPr="00742A04">
        <w:rPr>
          <w:bCs/>
        </w:rPr>
        <w:t>En lo tocante a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encontrar</w:t>
      </w:r>
      <w:r w:rsidR="00545D1B" w:rsidRPr="00742A04">
        <w:rPr>
          <w:bCs/>
        </w:rPr>
        <w:t xml:space="preserve"> informa</w:t>
      </w:r>
      <w:r w:rsidR="00935A90" w:rsidRPr="00742A04">
        <w:rPr>
          <w:bCs/>
        </w:rPr>
        <w:t>ción,</w:t>
      </w:r>
      <w:r w:rsidR="00545D1B" w:rsidRPr="00742A04">
        <w:rPr>
          <w:bCs/>
        </w:rPr>
        <w:t xml:space="preserve"> </w:t>
      </w:r>
      <w:r w:rsidR="00811D75" w:rsidRPr="00742A04">
        <w:rPr>
          <w:bCs/>
        </w:rPr>
        <w:t>las diferencias de género</w:t>
      </w:r>
      <w:r w:rsidR="00545D1B" w:rsidRPr="00742A04">
        <w:rPr>
          <w:bCs/>
        </w:rPr>
        <w:t xml:space="preserve"> </w:t>
      </w:r>
      <w:r w:rsidR="006137EC" w:rsidRPr="00742A04">
        <w:rPr>
          <w:bCs/>
        </w:rPr>
        <w:t>son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leves</w:t>
      </w:r>
      <w:r w:rsidR="00545D1B" w:rsidRPr="00742A04">
        <w:rPr>
          <w:bCs/>
        </w:rPr>
        <w:t xml:space="preserve">, </w:t>
      </w:r>
      <w:r w:rsidR="007C3856" w:rsidRPr="00742A04">
        <w:rPr>
          <w:bCs/>
        </w:rPr>
        <w:t>especia</w:t>
      </w:r>
      <w:r w:rsidR="007C3856" w:rsidRPr="00742A04">
        <w:rPr>
          <w:bCs/>
        </w:rPr>
        <w:t>l</w:t>
      </w:r>
      <w:r w:rsidR="007C3856" w:rsidRPr="00742A04">
        <w:rPr>
          <w:bCs/>
        </w:rPr>
        <w:t>mente</w:t>
      </w:r>
      <w:r w:rsidR="00545D1B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EA26AB" w:rsidRPr="00742A04">
        <w:rPr>
          <w:bCs/>
        </w:rPr>
        <w:t>Dinamarca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7C65B3" w:rsidRPr="00742A04">
        <w:rPr>
          <w:bCs/>
        </w:rPr>
        <w:t>Suecia</w:t>
      </w:r>
      <w:r w:rsidR="00545D1B" w:rsidRPr="00742A04">
        <w:rPr>
          <w:bCs/>
        </w:rPr>
        <w:t xml:space="preserve">. </w:t>
      </w:r>
      <w:r w:rsidR="00C076F2" w:rsidRPr="00742A04">
        <w:rPr>
          <w:bCs/>
        </w:rPr>
        <w:t>Las diferencias</w:t>
      </w:r>
      <w:r w:rsidR="00545D1B" w:rsidRPr="00742A04">
        <w:rPr>
          <w:bCs/>
        </w:rPr>
        <w:t xml:space="preserve"> </w:t>
      </w:r>
      <w:r w:rsidR="006137EC" w:rsidRPr="00742A04">
        <w:rPr>
          <w:bCs/>
        </w:rPr>
        <w:t>son</w:t>
      </w:r>
      <w:r w:rsidR="00545D1B" w:rsidRPr="00742A04">
        <w:rPr>
          <w:bCs/>
        </w:rPr>
        <w:t xml:space="preserve"> </w:t>
      </w:r>
      <w:r w:rsidR="00982243" w:rsidRPr="00742A04">
        <w:rPr>
          <w:bCs/>
        </w:rPr>
        <w:t>mayor</w:t>
      </w:r>
      <w:r w:rsidR="009D1A12" w:rsidRPr="00742A04">
        <w:rPr>
          <w:bCs/>
        </w:rPr>
        <w:t>es</w:t>
      </w:r>
      <w:r w:rsidR="00545D1B" w:rsidRPr="00742A04">
        <w:rPr>
          <w:bCs/>
        </w:rPr>
        <w:t xml:space="preserve"> </w:t>
      </w:r>
      <w:r w:rsidRPr="00742A04">
        <w:rPr>
          <w:bCs/>
        </w:rPr>
        <w:t>con</w:t>
      </w:r>
      <w:r w:rsidR="00545D1B" w:rsidRPr="00742A04">
        <w:rPr>
          <w:bCs/>
        </w:rPr>
        <w:t xml:space="preserve"> respect</w:t>
      </w:r>
      <w:r w:rsidR="009D1A12" w:rsidRPr="00742A04">
        <w:rPr>
          <w:bCs/>
        </w:rPr>
        <w:t>o</w:t>
      </w:r>
      <w:r w:rsidR="00545D1B" w:rsidRPr="00742A04">
        <w:rPr>
          <w:bCs/>
        </w:rPr>
        <w:t xml:space="preserve"> </w:t>
      </w:r>
      <w:r w:rsidR="0030626A" w:rsidRPr="00742A04">
        <w:rPr>
          <w:bCs/>
        </w:rPr>
        <w:t>a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 xml:space="preserve">las </w:t>
      </w:r>
      <w:r w:rsidR="006672E0" w:rsidRPr="00742A04">
        <w:rPr>
          <w:bCs/>
        </w:rPr>
        <w:t>esf</w:t>
      </w:r>
      <w:r w:rsidR="006672E0" w:rsidRPr="00742A04">
        <w:rPr>
          <w:bCs/>
        </w:rPr>
        <w:t>e</w:t>
      </w:r>
      <w:r w:rsidR="006672E0" w:rsidRPr="00742A04">
        <w:rPr>
          <w:bCs/>
        </w:rPr>
        <w:t>ras</w:t>
      </w:r>
      <w:r w:rsidR="009D1A12" w:rsidRPr="00742A04">
        <w:rPr>
          <w:bCs/>
        </w:rPr>
        <w:t xml:space="preserve"> que</w:t>
      </w:r>
      <w:r w:rsidR="00545D1B" w:rsidRPr="00742A04">
        <w:rPr>
          <w:bCs/>
        </w:rPr>
        <w:t xml:space="preserve"> requi</w:t>
      </w:r>
      <w:r w:rsidR="009D1A12" w:rsidRPr="00742A04">
        <w:rPr>
          <w:bCs/>
        </w:rPr>
        <w:t>e</w:t>
      </w:r>
      <w:r w:rsidR="00545D1B" w:rsidRPr="00742A04">
        <w:rPr>
          <w:bCs/>
        </w:rPr>
        <w:t>re</w:t>
      </w:r>
      <w:r w:rsidR="009D1A12" w:rsidRPr="00742A04">
        <w:rPr>
          <w:bCs/>
        </w:rPr>
        <w:t>n</w:t>
      </w:r>
      <w:r w:rsidR="00545D1B" w:rsidRPr="00742A04">
        <w:rPr>
          <w:bCs/>
        </w:rPr>
        <w:t xml:space="preserve"> </w:t>
      </w:r>
      <w:r w:rsidR="00615664" w:rsidRPr="00742A04">
        <w:rPr>
          <w:bCs/>
        </w:rPr>
        <w:t>comprensión</w:t>
      </w:r>
      <w:r w:rsidR="002E5047" w:rsidRPr="00742A04">
        <w:rPr>
          <w:bCs/>
        </w:rPr>
        <w:t xml:space="preserve"> e i</w:t>
      </w:r>
      <w:r w:rsidR="00545D1B" w:rsidRPr="00742A04">
        <w:rPr>
          <w:bCs/>
        </w:rPr>
        <w:t>nterpreta</w:t>
      </w:r>
      <w:r w:rsidR="00935A90" w:rsidRPr="00742A04">
        <w:rPr>
          <w:bCs/>
        </w:rPr>
        <w:t>ción,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salvo</w:t>
      </w:r>
      <w:r w:rsidR="00545D1B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EA26AB" w:rsidRPr="00742A04">
        <w:rPr>
          <w:bCs/>
        </w:rPr>
        <w:t>Dinamarca</w:t>
      </w:r>
      <w:r w:rsidR="00545D1B" w:rsidRPr="00742A04">
        <w:rPr>
          <w:bCs/>
        </w:rPr>
        <w:t xml:space="preserve">. </w:t>
      </w:r>
      <w:r w:rsidR="00CB0483" w:rsidRPr="00742A04">
        <w:rPr>
          <w:bCs/>
        </w:rPr>
        <w:t>Sin embargo</w:t>
      </w:r>
      <w:r w:rsidR="00545D1B" w:rsidRPr="00742A04">
        <w:rPr>
          <w:bCs/>
        </w:rPr>
        <w:t xml:space="preserve">, </w:t>
      </w:r>
      <w:r w:rsidR="00C14BFF" w:rsidRPr="00742A04">
        <w:rPr>
          <w:bCs/>
        </w:rPr>
        <w:t>en</w:t>
      </w:r>
      <w:r w:rsidR="009D1A12" w:rsidRPr="00742A04">
        <w:rPr>
          <w:bCs/>
        </w:rPr>
        <w:t xml:space="preserve"> todos los </w:t>
      </w:r>
      <w:r w:rsidR="00ED4DF1" w:rsidRPr="00742A04">
        <w:rPr>
          <w:bCs/>
        </w:rPr>
        <w:t>países nórdicos</w:t>
      </w:r>
      <w:r w:rsidR="00545D1B"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="006929F3">
        <w:rPr>
          <w:bCs/>
        </w:rPr>
        <w:t xml:space="preserve"> tenían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mucho mejores aptitudes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 xml:space="preserve">de </w:t>
      </w:r>
      <w:r w:rsidR="00545D1B" w:rsidRPr="00742A04">
        <w:rPr>
          <w:bCs/>
        </w:rPr>
        <w:t>r</w:t>
      </w:r>
      <w:r w:rsidR="00545D1B" w:rsidRPr="00742A04">
        <w:rPr>
          <w:bCs/>
        </w:rPr>
        <w:t>e</w:t>
      </w:r>
      <w:r w:rsidR="00545D1B" w:rsidRPr="00742A04">
        <w:rPr>
          <w:bCs/>
        </w:rPr>
        <w:t>fle</w:t>
      </w:r>
      <w:r w:rsidR="009D1A12" w:rsidRPr="00742A04">
        <w:rPr>
          <w:bCs/>
        </w:rPr>
        <w:t>xión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evalua</w:t>
      </w:r>
      <w:r w:rsidR="009D1A12" w:rsidRPr="00742A04">
        <w:rPr>
          <w:bCs/>
        </w:rPr>
        <w:t>ción</w:t>
      </w:r>
      <w:r w:rsidR="00545D1B" w:rsidRPr="00742A04">
        <w:rPr>
          <w:bCs/>
        </w:rPr>
        <w:t xml:space="preserve"> </w:t>
      </w:r>
      <w:r w:rsidR="005C6D40" w:rsidRPr="00742A04">
        <w:rPr>
          <w:bCs/>
        </w:rPr>
        <w:t>que</w:t>
      </w:r>
      <w:r w:rsidR="00545D1B" w:rsidRPr="00742A04">
        <w:rPr>
          <w:bCs/>
        </w:rPr>
        <w:t xml:space="preserve"> </w:t>
      </w:r>
      <w:r w:rsidR="002213CF" w:rsidRPr="00742A04">
        <w:rPr>
          <w:bCs/>
        </w:rPr>
        <w:t>los varones</w:t>
      </w:r>
      <w:r w:rsidR="00545D1B" w:rsidRPr="00742A04">
        <w:rPr>
          <w:bCs/>
        </w:rPr>
        <w:t xml:space="preserve">. </w:t>
      </w:r>
      <w:r w:rsidR="004F2F8A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 xml:space="preserve">tuvieron en PISA un </w:t>
      </w:r>
      <w:r w:rsidR="00FD58FD" w:rsidRPr="00742A04">
        <w:rPr>
          <w:bCs/>
        </w:rPr>
        <w:t>rendimiento</w:t>
      </w:r>
      <w:r w:rsidR="00545D1B" w:rsidRPr="00742A04">
        <w:rPr>
          <w:bCs/>
        </w:rPr>
        <w:t xml:space="preserve"> </w:t>
      </w:r>
      <w:r w:rsidR="005D2D07" w:rsidRPr="00742A04">
        <w:rPr>
          <w:bCs/>
        </w:rPr>
        <w:t>significativamente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mejor</w:t>
      </w:r>
      <w:r w:rsidR="00545D1B" w:rsidRPr="00742A04">
        <w:rPr>
          <w:bCs/>
        </w:rPr>
        <w:t xml:space="preserve"> </w:t>
      </w:r>
      <w:r w:rsidR="005C6D40" w:rsidRPr="00742A04">
        <w:rPr>
          <w:bCs/>
        </w:rPr>
        <w:t>que</w:t>
      </w:r>
      <w:r w:rsidR="00545D1B" w:rsidRPr="00742A04">
        <w:rPr>
          <w:bCs/>
        </w:rPr>
        <w:t xml:space="preserve"> </w:t>
      </w:r>
      <w:r w:rsidR="00311327" w:rsidRPr="00742A04">
        <w:rPr>
          <w:bCs/>
        </w:rPr>
        <w:t>los</w:t>
      </w:r>
      <w:r w:rsidR="002213CF" w:rsidRPr="00742A04">
        <w:rPr>
          <w:bCs/>
        </w:rPr>
        <w:t xml:space="preserve"> varones</w:t>
      </w:r>
      <w:r w:rsidR="00545D1B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lectura</w:t>
      </w:r>
      <w:r w:rsidR="00545D1B" w:rsidRPr="00742A04">
        <w:rPr>
          <w:bCs/>
        </w:rPr>
        <w:t xml:space="preserve"> </w:t>
      </w:r>
      <w:r w:rsidR="003C25BF" w:rsidRPr="00742A04">
        <w:rPr>
          <w:bCs/>
        </w:rPr>
        <w:t>cuando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el texto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era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continuo</w:t>
      </w:r>
      <w:r w:rsidR="00545D1B" w:rsidRPr="00742A04">
        <w:rPr>
          <w:bCs/>
        </w:rPr>
        <w:t xml:space="preserve">, </w:t>
      </w:r>
      <w:r w:rsidR="00E77E20" w:rsidRPr="00742A04">
        <w:rPr>
          <w:bCs/>
        </w:rPr>
        <w:t>pero</w:t>
      </w:r>
      <w:r w:rsidR="009D1A12" w:rsidRPr="00742A04">
        <w:rPr>
          <w:bCs/>
        </w:rPr>
        <w:t xml:space="preserve"> </w:t>
      </w:r>
      <w:r w:rsidR="0030626A" w:rsidRPr="00742A04">
        <w:rPr>
          <w:bCs/>
        </w:rPr>
        <w:t>ta</w:t>
      </w:r>
      <w:r w:rsidR="0030626A" w:rsidRPr="00742A04">
        <w:rPr>
          <w:bCs/>
        </w:rPr>
        <w:t>m</w:t>
      </w:r>
      <w:r w:rsidR="0030626A" w:rsidRPr="00742A04">
        <w:rPr>
          <w:bCs/>
        </w:rPr>
        <w:t>bién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 xml:space="preserve">tuvieron </w:t>
      </w:r>
      <w:r w:rsidR="001C0F42" w:rsidRPr="00742A04">
        <w:rPr>
          <w:bCs/>
        </w:rPr>
        <w:t>puntaje</w:t>
      </w:r>
      <w:r w:rsidR="009D1A12" w:rsidRPr="00742A04">
        <w:rPr>
          <w:bCs/>
        </w:rPr>
        <w:t>s algo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mejores</w:t>
      </w:r>
      <w:r w:rsidR="00545D1B" w:rsidRPr="00742A04">
        <w:rPr>
          <w:bCs/>
        </w:rPr>
        <w:t xml:space="preserve"> </w:t>
      </w:r>
      <w:r w:rsidR="005C6D40" w:rsidRPr="00742A04">
        <w:rPr>
          <w:bCs/>
        </w:rPr>
        <w:t>que</w:t>
      </w:r>
      <w:r w:rsidR="00545D1B" w:rsidRPr="00742A04">
        <w:rPr>
          <w:bCs/>
        </w:rPr>
        <w:t xml:space="preserve"> </w:t>
      </w:r>
      <w:r w:rsidR="002213CF" w:rsidRPr="00742A04">
        <w:rPr>
          <w:bCs/>
        </w:rPr>
        <w:t xml:space="preserve">los </w:t>
      </w:r>
      <w:r w:rsidR="004A3F50" w:rsidRPr="00742A04">
        <w:rPr>
          <w:bCs/>
        </w:rPr>
        <w:t xml:space="preserve">varones </w:t>
      </w:r>
      <w:r w:rsidR="009D1A12" w:rsidRPr="00742A04">
        <w:rPr>
          <w:bCs/>
        </w:rPr>
        <w:t xml:space="preserve">en las </w:t>
      </w:r>
      <w:r w:rsidR="006672E0" w:rsidRPr="00742A04">
        <w:rPr>
          <w:bCs/>
        </w:rPr>
        <w:t>esferas</w:t>
      </w:r>
      <w:r w:rsidR="009D1A12" w:rsidRPr="00742A04">
        <w:rPr>
          <w:bCs/>
        </w:rPr>
        <w:t xml:space="preserve"> en que</w:t>
      </w:r>
      <w:r w:rsidR="00545D1B" w:rsidRPr="00742A04">
        <w:rPr>
          <w:bCs/>
        </w:rPr>
        <w:t xml:space="preserve"> </w:t>
      </w:r>
      <w:r w:rsidR="009D1A12" w:rsidRPr="00742A04">
        <w:rPr>
          <w:bCs/>
        </w:rPr>
        <w:t>el texto no era continuo</w:t>
      </w:r>
      <w:r w:rsidR="000A08D8" w:rsidRPr="00742A04">
        <w:rPr>
          <w:bCs/>
        </w:rPr>
        <w:t>.</w:t>
      </w:r>
    </w:p>
    <w:p w:rsidR="00545D1B" w:rsidRPr="00742A04" w:rsidRDefault="009D1A12" w:rsidP="005347C0">
      <w:pPr>
        <w:pStyle w:val="SingleTxt"/>
        <w:rPr>
          <w:bCs/>
          <w:i/>
        </w:rPr>
      </w:pPr>
      <w:r w:rsidRPr="00742A04">
        <w:rPr>
          <w:bCs/>
          <w:i/>
        </w:rPr>
        <w:t>D</w:t>
      </w:r>
      <w:r w:rsidR="00537384" w:rsidRPr="00742A04">
        <w:rPr>
          <w:bCs/>
          <w:i/>
        </w:rPr>
        <w:t>iferencias de género</w:t>
      </w:r>
      <w:r w:rsidR="00545D1B" w:rsidRPr="00742A04">
        <w:rPr>
          <w:bCs/>
          <w:i/>
        </w:rPr>
        <w:t xml:space="preserve"> </w:t>
      </w:r>
      <w:r w:rsidR="00C14BFF" w:rsidRPr="00742A04">
        <w:rPr>
          <w:bCs/>
          <w:i/>
        </w:rPr>
        <w:t>en</w:t>
      </w:r>
      <w:r w:rsidR="00545D1B" w:rsidRPr="00742A04">
        <w:rPr>
          <w:bCs/>
          <w:i/>
        </w:rPr>
        <w:t xml:space="preserve"> </w:t>
      </w:r>
      <w:r w:rsidR="00AE4459" w:rsidRPr="00742A04">
        <w:rPr>
          <w:bCs/>
          <w:i/>
        </w:rPr>
        <w:t>ciencias</w:t>
      </w:r>
      <w:r w:rsidR="00545D1B" w:rsidRPr="00742A04">
        <w:rPr>
          <w:bCs/>
          <w:i/>
        </w:rPr>
        <w:t xml:space="preserve"> </w:t>
      </w:r>
      <w:r w:rsidR="00877AA0" w:rsidRPr="00742A04">
        <w:rPr>
          <w:bCs/>
          <w:i/>
        </w:rPr>
        <w:t>y</w:t>
      </w:r>
      <w:r w:rsidR="00545D1B" w:rsidRPr="00742A04">
        <w:rPr>
          <w:bCs/>
          <w:i/>
        </w:rPr>
        <w:t xml:space="preserve"> </w:t>
      </w:r>
      <w:r w:rsidR="00AE4459" w:rsidRPr="00742A04">
        <w:rPr>
          <w:bCs/>
          <w:i/>
        </w:rPr>
        <w:t>matemática</w:t>
      </w:r>
    </w:p>
    <w:p w:rsidR="00545D1B" w:rsidRPr="00742A04" w:rsidRDefault="004A0730" w:rsidP="005347C0">
      <w:pPr>
        <w:pStyle w:val="SingleTxt"/>
        <w:ind w:firstLine="475"/>
        <w:rPr>
          <w:bCs/>
        </w:rPr>
      </w:pPr>
      <w:r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311327" w:rsidRPr="00742A04">
        <w:rPr>
          <w:bCs/>
        </w:rPr>
        <w:t>la encuesta</w:t>
      </w:r>
      <w:r w:rsidR="001C0F42" w:rsidRPr="00742A04">
        <w:rPr>
          <w:bCs/>
        </w:rPr>
        <w:t xml:space="preserve">  PISA</w:t>
      </w:r>
      <w:r w:rsidR="003057FC">
        <w:rPr>
          <w:bCs/>
        </w:rPr>
        <w:t xml:space="preserve"> </w:t>
      </w:r>
      <w:r w:rsidR="001C0F42" w:rsidRPr="00742A04">
        <w:rPr>
          <w:bCs/>
        </w:rPr>
        <w:t>2003</w:t>
      </w:r>
      <w:r w:rsidR="00545D1B" w:rsidRPr="00742A04">
        <w:rPr>
          <w:bCs/>
        </w:rPr>
        <w:t xml:space="preserve">, </w:t>
      </w:r>
      <w:r w:rsidR="001C0F42" w:rsidRPr="00742A04">
        <w:rPr>
          <w:bCs/>
        </w:rPr>
        <w:t>los jóvenes noruegos de 15 años</w:t>
      </w:r>
      <w:r w:rsidR="00545D1B" w:rsidRPr="00742A04">
        <w:rPr>
          <w:bCs/>
        </w:rPr>
        <w:t xml:space="preserve"> </w:t>
      </w:r>
      <w:r w:rsidR="001C0F42" w:rsidRPr="00742A04">
        <w:rPr>
          <w:bCs/>
        </w:rPr>
        <w:t>tuvieron en cie</w:t>
      </w:r>
      <w:r w:rsidR="001C0F42" w:rsidRPr="00742A04">
        <w:rPr>
          <w:bCs/>
        </w:rPr>
        <w:t>n</w:t>
      </w:r>
      <w:r w:rsidR="001C0F42" w:rsidRPr="00742A04">
        <w:rPr>
          <w:bCs/>
        </w:rPr>
        <w:t>cias, matemática y lectura puntajes inferiores</w:t>
      </w:r>
      <w:r w:rsidR="00545D1B" w:rsidRPr="00742A04">
        <w:rPr>
          <w:bCs/>
        </w:rPr>
        <w:t xml:space="preserve"> </w:t>
      </w:r>
      <w:r w:rsidR="001C0F42" w:rsidRPr="00742A04">
        <w:rPr>
          <w:bCs/>
        </w:rPr>
        <w:t>a los de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la anterior encuesta, de</w:t>
      </w:r>
      <w:r w:rsidR="001C0F42" w:rsidRPr="00742A04">
        <w:rPr>
          <w:bCs/>
        </w:rPr>
        <w:t>l año</w:t>
      </w:r>
      <w:r w:rsidR="00545D1B" w:rsidRPr="00742A04">
        <w:rPr>
          <w:bCs/>
        </w:rPr>
        <w:t xml:space="preserve"> 2000. </w:t>
      </w:r>
      <w:r w:rsidR="00021DB5" w:rsidRPr="00742A04">
        <w:rPr>
          <w:bCs/>
        </w:rPr>
        <w:t>Hay</w:t>
      </w:r>
      <w:r w:rsidR="00545D1B" w:rsidRPr="00742A04">
        <w:rPr>
          <w:bCs/>
        </w:rPr>
        <w:t xml:space="preserve"> </w:t>
      </w:r>
      <w:r w:rsidR="001C0F42" w:rsidRPr="00742A04">
        <w:rPr>
          <w:bCs/>
        </w:rPr>
        <w:t>pequeñas</w:t>
      </w:r>
      <w:r w:rsidR="00545D1B" w:rsidRPr="00742A04">
        <w:rPr>
          <w:bCs/>
        </w:rPr>
        <w:t xml:space="preserve"> </w:t>
      </w:r>
      <w:r w:rsidR="00537384" w:rsidRPr="00742A04">
        <w:rPr>
          <w:bCs/>
        </w:rPr>
        <w:t>diferencias de género</w:t>
      </w:r>
      <w:r w:rsidR="00545D1B" w:rsidRPr="00742A04">
        <w:rPr>
          <w:bCs/>
        </w:rPr>
        <w:t xml:space="preserve"> </w:t>
      </w:r>
      <w:r w:rsidR="007D66F2" w:rsidRPr="00742A04">
        <w:rPr>
          <w:bCs/>
        </w:rPr>
        <w:t>entre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los alumnos noruegos</w:t>
      </w:r>
      <w:r w:rsidR="00545D1B" w:rsidRPr="00742A04">
        <w:rPr>
          <w:bCs/>
        </w:rPr>
        <w:t xml:space="preserve"> </w:t>
      </w:r>
      <w:r w:rsidR="00031851" w:rsidRPr="00742A04">
        <w:rPr>
          <w:bCs/>
        </w:rPr>
        <w:t>tanto en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ciencias</w:t>
      </w:r>
      <w:r w:rsidR="00545D1B" w:rsidRPr="00742A04">
        <w:rPr>
          <w:bCs/>
        </w:rPr>
        <w:t xml:space="preserve"> </w:t>
      </w:r>
      <w:r w:rsidR="001C0F42" w:rsidRPr="00742A04">
        <w:rPr>
          <w:bCs/>
        </w:rPr>
        <w:t xml:space="preserve">como en </w:t>
      </w:r>
      <w:r w:rsidR="00AE4459" w:rsidRPr="00742A04">
        <w:rPr>
          <w:bCs/>
        </w:rPr>
        <w:t>matemática</w:t>
      </w:r>
      <w:r w:rsidR="00545D1B" w:rsidRPr="00742A04">
        <w:rPr>
          <w:bCs/>
        </w:rPr>
        <w:t xml:space="preserve">. </w:t>
      </w:r>
      <w:r w:rsidRPr="00742A04">
        <w:rPr>
          <w:bCs/>
        </w:rPr>
        <w:t>En</w:t>
      </w:r>
      <w:r w:rsidR="009D1A12" w:rsidRPr="00742A04">
        <w:rPr>
          <w:bCs/>
        </w:rPr>
        <w:t xml:space="preserve"> todos los </w:t>
      </w:r>
      <w:r w:rsidR="00ED4DF1" w:rsidRPr="00742A04">
        <w:rPr>
          <w:bCs/>
        </w:rPr>
        <w:t>países nórdicos</w:t>
      </w:r>
      <w:r w:rsidR="00545D1B" w:rsidRPr="00742A04">
        <w:rPr>
          <w:bCs/>
        </w:rPr>
        <w:t xml:space="preserve">, </w:t>
      </w:r>
      <w:r w:rsidR="002213CF" w:rsidRPr="00742A04">
        <w:rPr>
          <w:bCs/>
        </w:rPr>
        <w:t>los varones</w:t>
      </w:r>
      <w:r w:rsidR="00545D1B" w:rsidRPr="00742A04">
        <w:rPr>
          <w:bCs/>
        </w:rPr>
        <w:t xml:space="preserve"> </w:t>
      </w:r>
      <w:r w:rsidR="001C0F42" w:rsidRPr="00742A04">
        <w:rPr>
          <w:bCs/>
        </w:rPr>
        <w:t>tuvieron mejores puntajes</w:t>
      </w:r>
      <w:r w:rsidR="00545D1B" w:rsidRPr="00742A04">
        <w:rPr>
          <w:bCs/>
        </w:rPr>
        <w:t xml:space="preserve"> </w:t>
      </w:r>
      <w:r w:rsidR="005C6D40" w:rsidRPr="00742A04">
        <w:rPr>
          <w:bCs/>
        </w:rPr>
        <w:t>que</w:t>
      </w:r>
      <w:r w:rsidR="00545D1B"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="00545D1B"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AE4459" w:rsidRPr="00742A04">
        <w:rPr>
          <w:bCs/>
        </w:rPr>
        <w:t>matemática</w:t>
      </w:r>
      <w:r w:rsidR="00545D1B" w:rsidRPr="00742A04">
        <w:rPr>
          <w:bCs/>
        </w:rPr>
        <w:t xml:space="preserve">. </w:t>
      </w:r>
      <w:r w:rsidR="004D313C" w:rsidRPr="00742A04">
        <w:rPr>
          <w:bCs/>
        </w:rPr>
        <w:t>La excepción</w:t>
      </w:r>
      <w:r w:rsidR="00C14BFF" w:rsidRPr="00742A04">
        <w:rPr>
          <w:bCs/>
        </w:rPr>
        <w:t xml:space="preserve"> </w:t>
      </w:r>
      <w:r w:rsidR="00BB4DB1" w:rsidRPr="00742A04">
        <w:rPr>
          <w:bCs/>
        </w:rPr>
        <w:t>es</w:t>
      </w:r>
      <w:r w:rsidR="00545D1B" w:rsidRPr="00742A04">
        <w:rPr>
          <w:bCs/>
        </w:rPr>
        <w:t xml:space="preserve"> </w:t>
      </w:r>
      <w:r w:rsidR="001C0F42" w:rsidRPr="00742A04">
        <w:rPr>
          <w:bCs/>
        </w:rPr>
        <w:t>Islandia</w:t>
      </w:r>
      <w:r w:rsidR="00545D1B" w:rsidRPr="00742A04">
        <w:rPr>
          <w:bCs/>
        </w:rPr>
        <w:t xml:space="preserve">, </w:t>
      </w:r>
      <w:r w:rsidR="001C0F42" w:rsidRPr="00742A04">
        <w:rPr>
          <w:bCs/>
        </w:rPr>
        <w:t>donde</w:t>
      </w:r>
      <w:r w:rsidR="00545D1B"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="00545D1B" w:rsidRPr="00742A04">
        <w:rPr>
          <w:bCs/>
        </w:rPr>
        <w:t xml:space="preserve"> </w:t>
      </w:r>
      <w:r w:rsidR="001C0F42" w:rsidRPr="00742A04">
        <w:rPr>
          <w:bCs/>
        </w:rPr>
        <w:t>tuvieron puntajes muy superiores a los de</w:t>
      </w:r>
      <w:r w:rsidR="00545D1B" w:rsidRPr="00742A04">
        <w:rPr>
          <w:bCs/>
        </w:rPr>
        <w:t xml:space="preserve"> </w:t>
      </w:r>
      <w:r w:rsidR="002213CF" w:rsidRPr="00742A04">
        <w:rPr>
          <w:bCs/>
        </w:rPr>
        <w:t>los varones</w:t>
      </w:r>
      <w:r w:rsidR="00545D1B" w:rsidRPr="00742A04">
        <w:rPr>
          <w:bCs/>
        </w:rPr>
        <w:t xml:space="preserve">. </w:t>
      </w:r>
      <w:r w:rsidRPr="00742A04">
        <w:rPr>
          <w:bCs/>
        </w:rPr>
        <w:t>En</w:t>
      </w:r>
      <w:r w:rsidR="00545D1B" w:rsidRPr="00742A04">
        <w:rPr>
          <w:bCs/>
        </w:rPr>
        <w:t xml:space="preserve"> </w:t>
      </w:r>
      <w:r w:rsidR="00EA26AB" w:rsidRPr="00742A04">
        <w:rPr>
          <w:bCs/>
        </w:rPr>
        <w:t>Dinamarca</w:t>
      </w:r>
      <w:r w:rsidR="00545D1B" w:rsidRPr="00742A04">
        <w:rPr>
          <w:bCs/>
        </w:rPr>
        <w:t xml:space="preserve"> </w:t>
      </w:r>
      <w:r w:rsidR="0028385C" w:rsidRPr="00742A04">
        <w:rPr>
          <w:bCs/>
        </w:rPr>
        <w:t>h</w:t>
      </w:r>
      <w:r w:rsidR="001C0F42" w:rsidRPr="00742A04">
        <w:rPr>
          <w:bCs/>
        </w:rPr>
        <w:t>ubo</w:t>
      </w:r>
      <w:r w:rsidR="00545D1B" w:rsidRPr="00742A04">
        <w:rPr>
          <w:bCs/>
        </w:rPr>
        <w:t xml:space="preserve"> </w:t>
      </w:r>
      <w:r w:rsidR="00537384" w:rsidRPr="00742A04">
        <w:rPr>
          <w:bCs/>
        </w:rPr>
        <w:t>diferencias de género</w:t>
      </w:r>
      <w:r w:rsidR="00545D1B" w:rsidRPr="00742A04">
        <w:rPr>
          <w:bCs/>
        </w:rPr>
        <w:t xml:space="preserve"> </w:t>
      </w:r>
      <w:r w:rsidR="001C0F42" w:rsidRPr="00742A04">
        <w:rPr>
          <w:bCs/>
        </w:rPr>
        <w:t>relativamente significativas en</w:t>
      </w:r>
      <w:r w:rsidR="00130F7F" w:rsidRPr="00742A04">
        <w:rPr>
          <w:bCs/>
        </w:rPr>
        <w:t xml:space="preserve"> favor</w:t>
      </w:r>
      <w:r w:rsidR="00545D1B" w:rsidRPr="00742A04">
        <w:rPr>
          <w:bCs/>
        </w:rPr>
        <w:t xml:space="preserve"> </w:t>
      </w:r>
      <w:r w:rsidR="00C076F2" w:rsidRPr="00742A04">
        <w:rPr>
          <w:bCs/>
        </w:rPr>
        <w:t xml:space="preserve">de los </w:t>
      </w:r>
      <w:r w:rsidR="002213CF" w:rsidRPr="00742A04">
        <w:rPr>
          <w:bCs/>
        </w:rPr>
        <w:t>v</w:t>
      </w:r>
      <w:r w:rsidR="002213CF" w:rsidRPr="00742A04">
        <w:rPr>
          <w:bCs/>
        </w:rPr>
        <w:t>a</w:t>
      </w:r>
      <w:r w:rsidR="002213CF" w:rsidRPr="00742A04">
        <w:rPr>
          <w:bCs/>
        </w:rPr>
        <w:t>rones</w:t>
      </w:r>
      <w:r w:rsidR="00545D1B" w:rsidRPr="00742A04">
        <w:rPr>
          <w:bCs/>
        </w:rPr>
        <w:t>.</w:t>
      </w:r>
    </w:p>
    <w:p w:rsidR="00545D1B" w:rsidRPr="00742A04" w:rsidRDefault="009D1A12" w:rsidP="001C0F42">
      <w:pPr>
        <w:pStyle w:val="SingleTxt"/>
        <w:keepNext/>
        <w:jc w:val="left"/>
        <w:rPr>
          <w:bCs/>
          <w:i/>
        </w:rPr>
      </w:pPr>
      <w:r w:rsidRPr="00742A04">
        <w:rPr>
          <w:bCs/>
          <w:i/>
        </w:rPr>
        <w:t>D</w:t>
      </w:r>
      <w:r w:rsidR="00537384" w:rsidRPr="00742A04">
        <w:rPr>
          <w:bCs/>
          <w:i/>
        </w:rPr>
        <w:t>iferencias de género</w:t>
      </w:r>
      <w:r w:rsidR="00545D1B" w:rsidRPr="00742A04">
        <w:rPr>
          <w:bCs/>
          <w:i/>
        </w:rPr>
        <w:t xml:space="preserve"> </w:t>
      </w:r>
      <w:r w:rsidR="00C14BFF" w:rsidRPr="00742A04">
        <w:rPr>
          <w:bCs/>
          <w:i/>
        </w:rPr>
        <w:t>en</w:t>
      </w:r>
      <w:r w:rsidR="00545D1B" w:rsidRPr="00742A04">
        <w:rPr>
          <w:bCs/>
          <w:i/>
        </w:rPr>
        <w:t xml:space="preserve"> </w:t>
      </w:r>
      <w:r w:rsidR="009815FF" w:rsidRPr="00742A04">
        <w:rPr>
          <w:bCs/>
          <w:i/>
        </w:rPr>
        <w:t>interés</w:t>
      </w:r>
      <w:r w:rsidR="00545D1B" w:rsidRPr="00742A04">
        <w:rPr>
          <w:bCs/>
          <w:i/>
        </w:rPr>
        <w:t>, motiva</w:t>
      </w:r>
      <w:r w:rsidR="00C14BFF" w:rsidRPr="00742A04">
        <w:rPr>
          <w:bCs/>
          <w:i/>
        </w:rPr>
        <w:t xml:space="preserve">ción </w:t>
      </w:r>
      <w:r w:rsidR="00877AA0" w:rsidRPr="00742A04">
        <w:rPr>
          <w:bCs/>
          <w:i/>
        </w:rPr>
        <w:t>y</w:t>
      </w:r>
      <w:r w:rsidR="00545D1B" w:rsidRPr="00742A04">
        <w:rPr>
          <w:bCs/>
          <w:i/>
        </w:rPr>
        <w:t xml:space="preserve"> </w:t>
      </w:r>
      <w:r w:rsidRPr="00742A04">
        <w:rPr>
          <w:bCs/>
          <w:i/>
        </w:rPr>
        <w:t>auto</w:t>
      </w:r>
      <w:r w:rsidR="00545D1B" w:rsidRPr="00742A04">
        <w:rPr>
          <w:bCs/>
          <w:i/>
        </w:rPr>
        <w:t>percep</w:t>
      </w:r>
      <w:r w:rsidRPr="00742A04">
        <w:rPr>
          <w:bCs/>
          <w:i/>
        </w:rPr>
        <w:t>ción</w:t>
      </w:r>
      <w:r w:rsidRPr="00742A04">
        <w:rPr>
          <w:bCs/>
          <w:i/>
        </w:rPr>
        <w:br/>
        <w:t>respecto de</w:t>
      </w:r>
      <w:r w:rsidR="00545D1B" w:rsidRPr="00742A04">
        <w:rPr>
          <w:bCs/>
          <w:i/>
        </w:rPr>
        <w:t xml:space="preserve"> </w:t>
      </w:r>
      <w:r w:rsidR="00AE4459" w:rsidRPr="00742A04">
        <w:rPr>
          <w:bCs/>
          <w:i/>
        </w:rPr>
        <w:t>lectura</w:t>
      </w:r>
      <w:r w:rsidR="00545D1B" w:rsidRPr="00742A04">
        <w:rPr>
          <w:bCs/>
          <w:i/>
        </w:rPr>
        <w:t xml:space="preserve"> </w:t>
      </w:r>
      <w:r w:rsidR="00877AA0" w:rsidRPr="00742A04">
        <w:rPr>
          <w:bCs/>
          <w:i/>
        </w:rPr>
        <w:t>y</w:t>
      </w:r>
      <w:r w:rsidR="00545D1B" w:rsidRPr="00742A04">
        <w:rPr>
          <w:bCs/>
          <w:i/>
        </w:rPr>
        <w:t xml:space="preserve"> </w:t>
      </w:r>
      <w:r w:rsidR="00AE4459" w:rsidRPr="00742A04">
        <w:rPr>
          <w:bCs/>
          <w:i/>
        </w:rPr>
        <w:t>matemática</w:t>
      </w:r>
    </w:p>
    <w:p w:rsidR="00545D1B" w:rsidRPr="00742A04" w:rsidRDefault="00545D1B" w:rsidP="005347C0">
      <w:pPr>
        <w:pStyle w:val="SingleTxt"/>
        <w:ind w:firstLine="475"/>
      </w:pPr>
      <w:r w:rsidRPr="00742A04">
        <w:rPr>
          <w:bCs/>
        </w:rPr>
        <w:t xml:space="preserve">PISA 2000, </w:t>
      </w:r>
      <w:r w:rsidR="00E575DB" w:rsidRPr="00742A04">
        <w:rPr>
          <w:bCs/>
        </w:rPr>
        <w:t>que</w:t>
      </w:r>
      <w:r w:rsidRPr="00742A04">
        <w:rPr>
          <w:bCs/>
        </w:rPr>
        <w:t xml:space="preserve"> </w:t>
      </w:r>
      <w:r w:rsidR="00024DBC" w:rsidRPr="00742A04">
        <w:rPr>
          <w:bCs/>
        </w:rPr>
        <w:t>estuvo centrada</w:t>
      </w:r>
      <w:r w:rsidRPr="00742A04">
        <w:rPr>
          <w:bCs/>
        </w:rPr>
        <w:t xml:space="preserve"> </w:t>
      </w:r>
      <w:r w:rsidR="001C0F42" w:rsidRPr="00742A04">
        <w:rPr>
          <w:bCs/>
        </w:rPr>
        <w:t xml:space="preserve">en mucho </w:t>
      </w:r>
      <w:r w:rsidR="00BA5ABE" w:rsidRPr="00742A04">
        <w:rPr>
          <w:bCs/>
        </w:rPr>
        <w:t>m</w:t>
      </w:r>
      <w:r w:rsidR="001C0F42" w:rsidRPr="00742A04">
        <w:rPr>
          <w:bCs/>
        </w:rPr>
        <w:t>ayor grado en la</w:t>
      </w:r>
      <w:r w:rsidRPr="00742A04">
        <w:rPr>
          <w:bCs/>
        </w:rPr>
        <w:t xml:space="preserve"> </w:t>
      </w:r>
      <w:r w:rsidR="00AE4459" w:rsidRPr="00742A04">
        <w:rPr>
          <w:bCs/>
        </w:rPr>
        <w:t>lectura</w:t>
      </w:r>
      <w:r w:rsidRPr="00742A04">
        <w:rPr>
          <w:bCs/>
        </w:rPr>
        <w:t xml:space="preserve">, </w:t>
      </w:r>
      <w:r w:rsidR="0028385C" w:rsidRPr="00742A04">
        <w:rPr>
          <w:bCs/>
        </w:rPr>
        <w:t>demostró</w:t>
      </w:r>
      <w:r w:rsidR="00E575DB" w:rsidRPr="00742A04">
        <w:rPr>
          <w:bCs/>
        </w:rPr>
        <w:t xml:space="preserve"> que</w:t>
      </w:r>
      <w:r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Pr="00742A04">
        <w:rPr>
          <w:bCs/>
        </w:rPr>
        <w:t xml:space="preserve"> </w:t>
      </w:r>
      <w:r w:rsidR="001C0F42" w:rsidRPr="00742A04">
        <w:rPr>
          <w:bCs/>
        </w:rPr>
        <w:t>están</w:t>
      </w:r>
      <w:r w:rsidRPr="00742A04">
        <w:rPr>
          <w:bCs/>
        </w:rPr>
        <w:t xml:space="preserve"> motiva</w:t>
      </w:r>
      <w:r w:rsidR="001C0F42" w:rsidRPr="00742A04">
        <w:rPr>
          <w:bCs/>
        </w:rPr>
        <w:t>das para leer</w:t>
      </w:r>
      <w:r w:rsidRPr="00742A04">
        <w:rPr>
          <w:bCs/>
        </w:rPr>
        <w:t xml:space="preserve"> </w:t>
      </w:r>
      <w:r w:rsidR="00024DBC" w:rsidRPr="00742A04">
        <w:rPr>
          <w:bCs/>
        </w:rPr>
        <w:t>y que</w:t>
      </w:r>
      <w:r w:rsidRPr="00742A04">
        <w:rPr>
          <w:bCs/>
        </w:rPr>
        <w:t xml:space="preserve"> </w:t>
      </w:r>
      <w:r w:rsidR="001C0F42" w:rsidRPr="00742A04">
        <w:rPr>
          <w:bCs/>
        </w:rPr>
        <w:t xml:space="preserve">leen </w:t>
      </w:r>
      <w:r w:rsidR="00BA5ABE" w:rsidRPr="00742A04">
        <w:rPr>
          <w:bCs/>
        </w:rPr>
        <w:t>más</w:t>
      </w:r>
      <w:r w:rsidRPr="00742A04">
        <w:rPr>
          <w:bCs/>
        </w:rPr>
        <w:t xml:space="preserve"> </w:t>
      </w:r>
      <w:r w:rsidR="005C6D40" w:rsidRPr="00742A04">
        <w:rPr>
          <w:bCs/>
        </w:rPr>
        <w:t>que</w:t>
      </w:r>
      <w:r w:rsidRPr="00742A04">
        <w:rPr>
          <w:bCs/>
        </w:rPr>
        <w:t xml:space="preserve"> </w:t>
      </w:r>
      <w:r w:rsidR="002213CF" w:rsidRPr="00742A04">
        <w:rPr>
          <w:bCs/>
        </w:rPr>
        <w:t>los varones</w:t>
      </w:r>
      <w:r w:rsidRPr="00742A04">
        <w:rPr>
          <w:bCs/>
        </w:rPr>
        <w:t xml:space="preserve">. </w:t>
      </w:r>
      <w:r w:rsidR="00CB0483" w:rsidRPr="00742A04">
        <w:rPr>
          <w:bCs/>
        </w:rPr>
        <w:t>Sin e</w:t>
      </w:r>
      <w:r w:rsidR="00CB0483" w:rsidRPr="00742A04">
        <w:rPr>
          <w:bCs/>
        </w:rPr>
        <w:t>m</w:t>
      </w:r>
      <w:r w:rsidR="00CB0483" w:rsidRPr="00742A04">
        <w:rPr>
          <w:bCs/>
        </w:rPr>
        <w:t>bargo</w:t>
      </w:r>
      <w:r w:rsidRPr="00742A04">
        <w:rPr>
          <w:bCs/>
        </w:rPr>
        <w:t xml:space="preserve">, </w:t>
      </w:r>
      <w:r w:rsidR="002213CF" w:rsidRPr="00742A04">
        <w:rPr>
          <w:bCs/>
        </w:rPr>
        <w:t>los varones</w:t>
      </w:r>
      <w:r w:rsidRPr="00742A04">
        <w:rPr>
          <w:bCs/>
        </w:rPr>
        <w:t xml:space="preserve"> </w:t>
      </w:r>
      <w:r w:rsidR="001C0F42" w:rsidRPr="00742A04">
        <w:rPr>
          <w:bCs/>
        </w:rPr>
        <w:t>leen</w:t>
      </w:r>
      <w:r w:rsidRPr="00742A04">
        <w:rPr>
          <w:bCs/>
        </w:rPr>
        <w:t xml:space="preserve"> </w:t>
      </w:r>
      <w:r w:rsidR="00BA5ABE" w:rsidRPr="00742A04">
        <w:rPr>
          <w:bCs/>
        </w:rPr>
        <w:t>más</w:t>
      </w:r>
      <w:r w:rsidRPr="00742A04">
        <w:rPr>
          <w:bCs/>
        </w:rPr>
        <w:t xml:space="preserve"> </w:t>
      </w:r>
      <w:r w:rsidR="001C0F42" w:rsidRPr="00742A04">
        <w:rPr>
          <w:bCs/>
        </w:rPr>
        <w:t>diarios</w:t>
      </w:r>
      <w:r w:rsidRPr="00742A04">
        <w:rPr>
          <w:bCs/>
        </w:rPr>
        <w:t xml:space="preserve">, </w:t>
      </w:r>
      <w:r w:rsidR="000A5430" w:rsidRPr="00742A04">
        <w:rPr>
          <w:bCs/>
        </w:rPr>
        <w:t>correo</w:t>
      </w:r>
      <w:r w:rsidR="001C0F42" w:rsidRPr="00742A04">
        <w:rPr>
          <w:bCs/>
        </w:rPr>
        <w:t>s</w:t>
      </w:r>
      <w:r w:rsidR="000A5430" w:rsidRPr="00742A04">
        <w:rPr>
          <w:bCs/>
        </w:rPr>
        <w:t xml:space="preserve"> electrónico</w:t>
      </w:r>
      <w:r w:rsidRPr="00742A04">
        <w:rPr>
          <w:bCs/>
        </w:rPr>
        <w:t xml:space="preserve">s, </w:t>
      </w:r>
      <w:r w:rsidR="001C0F42" w:rsidRPr="00742A04">
        <w:rPr>
          <w:bCs/>
        </w:rPr>
        <w:t xml:space="preserve">páginas de </w:t>
      </w:r>
      <w:r w:rsidRPr="00742A04">
        <w:rPr>
          <w:bCs/>
        </w:rPr>
        <w:t xml:space="preserve">Internet </w:t>
      </w:r>
      <w:r w:rsidR="001C0F42" w:rsidRPr="00742A04">
        <w:rPr>
          <w:bCs/>
        </w:rPr>
        <w:t>e hi</w:t>
      </w:r>
      <w:r w:rsidR="001C0F42" w:rsidRPr="00742A04">
        <w:rPr>
          <w:bCs/>
        </w:rPr>
        <w:t>s</w:t>
      </w:r>
      <w:r w:rsidR="001C0F42" w:rsidRPr="00742A04">
        <w:rPr>
          <w:bCs/>
        </w:rPr>
        <w:t>torietas</w:t>
      </w:r>
      <w:r w:rsidRPr="00742A04">
        <w:rPr>
          <w:bCs/>
        </w:rPr>
        <w:t xml:space="preserve"> </w:t>
      </w:r>
      <w:r w:rsidR="005C6D40" w:rsidRPr="00742A04">
        <w:rPr>
          <w:bCs/>
        </w:rPr>
        <w:t>que</w:t>
      </w:r>
      <w:r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Pr="00742A04">
        <w:rPr>
          <w:bCs/>
        </w:rPr>
        <w:t xml:space="preserve">. </w:t>
      </w:r>
      <w:r w:rsidR="001C0F42" w:rsidRPr="00742A04">
        <w:rPr>
          <w:bCs/>
        </w:rPr>
        <w:t>L</w:t>
      </w:r>
      <w:r w:rsidR="00031851" w:rsidRPr="00742A04">
        <w:rPr>
          <w:bCs/>
        </w:rPr>
        <w:t>os varones noruegos</w:t>
      </w:r>
      <w:r w:rsidRPr="00742A04">
        <w:rPr>
          <w:bCs/>
        </w:rPr>
        <w:t xml:space="preserve"> </w:t>
      </w:r>
      <w:r w:rsidR="001C0F42" w:rsidRPr="00742A04">
        <w:rPr>
          <w:bCs/>
        </w:rPr>
        <w:t>tienen un</w:t>
      </w:r>
      <w:r w:rsidRPr="00742A04">
        <w:rPr>
          <w:bCs/>
        </w:rPr>
        <w:t xml:space="preserve"> </w:t>
      </w:r>
      <w:r w:rsidR="001C0F42" w:rsidRPr="00742A04">
        <w:rPr>
          <w:bCs/>
        </w:rPr>
        <w:t>grado de interés en mat</w:t>
      </w:r>
      <w:r w:rsidR="001C0F42" w:rsidRPr="00742A04">
        <w:rPr>
          <w:bCs/>
        </w:rPr>
        <w:t>e</w:t>
      </w:r>
      <w:r w:rsidR="001C0F42" w:rsidRPr="00742A04">
        <w:rPr>
          <w:bCs/>
        </w:rPr>
        <w:t xml:space="preserve">mática </w:t>
      </w:r>
      <w:r w:rsidRPr="00742A04">
        <w:rPr>
          <w:bCs/>
        </w:rPr>
        <w:t>consider</w:t>
      </w:r>
      <w:r w:rsidR="00982243" w:rsidRPr="00742A04">
        <w:rPr>
          <w:bCs/>
        </w:rPr>
        <w:t xml:space="preserve">ablemente mayor </w:t>
      </w:r>
      <w:r w:rsidR="005C6D40" w:rsidRPr="00742A04">
        <w:rPr>
          <w:bCs/>
        </w:rPr>
        <w:t>que</w:t>
      </w:r>
      <w:r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Pr="00742A04">
        <w:rPr>
          <w:bCs/>
        </w:rPr>
        <w:t xml:space="preserve">. </w:t>
      </w:r>
      <w:r w:rsidR="005C6D40" w:rsidRPr="00742A04">
        <w:rPr>
          <w:bCs/>
        </w:rPr>
        <w:t>Los varones</w:t>
      </w:r>
      <w:r w:rsidRPr="00742A04">
        <w:rPr>
          <w:bCs/>
        </w:rPr>
        <w:t xml:space="preserve"> </w:t>
      </w:r>
      <w:r w:rsidR="001C0F42" w:rsidRPr="00742A04">
        <w:rPr>
          <w:bCs/>
        </w:rPr>
        <w:t>están</w:t>
      </w:r>
      <w:r w:rsidRPr="00742A04">
        <w:rPr>
          <w:bCs/>
        </w:rPr>
        <w:t xml:space="preserve"> motiva</w:t>
      </w:r>
      <w:r w:rsidR="001C0F42" w:rsidRPr="00742A04">
        <w:rPr>
          <w:bCs/>
        </w:rPr>
        <w:t>dos</w:t>
      </w:r>
      <w:r w:rsidRPr="00742A04">
        <w:rPr>
          <w:bCs/>
        </w:rPr>
        <w:t xml:space="preserve"> </w:t>
      </w:r>
      <w:r w:rsidR="001167D2" w:rsidRPr="00742A04">
        <w:rPr>
          <w:bCs/>
        </w:rPr>
        <w:t>por</w:t>
      </w:r>
      <w:r w:rsidRPr="00742A04">
        <w:rPr>
          <w:bCs/>
        </w:rPr>
        <w:t xml:space="preserve"> </w:t>
      </w:r>
      <w:r w:rsidR="001C0F42" w:rsidRPr="00742A04">
        <w:rPr>
          <w:bCs/>
        </w:rPr>
        <w:t xml:space="preserve">la </w:t>
      </w:r>
      <w:r w:rsidRPr="00742A04">
        <w:rPr>
          <w:bCs/>
        </w:rPr>
        <w:t>compet</w:t>
      </w:r>
      <w:r w:rsidR="001C0F42" w:rsidRPr="00742A04">
        <w:rPr>
          <w:bCs/>
        </w:rPr>
        <w:t>encia</w:t>
      </w:r>
      <w:r w:rsidR="00C14BFF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Pr="00742A04">
        <w:rPr>
          <w:bCs/>
        </w:rPr>
        <w:t xml:space="preserve"> </w:t>
      </w:r>
      <w:r w:rsidR="001C0F42" w:rsidRPr="00742A04">
        <w:rPr>
          <w:bCs/>
        </w:rPr>
        <w:t>por los</w:t>
      </w:r>
      <w:r w:rsidRPr="00742A04">
        <w:rPr>
          <w:bCs/>
        </w:rPr>
        <w:t xml:space="preserve"> </w:t>
      </w:r>
      <w:r w:rsidR="00544B38" w:rsidRPr="00742A04">
        <w:rPr>
          <w:bCs/>
        </w:rPr>
        <w:t>aspectos</w:t>
      </w:r>
      <w:r w:rsidRPr="00742A04">
        <w:rPr>
          <w:bCs/>
        </w:rPr>
        <w:t xml:space="preserve"> </w:t>
      </w:r>
      <w:r w:rsidR="001C0F42" w:rsidRPr="00742A04">
        <w:rPr>
          <w:bCs/>
        </w:rPr>
        <w:t xml:space="preserve">instrumentales </w:t>
      </w:r>
      <w:r w:rsidR="004A0730" w:rsidRPr="00742A04">
        <w:rPr>
          <w:bCs/>
        </w:rPr>
        <w:t>de</w:t>
      </w:r>
      <w:r w:rsidRPr="00742A04">
        <w:rPr>
          <w:bCs/>
        </w:rPr>
        <w:t xml:space="preserve"> </w:t>
      </w:r>
      <w:r w:rsidR="001C0F42" w:rsidRPr="00742A04">
        <w:rPr>
          <w:bCs/>
        </w:rPr>
        <w:t>la asignatura</w:t>
      </w:r>
      <w:r w:rsidRPr="00742A04">
        <w:rPr>
          <w:bCs/>
        </w:rPr>
        <w:t xml:space="preserve">.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Pr="00742A04">
        <w:rPr>
          <w:bCs/>
        </w:rPr>
        <w:t xml:space="preserve"> </w:t>
      </w:r>
      <w:r w:rsidR="001C0F42" w:rsidRPr="00742A04">
        <w:rPr>
          <w:bCs/>
        </w:rPr>
        <w:t>e</w:t>
      </w:r>
      <w:r w:rsidR="001C0F42" w:rsidRPr="00742A04">
        <w:rPr>
          <w:bCs/>
        </w:rPr>
        <w:t>s</w:t>
      </w:r>
      <w:r w:rsidR="001C0F42" w:rsidRPr="00742A04">
        <w:rPr>
          <w:bCs/>
        </w:rPr>
        <w:t xml:space="preserve">tán </w:t>
      </w:r>
      <w:r w:rsidRPr="00742A04">
        <w:rPr>
          <w:bCs/>
        </w:rPr>
        <w:t>motiva</w:t>
      </w:r>
      <w:r w:rsidR="006672E0">
        <w:rPr>
          <w:bCs/>
        </w:rPr>
        <w:t>das</w:t>
      </w:r>
      <w:r w:rsidRPr="00742A04">
        <w:rPr>
          <w:bCs/>
        </w:rPr>
        <w:t xml:space="preserve"> </w:t>
      </w:r>
      <w:r w:rsidR="001167D2" w:rsidRPr="00742A04">
        <w:rPr>
          <w:bCs/>
        </w:rPr>
        <w:t>p</w:t>
      </w:r>
      <w:r w:rsidR="001C0F42" w:rsidRPr="00742A04">
        <w:rPr>
          <w:bCs/>
        </w:rPr>
        <w:t>ara aprender mediante la</w:t>
      </w:r>
      <w:r w:rsidRPr="00742A04">
        <w:rPr>
          <w:bCs/>
        </w:rPr>
        <w:t xml:space="preserve"> coopera</w:t>
      </w:r>
      <w:r w:rsidR="00C27C42" w:rsidRPr="00742A04">
        <w:rPr>
          <w:bCs/>
        </w:rPr>
        <w:t>ci</w:t>
      </w:r>
      <w:r w:rsidR="00C14BFF" w:rsidRPr="00742A04">
        <w:rPr>
          <w:bCs/>
        </w:rPr>
        <w:t>ón</w:t>
      </w:r>
      <w:r w:rsidR="00C27C42" w:rsidRPr="00742A04">
        <w:rPr>
          <w:bCs/>
        </w:rPr>
        <w:t>.</w:t>
      </w:r>
      <w:r w:rsidRPr="00742A04">
        <w:rPr>
          <w:bCs/>
        </w:rPr>
        <w:t xml:space="preserve"> </w:t>
      </w:r>
      <w:r w:rsidR="005E6919" w:rsidRPr="00742A04">
        <w:rPr>
          <w:bCs/>
        </w:rPr>
        <w:t xml:space="preserve">Las </w:t>
      </w:r>
      <w:r w:rsidR="00272D31" w:rsidRPr="00742A04">
        <w:rPr>
          <w:bCs/>
        </w:rPr>
        <w:t>mujeres</w:t>
      </w:r>
      <w:r w:rsidRPr="00742A04">
        <w:rPr>
          <w:bCs/>
        </w:rPr>
        <w:t xml:space="preserve"> </w:t>
      </w:r>
      <w:r w:rsidR="000A110A" w:rsidRPr="00742A04">
        <w:rPr>
          <w:bCs/>
        </w:rPr>
        <w:t>tienen una</w:t>
      </w:r>
      <w:r w:rsidRPr="00742A04">
        <w:rPr>
          <w:bCs/>
        </w:rPr>
        <w:t xml:space="preserve"> opin</w:t>
      </w:r>
      <w:r w:rsidR="005E6919" w:rsidRPr="00742A04">
        <w:rPr>
          <w:bCs/>
        </w:rPr>
        <w:t xml:space="preserve">ión </w:t>
      </w:r>
      <w:r w:rsidR="004A0730" w:rsidRPr="00742A04">
        <w:rPr>
          <w:bCs/>
        </w:rPr>
        <w:t>de</w:t>
      </w:r>
      <w:r w:rsidRPr="00742A04">
        <w:rPr>
          <w:bCs/>
        </w:rPr>
        <w:t xml:space="preserve"> </w:t>
      </w:r>
      <w:r w:rsidR="00F97F41" w:rsidRPr="00742A04">
        <w:rPr>
          <w:bCs/>
        </w:rPr>
        <w:t>su</w:t>
      </w:r>
      <w:r w:rsidR="000A110A" w:rsidRPr="00742A04">
        <w:rPr>
          <w:bCs/>
        </w:rPr>
        <w:t>s</w:t>
      </w:r>
      <w:r w:rsidRPr="00742A04">
        <w:rPr>
          <w:bCs/>
        </w:rPr>
        <w:t xml:space="preserve"> </w:t>
      </w:r>
      <w:r w:rsidR="000A110A" w:rsidRPr="00742A04">
        <w:rPr>
          <w:bCs/>
        </w:rPr>
        <w:t xml:space="preserve">aptitudes </w:t>
      </w:r>
      <w:r w:rsidRPr="00742A04">
        <w:rPr>
          <w:bCs/>
        </w:rPr>
        <w:t>ma</w:t>
      </w:r>
      <w:r w:rsidR="00C07ED9" w:rsidRPr="00742A04">
        <w:rPr>
          <w:bCs/>
        </w:rPr>
        <w:t>temáticas</w:t>
      </w:r>
      <w:r w:rsidR="000A110A" w:rsidRPr="00742A04">
        <w:rPr>
          <w:bCs/>
        </w:rPr>
        <w:t xml:space="preserve"> muy inferior a la de los</w:t>
      </w:r>
      <w:r w:rsidR="002213CF" w:rsidRPr="00742A04">
        <w:rPr>
          <w:bCs/>
        </w:rPr>
        <w:t xml:space="preserve"> varones</w:t>
      </w:r>
      <w:r w:rsidRPr="00742A04">
        <w:rPr>
          <w:bCs/>
        </w:rPr>
        <w:t xml:space="preserve">, </w:t>
      </w:r>
      <w:r w:rsidR="000A110A" w:rsidRPr="00742A04">
        <w:rPr>
          <w:bCs/>
        </w:rPr>
        <w:t>según</w:t>
      </w:r>
      <w:r w:rsidRPr="00742A04">
        <w:rPr>
          <w:bCs/>
        </w:rPr>
        <w:t xml:space="preserve"> PISA. </w:t>
      </w:r>
      <w:r w:rsidR="005F4894" w:rsidRPr="00742A04">
        <w:rPr>
          <w:bCs/>
        </w:rPr>
        <w:t xml:space="preserve">Los </w:t>
      </w:r>
      <w:r w:rsidR="00E8085E" w:rsidRPr="00742A04">
        <w:rPr>
          <w:bCs/>
        </w:rPr>
        <w:t>i</w:t>
      </w:r>
      <w:r w:rsidR="00E8085E" w:rsidRPr="00742A04">
        <w:rPr>
          <w:bCs/>
        </w:rPr>
        <w:t>n</w:t>
      </w:r>
      <w:r w:rsidR="00E8085E" w:rsidRPr="00742A04">
        <w:rPr>
          <w:bCs/>
        </w:rPr>
        <w:t>vestigadores</w:t>
      </w:r>
      <w:r w:rsidRPr="00742A04">
        <w:rPr>
          <w:bCs/>
        </w:rPr>
        <w:t xml:space="preserve"> </w:t>
      </w:r>
      <w:r w:rsidR="005F4894" w:rsidRPr="00742A04">
        <w:rPr>
          <w:bCs/>
        </w:rPr>
        <w:t>encontraron que</w:t>
      </w:r>
      <w:r w:rsidRPr="00742A04">
        <w:rPr>
          <w:bCs/>
        </w:rPr>
        <w:t xml:space="preserve"> </w:t>
      </w:r>
      <w:r w:rsidR="005F4894" w:rsidRPr="00742A04">
        <w:rPr>
          <w:bCs/>
        </w:rPr>
        <w:t xml:space="preserve">la </w:t>
      </w:r>
      <w:r w:rsidR="005C19C7" w:rsidRPr="00742A04">
        <w:rPr>
          <w:bCs/>
        </w:rPr>
        <w:t>bue</w:t>
      </w:r>
      <w:r w:rsidR="005F4894" w:rsidRPr="00742A04">
        <w:rPr>
          <w:bCs/>
        </w:rPr>
        <w:t>na</w:t>
      </w:r>
      <w:r w:rsidRPr="00742A04">
        <w:rPr>
          <w:bCs/>
        </w:rPr>
        <w:t xml:space="preserve"> </w:t>
      </w:r>
      <w:r w:rsidR="005F4894" w:rsidRPr="00742A04">
        <w:rPr>
          <w:bCs/>
        </w:rPr>
        <w:t>autopercepción de los varones</w:t>
      </w:r>
      <w:r w:rsidR="00C14BFF" w:rsidRPr="00742A04">
        <w:rPr>
          <w:bCs/>
        </w:rPr>
        <w:t xml:space="preserve"> </w:t>
      </w:r>
      <w:r w:rsidR="005F4894" w:rsidRPr="00742A04">
        <w:rPr>
          <w:bCs/>
        </w:rPr>
        <w:t>au</w:t>
      </w:r>
      <w:r w:rsidR="00AC1BF5" w:rsidRPr="00742A04">
        <w:rPr>
          <w:bCs/>
        </w:rPr>
        <w:t>ment</w:t>
      </w:r>
      <w:r w:rsidR="005F4894" w:rsidRPr="00742A04">
        <w:rPr>
          <w:bCs/>
        </w:rPr>
        <w:t>a con la</w:t>
      </w:r>
      <w:r w:rsidRPr="00742A04">
        <w:rPr>
          <w:bCs/>
        </w:rPr>
        <w:t xml:space="preserve"> </w:t>
      </w:r>
      <w:r w:rsidR="00A93B9E" w:rsidRPr="00742A04">
        <w:rPr>
          <w:bCs/>
        </w:rPr>
        <w:t>edad</w:t>
      </w:r>
      <w:r w:rsidRPr="00742A04">
        <w:rPr>
          <w:bCs/>
        </w:rPr>
        <w:t xml:space="preserve"> </w:t>
      </w:r>
      <w:r w:rsidR="00C14BFF" w:rsidRPr="00742A04">
        <w:rPr>
          <w:bCs/>
        </w:rPr>
        <w:t>en</w:t>
      </w:r>
      <w:r w:rsidRPr="00742A04">
        <w:rPr>
          <w:bCs/>
        </w:rPr>
        <w:t xml:space="preserve"> </w:t>
      </w:r>
      <w:r w:rsidR="005F4894" w:rsidRPr="00742A04">
        <w:rPr>
          <w:bCs/>
        </w:rPr>
        <w:t xml:space="preserve">la escuela </w:t>
      </w:r>
      <w:r w:rsidRPr="00742A04">
        <w:rPr>
          <w:bCs/>
        </w:rPr>
        <w:t>pri</w:t>
      </w:r>
      <w:r w:rsidR="005F4894" w:rsidRPr="00742A04">
        <w:rPr>
          <w:bCs/>
        </w:rPr>
        <w:t>maria</w:t>
      </w:r>
      <w:r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Pr="00742A04">
        <w:rPr>
          <w:bCs/>
        </w:rPr>
        <w:t xml:space="preserve"> </w:t>
      </w:r>
      <w:r w:rsidR="00032F7B" w:rsidRPr="00742A04">
        <w:rPr>
          <w:bCs/>
        </w:rPr>
        <w:t>la secundaria</w:t>
      </w:r>
      <w:r w:rsidR="005F4894" w:rsidRPr="00742A04">
        <w:rPr>
          <w:bCs/>
        </w:rPr>
        <w:t xml:space="preserve"> inferior</w:t>
      </w:r>
      <w:r w:rsidRPr="00742A04">
        <w:rPr>
          <w:bCs/>
        </w:rPr>
        <w:t xml:space="preserve">. </w:t>
      </w:r>
      <w:r w:rsidR="0067405D" w:rsidRPr="00742A04">
        <w:rPr>
          <w:bCs/>
        </w:rPr>
        <w:t>Análisis</w:t>
      </w:r>
      <w:r w:rsidRPr="00742A04">
        <w:rPr>
          <w:bCs/>
        </w:rPr>
        <w:t xml:space="preserve"> </w:t>
      </w:r>
      <w:r w:rsidR="00201EFA" w:rsidRPr="00742A04">
        <w:rPr>
          <w:bCs/>
        </w:rPr>
        <w:t>llevados</w:t>
      </w:r>
      <w:r w:rsidR="00AD5494" w:rsidRPr="00742A04">
        <w:rPr>
          <w:bCs/>
        </w:rPr>
        <w:t xml:space="preserve"> a cabo</w:t>
      </w:r>
      <w:r w:rsidRPr="00742A04">
        <w:rPr>
          <w:bCs/>
        </w:rPr>
        <w:t xml:space="preserve"> </w:t>
      </w:r>
      <w:r w:rsidR="001167D2" w:rsidRPr="00742A04">
        <w:rPr>
          <w:bCs/>
        </w:rPr>
        <w:t>por</w:t>
      </w:r>
      <w:r w:rsidRPr="00742A04">
        <w:rPr>
          <w:bCs/>
        </w:rPr>
        <w:t xml:space="preserve"> e</w:t>
      </w:r>
      <w:r w:rsidR="00201EFA" w:rsidRPr="00742A04">
        <w:rPr>
          <w:bCs/>
        </w:rPr>
        <w:t>l</w:t>
      </w:r>
      <w:r w:rsidRPr="00742A04">
        <w:rPr>
          <w:bCs/>
        </w:rPr>
        <w:t xml:space="preserve"> </w:t>
      </w:r>
      <w:r w:rsidR="00201EFA" w:rsidRPr="00742A04">
        <w:t>Instituto de Estudios en Innovación, Investigación y Educación de Noruega</w:t>
      </w:r>
      <w:r w:rsidRPr="00742A04">
        <w:t xml:space="preserve"> </w:t>
      </w:r>
      <w:r w:rsidR="00FE17FE" w:rsidRPr="00742A04">
        <w:t>ind</w:t>
      </w:r>
      <w:r w:rsidR="00FE17FE" w:rsidRPr="00742A04">
        <w:t>i</w:t>
      </w:r>
      <w:r w:rsidR="00FE17FE" w:rsidRPr="00742A04">
        <w:t>can que</w:t>
      </w:r>
      <w:r w:rsidRPr="00742A04">
        <w:t xml:space="preserve"> </w:t>
      </w:r>
      <w:r w:rsidR="005E6919" w:rsidRPr="00742A04">
        <w:t xml:space="preserve">las </w:t>
      </w:r>
      <w:r w:rsidR="00272D31" w:rsidRPr="00742A04">
        <w:t>mujeres</w:t>
      </w:r>
      <w:r w:rsidRPr="00742A04">
        <w:t xml:space="preserve"> </w:t>
      </w:r>
      <w:r w:rsidR="00FE17FE" w:rsidRPr="00742A04">
        <w:t>tienen que obtener</w:t>
      </w:r>
      <w:r w:rsidRPr="00742A04">
        <w:t xml:space="preserve"> </w:t>
      </w:r>
      <w:r w:rsidR="00FE17FE" w:rsidRPr="00742A04">
        <w:t xml:space="preserve">una calificación </w:t>
      </w:r>
      <w:r w:rsidR="00A836A1" w:rsidRPr="00742A04">
        <w:t>aproximadamente</w:t>
      </w:r>
      <w:r w:rsidRPr="00742A04">
        <w:t xml:space="preserve"> </w:t>
      </w:r>
      <w:r w:rsidR="00FE17FE" w:rsidRPr="00742A04">
        <w:t>medio punto superior a la de</w:t>
      </w:r>
      <w:r w:rsidRPr="00742A04">
        <w:t xml:space="preserve"> </w:t>
      </w:r>
      <w:r w:rsidR="002213CF" w:rsidRPr="00742A04">
        <w:t>los varones</w:t>
      </w:r>
      <w:r w:rsidRPr="00742A04">
        <w:t xml:space="preserve"> </w:t>
      </w:r>
      <w:r w:rsidR="00A826CB" w:rsidRPr="00742A04">
        <w:t>antes de</w:t>
      </w:r>
      <w:r w:rsidRPr="00742A04">
        <w:t xml:space="preserve"> </w:t>
      </w:r>
      <w:r w:rsidR="00FE17FE" w:rsidRPr="00742A04">
        <w:t>creer</w:t>
      </w:r>
      <w:r w:rsidRPr="00742A04">
        <w:t xml:space="preserve"> </w:t>
      </w:r>
      <w:r w:rsidR="00FE17FE" w:rsidRPr="00742A04">
        <w:t>que</w:t>
      </w:r>
      <w:r w:rsidRPr="00742A04">
        <w:t xml:space="preserve"> </w:t>
      </w:r>
      <w:r w:rsidR="006137EC" w:rsidRPr="00742A04">
        <w:t>son</w:t>
      </w:r>
      <w:r w:rsidRPr="00742A04">
        <w:t xml:space="preserve"> </w:t>
      </w:r>
      <w:r w:rsidR="005C19C7" w:rsidRPr="00742A04">
        <w:t>buenas</w:t>
      </w:r>
      <w:r w:rsidRPr="00742A04">
        <w:t xml:space="preserve"> </w:t>
      </w:r>
      <w:r w:rsidR="00393926" w:rsidRPr="00742A04">
        <w:t>en</w:t>
      </w:r>
      <w:r w:rsidRPr="00742A04">
        <w:t xml:space="preserve"> </w:t>
      </w:r>
      <w:r w:rsidR="00AE4459" w:rsidRPr="00742A04">
        <w:t>matemática</w:t>
      </w:r>
      <w:r w:rsidRPr="00742A04">
        <w:t>.</w:t>
      </w:r>
    </w:p>
    <w:p w:rsidR="00545D1B" w:rsidRPr="00742A04" w:rsidRDefault="00545D1B" w:rsidP="005347C0">
      <w:pPr>
        <w:pStyle w:val="SingleTxt"/>
        <w:rPr>
          <w:i/>
        </w:rPr>
      </w:pPr>
      <w:r w:rsidRPr="00742A04">
        <w:rPr>
          <w:i/>
        </w:rPr>
        <w:t xml:space="preserve">TIMSS </w:t>
      </w:r>
    </w:p>
    <w:p w:rsidR="00545D1B" w:rsidRPr="00742A04" w:rsidRDefault="006672E0" w:rsidP="005347C0">
      <w:pPr>
        <w:pStyle w:val="SingleTxt"/>
        <w:ind w:firstLine="475"/>
      </w:pPr>
      <w:r w:rsidRPr="00742A04">
        <w:t xml:space="preserve">El Tercer Estudio Internacional de Matemáticas y Ciencias (TIMSS) es </w:t>
      </w:r>
      <w:r>
        <w:t>una encuesta</w:t>
      </w:r>
      <w:r w:rsidRPr="00742A04">
        <w:t xml:space="preserve"> i</w:t>
      </w:r>
      <w:r w:rsidRPr="00742A04">
        <w:t>n</w:t>
      </w:r>
      <w:r w:rsidRPr="00742A04">
        <w:t>ternacional</w:t>
      </w:r>
      <w:r>
        <w:t xml:space="preserve"> realizada</w:t>
      </w:r>
      <w:r w:rsidRPr="00742A04">
        <w:t xml:space="preserve"> bajo los auspicios de la Asociación Internacional de Evalu</w:t>
      </w:r>
      <w:r w:rsidRPr="00742A04">
        <w:t>a</w:t>
      </w:r>
      <w:r w:rsidRPr="00742A04">
        <w:t xml:space="preserve">ción del Rendimiento Escolar. </w:t>
      </w:r>
      <w:r w:rsidR="00EA26AB" w:rsidRPr="00742A04">
        <w:t>Noruega</w:t>
      </w:r>
      <w:r w:rsidR="00545D1B" w:rsidRPr="00742A04">
        <w:t xml:space="preserve"> </w:t>
      </w:r>
      <w:r w:rsidR="001633F4" w:rsidRPr="00742A04">
        <w:t>particip</w:t>
      </w:r>
      <w:r w:rsidR="00FD58FD" w:rsidRPr="00742A04">
        <w:t>ó en el</w:t>
      </w:r>
      <w:r w:rsidR="00545D1B" w:rsidRPr="00742A04">
        <w:t xml:space="preserve"> TIMSS </w:t>
      </w:r>
      <w:r w:rsidR="00C14BFF" w:rsidRPr="00742A04">
        <w:t>en</w:t>
      </w:r>
      <w:r w:rsidR="00545D1B" w:rsidRPr="00742A04">
        <w:t xml:space="preserve"> 1995 </w:t>
      </w:r>
      <w:r w:rsidR="00877AA0" w:rsidRPr="00742A04">
        <w:t>y</w:t>
      </w:r>
      <w:r w:rsidR="00545D1B" w:rsidRPr="00742A04">
        <w:t xml:space="preserve"> 2003. </w:t>
      </w:r>
      <w:r w:rsidR="00FD58FD" w:rsidRPr="00742A04">
        <w:t>El objetivo</w:t>
      </w:r>
      <w:r w:rsidR="00545D1B" w:rsidRPr="00742A04">
        <w:t xml:space="preserve"> </w:t>
      </w:r>
      <w:r w:rsidR="00964178" w:rsidRPr="00742A04">
        <w:t>principal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67A1B" w:rsidRPr="00742A04">
        <w:t>la encuesta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FD58FD" w:rsidRPr="00742A04">
        <w:t>determinar cuáles son</w:t>
      </w:r>
      <w:r w:rsidR="00545D1B" w:rsidRPr="00742A04">
        <w:t xml:space="preserve"> </w:t>
      </w:r>
      <w:r w:rsidR="00657260" w:rsidRPr="00742A04">
        <w:t>los factores</w:t>
      </w:r>
      <w:r w:rsidR="00545D1B" w:rsidRPr="00742A04">
        <w:t xml:space="preserve"> </w:t>
      </w:r>
      <w:r w:rsidR="00FD58FD" w:rsidRPr="00742A04">
        <w:t>más aptos para</w:t>
      </w:r>
      <w:r w:rsidR="00545D1B" w:rsidRPr="00742A04">
        <w:t xml:space="preserve"> promo</w:t>
      </w:r>
      <w:r w:rsidR="00FD58FD" w:rsidRPr="00742A04">
        <w:t>ver el aprendizaje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E4459" w:rsidRPr="00742A04">
        <w:t>matemática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E4459" w:rsidRPr="00742A04">
        <w:t>ciencias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2003 </w:t>
      </w:r>
      <w:r w:rsidR="00FD58FD" w:rsidRPr="00742A04">
        <w:t>se encontró que</w:t>
      </w:r>
      <w:r w:rsidR="00545D1B" w:rsidRPr="00742A04">
        <w:t xml:space="preserve"> </w:t>
      </w:r>
      <w:r w:rsidR="005E6919" w:rsidRPr="00742A04">
        <w:t xml:space="preserve">las </w:t>
      </w:r>
      <w:r w:rsidR="00272D31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C5D28" w:rsidRPr="00742A04">
        <w:t>cuarto</w:t>
      </w:r>
      <w:r w:rsidR="00545D1B" w:rsidRPr="00742A04">
        <w:t xml:space="preserve"> grad</w:t>
      </w:r>
      <w:r w:rsidR="00FD58FD" w:rsidRPr="00742A04">
        <w:t>o</w:t>
      </w:r>
      <w:r w:rsidR="00545D1B" w:rsidRPr="00742A04">
        <w:t xml:space="preserve"> </w:t>
      </w:r>
      <w:r w:rsidR="00FD58FD" w:rsidRPr="00742A04">
        <w:t>tienen la</w:t>
      </w:r>
      <w:r w:rsidR="00545D1B" w:rsidRPr="00742A04">
        <w:t xml:space="preserve"> </w:t>
      </w:r>
      <w:r w:rsidR="00FD58FD" w:rsidRPr="00742A04">
        <w:t xml:space="preserve">actitud </w:t>
      </w:r>
      <w:r w:rsidR="00507A11" w:rsidRPr="00742A04">
        <w:t>más</w:t>
      </w:r>
      <w:r w:rsidR="00545D1B" w:rsidRPr="00742A04">
        <w:t xml:space="preserve"> </w:t>
      </w:r>
      <w:r w:rsidR="00FD58FD" w:rsidRPr="00742A04">
        <w:t>positiva</w:t>
      </w:r>
      <w:r w:rsidR="00545D1B" w:rsidRPr="00742A04">
        <w:t xml:space="preserve"> </w:t>
      </w:r>
      <w:r w:rsidR="00FD58FD" w:rsidRPr="00742A04">
        <w:t xml:space="preserve">frente </w:t>
      </w:r>
      <w:r w:rsidR="0030626A" w:rsidRPr="00742A04">
        <w:t>a</w:t>
      </w:r>
      <w:r w:rsidR="00545D1B" w:rsidRPr="00742A04">
        <w:t xml:space="preserve"> </w:t>
      </w:r>
      <w:r w:rsidR="00FD58FD" w:rsidRPr="00742A04">
        <w:t xml:space="preserve">las </w:t>
      </w:r>
      <w:r w:rsidR="00AE4459" w:rsidRPr="00742A04">
        <w:t>ciencias</w:t>
      </w:r>
      <w:r w:rsidR="00545D1B" w:rsidRPr="00742A04">
        <w:t xml:space="preserve">, </w:t>
      </w:r>
      <w:r w:rsidR="00B8584B" w:rsidRPr="00742A04">
        <w:t>mientras 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D58FD" w:rsidRPr="00742A04">
        <w:t>el octavo grado</w:t>
      </w:r>
      <w:r w:rsidR="00C076F2" w:rsidRPr="00742A04">
        <w:t xml:space="preserve"> </w:t>
      </w:r>
      <w:r w:rsidR="00FD58FD" w:rsidRPr="00742A04">
        <w:t xml:space="preserve">la actitud más positiva es la de </w:t>
      </w:r>
      <w:r w:rsidR="00C076F2" w:rsidRPr="00742A04">
        <w:t xml:space="preserve">los </w:t>
      </w:r>
      <w:r w:rsidR="002213CF" w:rsidRPr="00742A04">
        <w:t>varones</w:t>
      </w:r>
      <w:r w:rsidR="00545D1B" w:rsidRPr="00742A04">
        <w:t xml:space="preserve">. </w:t>
      </w:r>
      <w:r w:rsidR="00021DB5" w:rsidRPr="00742A04">
        <w:t>Hay</w:t>
      </w:r>
      <w:r w:rsidR="00545D1B" w:rsidRPr="00742A04">
        <w:t xml:space="preserve"> </w:t>
      </w:r>
      <w:r w:rsidR="00031851" w:rsidRPr="00742A04">
        <w:t>p</w:t>
      </w:r>
      <w:r w:rsidR="00031851" w:rsidRPr="00742A04">
        <w:t>e</w:t>
      </w:r>
      <w:r w:rsidR="00031851" w:rsidRPr="00742A04">
        <w:t>queñas diferencias</w:t>
      </w:r>
      <w:r w:rsidR="00537384" w:rsidRPr="00742A04">
        <w:t xml:space="preserve"> de género</w:t>
      </w:r>
      <w:r w:rsidR="00545D1B" w:rsidRPr="00742A04">
        <w:t xml:space="preserve"> </w:t>
      </w:r>
      <w:r w:rsidR="00537384" w:rsidRPr="00742A04">
        <w:t>en lo tocante a</w:t>
      </w:r>
      <w:r w:rsidR="00FD58FD" w:rsidRPr="00742A04">
        <w:t>l</w:t>
      </w:r>
      <w:r w:rsidR="00545D1B" w:rsidRPr="00742A04">
        <w:t xml:space="preserve"> </w:t>
      </w:r>
      <w:r w:rsidR="00FD58FD" w:rsidRPr="00742A04">
        <w:t>rendimiento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F43124" w:rsidRPr="00742A04">
        <w:t>hay</w:t>
      </w:r>
      <w:r w:rsidR="003057FC">
        <w:t xml:space="preserve"> una</w:t>
      </w:r>
      <w:r w:rsidR="00545D1B" w:rsidRPr="00742A04">
        <w:t xml:space="preserve"> </w:t>
      </w:r>
      <w:r w:rsidR="00FD58FD" w:rsidRPr="00742A04">
        <w:t>variación significativa</w:t>
      </w:r>
      <w:r w:rsidR="00C14BFF" w:rsidRPr="00742A04">
        <w:t xml:space="preserve"> </w:t>
      </w:r>
      <w:r w:rsidR="00537384" w:rsidRPr="00742A04">
        <w:t>en lo tocante a</w:t>
      </w:r>
      <w:r w:rsidR="00545D1B" w:rsidRPr="00742A04">
        <w:t xml:space="preserve"> </w:t>
      </w:r>
      <w:r w:rsidR="00FD58FD" w:rsidRPr="00742A04">
        <w:t xml:space="preserve">las </w:t>
      </w:r>
      <w:r w:rsidR="00537384" w:rsidRPr="00742A04">
        <w:t>diferencias de género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FD58FD" w:rsidRPr="00742A04">
        <w:t>las distintas asignaturas</w:t>
      </w:r>
      <w:r w:rsidR="00545D1B" w:rsidRPr="00742A04">
        <w:t xml:space="preserve">, </w:t>
      </w:r>
      <w:r w:rsidR="007C3856" w:rsidRPr="00742A04">
        <w:t>e</w:t>
      </w:r>
      <w:r w:rsidR="007C3856" w:rsidRPr="00742A04">
        <w:t>s</w:t>
      </w:r>
      <w:r w:rsidR="007C3856" w:rsidRPr="00742A04">
        <w:t>pecialmente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D58FD" w:rsidRPr="00742A04">
        <w:t xml:space="preserve">el </w:t>
      </w:r>
      <w:r w:rsidR="00BC2FBE" w:rsidRPr="00742A04">
        <w:t>oc</w:t>
      </w:r>
      <w:r w:rsidR="00FD58FD" w:rsidRPr="00742A04">
        <w:t>tavo grado.</w:t>
      </w:r>
    </w:p>
    <w:p w:rsidR="00545D1B" w:rsidRPr="00742A04" w:rsidRDefault="00272D31" w:rsidP="005347C0">
      <w:pPr>
        <w:pStyle w:val="SingleTxt"/>
        <w:rPr>
          <w:i/>
        </w:rPr>
      </w:pPr>
      <w:r w:rsidRPr="00742A04">
        <w:rPr>
          <w:i/>
        </w:rPr>
        <w:t>Calificaciones</w:t>
      </w:r>
    </w:p>
    <w:p w:rsidR="00545D1B" w:rsidRPr="00742A04" w:rsidRDefault="00D515FC" w:rsidP="005347C0">
      <w:pPr>
        <w:pStyle w:val="SingleTxt"/>
        <w:ind w:firstLine="475"/>
      </w:pPr>
      <w:r w:rsidRPr="00742A04">
        <w:t>Las</w:t>
      </w:r>
      <w:r w:rsidR="00D42876" w:rsidRPr="00742A04">
        <w:t xml:space="preserve"> autoridades de Noruega</w:t>
      </w:r>
      <w:r w:rsidR="00545D1B" w:rsidRPr="00742A04">
        <w:t xml:space="preserve"> </w:t>
      </w:r>
      <w:r w:rsidR="00C11D0F" w:rsidRPr="00742A04">
        <w:t>han publicado</w:t>
      </w:r>
      <w:r w:rsidR="00545D1B" w:rsidRPr="00742A04">
        <w:t xml:space="preserve"> </w:t>
      </w:r>
      <w:r w:rsidR="00272D31" w:rsidRPr="00742A04">
        <w:t>las calificaciones finales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31851" w:rsidRPr="00742A04">
        <w:t>los alu</w:t>
      </w:r>
      <w:r w:rsidR="00031851" w:rsidRPr="00742A04">
        <w:t>m</w:t>
      </w:r>
      <w:r w:rsidR="00031851" w:rsidRPr="00742A04">
        <w:t>nos noruegos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11D0F" w:rsidRPr="00742A04">
        <w:t>las escuelas secundarias inferiores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11D0F" w:rsidRPr="00742A04">
        <w:t xml:space="preserve">secundarias superiores </w:t>
      </w:r>
      <w:r w:rsidR="00B34971" w:rsidRPr="00742A04">
        <w:t>a partir de</w:t>
      </w:r>
      <w:r w:rsidR="00545D1B" w:rsidRPr="00742A04">
        <w:t xml:space="preserve"> 2002. </w:t>
      </w:r>
      <w:r w:rsidR="00C11D0F" w:rsidRPr="00742A04">
        <w:t>Comprenden las</w:t>
      </w:r>
      <w:r w:rsidR="00545D1B" w:rsidRPr="00742A04">
        <w:t xml:space="preserve"> </w:t>
      </w:r>
      <w:r w:rsidR="00272D31" w:rsidRPr="00742A04">
        <w:t>calificaciones</w:t>
      </w:r>
      <w:r w:rsidR="00545D1B" w:rsidRPr="00742A04">
        <w:t xml:space="preserve"> </w:t>
      </w:r>
      <w:r w:rsidR="00C11D0F" w:rsidRPr="00742A04">
        <w:t xml:space="preserve">de los exámenes </w:t>
      </w:r>
      <w:r w:rsidR="00877AA0" w:rsidRPr="00742A04">
        <w:t>y</w:t>
      </w:r>
      <w:r w:rsidR="00545D1B" w:rsidRPr="00742A04">
        <w:t xml:space="preserve"> </w:t>
      </w:r>
      <w:r w:rsidR="00C11D0F" w:rsidRPr="00742A04">
        <w:t xml:space="preserve">las </w:t>
      </w:r>
      <w:r w:rsidR="00272D31" w:rsidRPr="00742A04">
        <w:t>calificaciones</w:t>
      </w:r>
      <w:r w:rsidR="00545D1B" w:rsidRPr="00742A04">
        <w:t xml:space="preserve"> a</w:t>
      </w:r>
      <w:r w:rsidR="00C11D0F" w:rsidRPr="00742A04">
        <w:t>signadas al</w:t>
      </w:r>
      <w:r w:rsidR="00116976" w:rsidRPr="00742A04">
        <w:t xml:space="preserve"> trabajo</w:t>
      </w:r>
      <w:r w:rsidR="00C11D0F" w:rsidRPr="00742A04">
        <w:t xml:space="preserve"> en clase</w:t>
      </w:r>
      <w:r w:rsidR="00545D1B" w:rsidRPr="00742A04">
        <w:t xml:space="preserve">. </w:t>
      </w:r>
      <w:r w:rsidR="00C11D0F" w:rsidRPr="00742A04">
        <w:t>Las</w:t>
      </w:r>
      <w:r w:rsidR="00545D1B" w:rsidRPr="00742A04">
        <w:t xml:space="preserve"> </w:t>
      </w:r>
      <w:r w:rsidR="00C11D0F" w:rsidRPr="00742A04">
        <w:t>estadísticas de las e</w:t>
      </w:r>
      <w:r w:rsidR="00032F7B" w:rsidRPr="00742A04">
        <w:t>scuela</w:t>
      </w:r>
      <w:r w:rsidR="00C11D0F" w:rsidRPr="00742A04">
        <w:t>s</w:t>
      </w:r>
      <w:r w:rsidR="00032F7B" w:rsidRPr="00742A04">
        <w:t xml:space="preserve"> secundaria</w:t>
      </w:r>
      <w:r w:rsidR="00C11D0F" w:rsidRPr="00742A04">
        <w:t>s inferiores</w:t>
      </w:r>
      <w:r w:rsidR="00545D1B" w:rsidRPr="00742A04">
        <w:t xml:space="preserve"> </w:t>
      </w:r>
      <w:r w:rsidR="00C11D0F" w:rsidRPr="00742A04">
        <w:t>correspondientes a</w:t>
      </w:r>
      <w:r w:rsidR="00545D1B" w:rsidRPr="00742A04">
        <w:t xml:space="preserve"> 2004 </w:t>
      </w:r>
      <w:r w:rsidR="00C11D0F" w:rsidRPr="00742A04">
        <w:t>indican</w:t>
      </w:r>
      <w:r w:rsidR="00545D1B" w:rsidRPr="00742A04">
        <w:t xml:space="preserve"> </w:t>
      </w:r>
      <w:r w:rsidR="005D2D07" w:rsidRPr="00742A04">
        <w:t>que hay</w:t>
      </w:r>
      <w:r w:rsidR="00545D1B" w:rsidRPr="00742A04">
        <w:t xml:space="preserve"> </w:t>
      </w:r>
      <w:r w:rsidR="00C07ED9" w:rsidRPr="00742A04">
        <w:t>claras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="007D66F2" w:rsidRPr="00742A04">
        <w:t>entre</w:t>
      </w:r>
      <w:r w:rsidR="00545D1B" w:rsidRPr="00742A04">
        <w:t xml:space="preserve"> </w:t>
      </w:r>
      <w:r w:rsidR="00C11D0F" w:rsidRPr="00742A04">
        <w:t xml:space="preserve">las calificaciones de </w:t>
      </w:r>
      <w:r w:rsidR="005E6919" w:rsidRPr="00742A04">
        <w:t xml:space="preserve">las </w:t>
      </w:r>
      <w:r w:rsidR="00272D31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11D0F" w:rsidRPr="00742A04">
        <w:t xml:space="preserve">las </w:t>
      </w:r>
      <w:r w:rsidR="00C076F2" w:rsidRPr="00742A04">
        <w:t xml:space="preserve">de los </w:t>
      </w:r>
      <w:r w:rsidR="000472FC" w:rsidRPr="00742A04">
        <w:t>varones</w:t>
      </w:r>
      <w:r w:rsidR="00545D1B" w:rsidRPr="00742A04">
        <w:t xml:space="preserve">. </w:t>
      </w:r>
      <w:r w:rsidR="006137EC" w:rsidRPr="00742A04">
        <w:t>Ello se aplica</w:t>
      </w:r>
      <w:r w:rsidR="00545D1B" w:rsidRPr="00742A04">
        <w:t xml:space="preserve"> </w:t>
      </w:r>
      <w:r w:rsidR="00C11D0F" w:rsidRPr="00742A04">
        <w:t>tanto a</w:t>
      </w:r>
      <w:r w:rsidR="00545D1B" w:rsidRPr="00742A04">
        <w:t xml:space="preserve"> </w:t>
      </w:r>
      <w:r w:rsidR="00C11D0F" w:rsidRPr="00742A04">
        <w:t>los exámenes finales</w:t>
      </w:r>
      <w:r w:rsidR="00545D1B" w:rsidRPr="00742A04">
        <w:t xml:space="preserve"> </w:t>
      </w:r>
      <w:r w:rsidR="00C11D0F" w:rsidRPr="00742A04">
        <w:t>como a las</w:t>
      </w:r>
      <w:r w:rsidR="00545D1B" w:rsidRPr="00742A04">
        <w:t xml:space="preserve"> </w:t>
      </w:r>
      <w:r w:rsidR="00272D31" w:rsidRPr="00742A04">
        <w:t>calificaciones</w:t>
      </w:r>
      <w:r w:rsidR="00545D1B" w:rsidRPr="00742A04">
        <w:t xml:space="preserve"> </w:t>
      </w:r>
      <w:r w:rsidR="00C11D0F" w:rsidRPr="00742A04">
        <w:t>asignadas al trabajo en clase</w:t>
      </w:r>
      <w:r w:rsidR="00545D1B" w:rsidRPr="00742A04">
        <w:t xml:space="preserve">. </w:t>
      </w:r>
      <w:r w:rsidR="00C11D0F" w:rsidRPr="00742A04">
        <w:t>El análisis hecho por l</w:t>
      </w:r>
      <w:r w:rsidR="005D2D07" w:rsidRPr="00742A04">
        <w:t>a Dirección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C11D0F" w:rsidRPr="00742A04">
        <w:t xml:space="preserve"> acerca de</w:t>
      </w:r>
      <w:r w:rsidR="00545D1B" w:rsidRPr="00742A04">
        <w:t xml:space="preserve"> </w:t>
      </w:r>
      <w:r w:rsidR="00C11D0F" w:rsidRPr="00742A04">
        <w:t>la educación primaria</w:t>
      </w:r>
      <w:r w:rsidR="00545D1B" w:rsidRPr="00742A04">
        <w:t xml:space="preserve">, </w:t>
      </w:r>
      <w:r w:rsidR="00C11D0F" w:rsidRPr="00742A04">
        <w:t>secundaria inferior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B2CB9" w:rsidRPr="00742A04">
        <w:t>secundaria s</w:t>
      </w:r>
      <w:r w:rsidR="00BB2CB9" w:rsidRPr="00742A04">
        <w:t>u</w:t>
      </w:r>
      <w:r w:rsidR="00BB2CB9" w:rsidRPr="00742A04">
        <w:t>perior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2004 </w:t>
      </w:r>
      <w:r w:rsidR="003E5775" w:rsidRPr="00742A04">
        <w:t>indica que</w:t>
      </w:r>
      <w:r w:rsidR="00545D1B" w:rsidRPr="00742A04">
        <w:t xml:space="preserve"> </w:t>
      </w:r>
      <w:r w:rsidR="00C11D0F" w:rsidRPr="00742A04">
        <w:t xml:space="preserve">la </w:t>
      </w:r>
      <w:r w:rsidR="00A05847" w:rsidRPr="00742A04">
        <w:t>educación</w:t>
      </w:r>
      <w:r w:rsidR="00545D1B" w:rsidRPr="00742A04">
        <w:t xml:space="preserve"> </w:t>
      </w:r>
      <w:r w:rsidR="00C11D0F" w:rsidRPr="00742A04">
        <w:t xml:space="preserve">impartida por los padres </w:t>
      </w:r>
      <w:r w:rsidR="00877AA0" w:rsidRPr="00742A04">
        <w:t>y</w:t>
      </w:r>
      <w:r w:rsidR="00545D1B" w:rsidRPr="00742A04">
        <w:t xml:space="preserve"> </w:t>
      </w:r>
      <w:r w:rsidR="00C11D0F" w:rsidRPr="00742A04">
        <w:t>la s</w:t>
      </w:r>
      <w:r w:rsidR="00C11D0F" w:rsidRPr="00742A04">
        <w:t>i</w:t>
      </w:r>
      <w:r w:rsidR="00C11D0F" w:rsidRPr="00742A04">
        <w:t xml:space="preserve">tuación </w:t>
      </w:r>
      <w:r w:rsidR="005C6D40" w:rsidRPr="00742A04">
        <w:t>familia</w:t>
      </w:r>
      <w:r w:rsidR="00C11D0F" w:rsidRPr="00742A04">
        <w:t>r</w:t>
      </w:r>
      <w:r w:rsidR="00545D1B" w:rsidRPr="00742A04">
        <w:t xml:space="preserve"> </w:t>
      </w:r>
      <w:r w:rsidR="00C11D0F" w:rsidRPr="00742A04">
        <w:t>explican la mayor parte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076F2" w:rsidRPr="00742A04">
        <w:t>las diferencias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C11D0F" w:rsidRPr="00742A04">
        <w:t xml:space="preserve">las </w:t>
      </w:r>
      <w:r w:rsidR="00272D31" w:rsidRPr="00742A04">
        <w:t>calific</w:t>
      </w:r>
      <w:r w:rsidR="00272D31" w:rsidRPr="00742A04">
        <w:t>a</w:t>
      </w:r>
      <w:r w:rsidR="00272D31" w:rsidRPr="00742A04">
        <w:t>ciones</w:t>
      </w:r>
      <w:r w:rsidR="00C11D0F" w:rsidRPr="00742A04">
        <w:t xml:space="preserve"> de los alumnos</w:t>
      </w:r>
      <w:r w:rsidR="00545D1B" w:rsidRPr="00742A04">
        <w:t>.</w:t>
      </w:r>
    </w:p>
    <w:p w:rsidR="00545D1B" w:rsidRPr="00742A04" w:rsidRDefault="00811D75" w:rsidP="005347C0">
      <w:pPr>
        <w:pStyle w:val="SingleTxt"/>
        <w:ind w:firstLine="475"/>
      </w:pPr>
      <w:r w:rsidRPr="00742A04">
        <w:t>Las diferencias de género</w:t>
      </w:r>
      <w:r w:rsidR="00545D1B" w:rsidRPr="00742A04">
        <w:t xml:space="preserve"> </w:t>
      </w:r>
      <w:r w:rsidR="00C11D0F" w:rsidRPr="00742A04">
        <w:t>no so</w:t>
      </w:r>
      <w:r w:rsidR="00CE5A7F" w:rsidRPr="00742A04">
        <w:t>n</w:t>
      </w:r>
      <w:r w:rsidR="00545D1B" w:rsidRPr="00742A04">
        <w:t xml:space="preserve"> </w:t>
      </w:r>
      <w:r w:rsidR="00C11D0F" w:rsidRPr="00742A04">
        <w:t>tan grandes</w:t>
      </w:r>
      <w:r w:rsidR="00545D1B" w:rsidRPr="00742A04">
        <w:t xml:space="preserve">, </w:t>
      </w:r>
      <w:r w:rsidR="00E77E20" w:rsidRPr="00742A04">
        <w:t>pero</w:t>
      </w:r>
      <w:r w:rsidR="00C11D0F" w:rsidRPr="00742A04">
        <w:t xml:space="preserve"> </w:t>
      </w:r>
      <w:r w:rsidR="006137EC" w:rsidRPr="00742A04">
        <w:t>son</w:t>
      </w:r>
      <w:r w:rsidR="00545D1B" w:rsidRPr="00742A04">
        <w:t xml:space="preserve"> const</w:t>
      </w:r>
      <w:r w:rsidR="00C11D0F" w:rsidRPr="00742A04">
        <w:t>a</w:t>
      </w:r>
      <w:r w:rsidR="00545D1B" w:rsidRPr="00742A04">
        <w:t>nt</w:t>
      </w:r>
      <w:r w:rsidR="00C11D0F" w:rsidRPr="00742A04">
        <w:t>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C11D0F" w:rsidRPr="00742A04">
        <w:t>las e</w:t>
      </w:r>
      <w:r w:rsidR="00C11D0F" w:rsidRPr="00742A04">
        <w:t>s</w:t>
      </w:r>
      <w:r w:rsidR="00C11D0F" w:rsidRPr="00742A04">
        <w:t>cuelas secundarias inferiores</w:t>
      </w:r>
      <w:r w:rsidR="00545D1B" w:rsidRPr="00742A04">
        <w:t xml:space="preserve">, </w:t>
      </w:r>
      <w:r w:rsidR="005E6919" w:rsidRPr="00742A04">
        <w:t xml:space="preserve">las </w:t>
      </w:r>
      <w:r w:rsidR="00272D31" w:rsidRPr="00742A04">
        <w:t>mujeres</w:t>
      </w:r>
      <w:r w:rsidR="00545D1B" w:rsidRPr="00742A04">
        <w:t xml:space="preserve"> </w:t>
      </w:r>
      <w:r w:rsidR="00DD41C2" w:rsidRPr="00742A04">
        <w:t>obtienen</w:t>
      </w:r>
      <w:r w:rsidR="00545D1B" w:rsidRPr="00742A04">
        <w:t xml:space="preserve"> </w:t>
      </w:r>
      <w:r w:rsidR="00272D31" w:rsidRPr="00742A04">
        <w:t>calificaciones</w:t>
      </w:r>
      <w:r w:rsidR="00545D1B" w:rsidRPr="00742A04">
        <w:t xml:space="preserve"> </w:t>
      </w:r>
      <w:r w:rsidR="00DD41C2" w:rsidRPr="00742A04">
        <w:t xml:space="preserve">más altas </w:t>
      </w:r>
      <w:r w:rsidR="005C6D40" w:rsidRPr="00742A04">
        <w:t>que</w:t>
      </w:r>
      <w:r w:rsidR="00545D1B" w:rsidRPr="00742A04">
        <w:t xml:space="preserve"> </w:t>
      </w:r>
      <w:r w:rsidR="002213CF" w:rsidRPr="00742A04">
        <w:t>los varones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D41C2" w:rsidRPr="00742A04">
        <w:t>todas las asignaturas, salvo</w:t>
      </w:r>
      <w:r w:rsidR="00545D1B" w:rsidRPr="00742A04">
        <w:t xml:space="preserve"> </w:t>
      </w:r>
      <w:r w:rsidR="00DD41C2" w:rsidRPr="00742A04">
        <w:t>educación física</w:t>
      </w:r>
      <w:r w:rsidR="00545D1B" w:rsidRPr="00742A04">
        <w:t xml:space="preserve">. </w:t>
      </w:r>
      <w:r w:rsidR="00DD41C2" w:rsidRPr="00742A04">
        <w:t>L</w:t>
      </w:r>
      <w:r w:rsidR="00552CFE" w:rsidRPr="00742A04">
        <w:t>os alumnos</w:t>
      </w:r>
      <w:r w:rsidR="00545D1B" w:rsidRPr="00742A04">
        <w:t xml:space="preserve"> </w:t>
      </w:r>
      <w:r w:rsidR="00DD41C2" w:rsidRPr="00742A04">
        <w:t>inmigrantes obtienen</w:t>
      </w:r>
      <w:r w:rsidR="00545D1B" w:rsidRPr="00742A04">
        <w:t xml:space="preserve"> </w:t>
      </w:r>
      <w:r w:rsidR="00272D31" w:rsidRPr="00742A04">
        <w:t>calificaciones</w:t>
      </w:r>
      <w:r w:rsidR="00545D1B" w:rsidRPr="00742A04">
        <w:t xml:space="preserve"> </w:t>
      </w:r>
      <w:r w:rsidR="00DD41C2" w:rsidRPr="00742A04">
        <w:t xml:space="preserve">algo más bajas </w:t>
      </w:r>
      <w:r w:rsidR="005C6D40" w:rsidRPr="00742A04">
        <w:t>que</w:t>
      </w:r>
      <w:r w:rsidR="00545D1B" w:rsidRPr="00742A04">
        <w:t xml:space="preserve"> </w:t>
      </w:r>
      <w:r w:rsidR="00552CFE" w:rsidRPr="00742A04">
        <w:t>los alumnos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DD41C2" w:rsidRPr="00742A04">
        <w:t>origen étnico noruego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2004, </w:t>
      </w:r>
      <w:r w:rsidR="005E6919" w:rsidRPr="00742A04">
        <w:t xml:space="preserve">las </w:t>
      </w:r>
      <w:r w:rsidR="00272D31" w:rsidRPr="00742A04">
        <w:t>mujeres</w:t>
      </w:r>
      <w:r w:rsidR="00545D1B" w:rsidRPr="00742A04">
        <w:t xml:space="preserve"> </w:t>
      </w:r>
      <w:r w:rsidR="00DD41C2" w:rsidRPr="00742A04">
        <w:t xml:space="preserve">obtuvieron promedios </w:t>
      </w:r>
      <w:r w:rsidR="00545D1B" w:rsidRPr="00742A04">
        <w:t>final</w:t>
      </w:r>
      <w:r w:rsidR="00DD41C2" w:rsidRPr="00742A04">
        <w:t>es de calificaciones más elevados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2213CF" w:rsidRPr="00742A04">
        <w:t>los varones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D41C2" w:rsidRPr="00742A04">
        <w:t>seis</w:t>
      </w:r>
      <w:r w:rsidR="00545D1B" w:rsidRPr="00742A04">
        <w:t xml:space="preserve"> </w:t>
      </w:r>
      <w:r w:rsidR="004A3F50" w:rsidRPr="00742A04">
        <w:t>de cada</w:t>
      </w:r>
      <w:r w:rsidR="00545D1B" w:rsidRPr="00742A04">
        <w:t xml:space="preserve"> </w:t>
      </w:r>
      <w:r w:rsidR="00DD41C2" w:rsidRPr="00742A04">
        <w:t>siete</w:t>
      </w:r>
      <w:r w:rsidR="00545D1B" w:rsidRPr="00742A04">
        <w:t xml:space="preserve"> </w:t>
      </w:r>
      <w:r w:rsidR="00DD41C2" w:rsidRPr="00742A04">
        <w:t>asignaturas</w:t>
      </w:r>
      <w:r w:rsidR="00545D1B" w:rsidRPr="00742A04">
        <w:t xml:space="preserve">. </w:t>
      </w:r>
      <w:r w:rsidR="00A836A1" w:rsidRPr="00742A04">
        <w:t>Sólo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D41C2" w:rsidRPr="00742A04">
        <w:t>el examen final</w:t>
      </w:r>
      <w:r w:rsidR="00545D1B" w:rsidRPr="00742A04">
        <w:t xml:space="preserve"> </w:t>
      </w:r>
      <w:r w:rsidR="00DD41C2" w:rsidRPr="00742A04">
        <w:t>d</w:t>
      </w:r>
      <w:r w:rsidR="00C14BFF" w:rsidRPr="00742A04">
        <w:t>e</w:t>
      </w:r>
      <w:r w:rsidR="00545D1B" w:rsidRPr="00742A04">
        <w:t xml:space="preserve"> </w:t>
      </w:r>
      <w:r w:rsidR="00AE4459" w:rsidRPr="00742A04">
        <w:t>matemát</w:t>
      </w:r>
      <w:r w:rsidR="00AE4459" w:rsidRPr="00742A04">
        <w:t>i</w:t>
      </w:r>
      <w:r w:rsidR="00AE4459" w:rsidRPr="00742A04">
        <w:t>ca</w:t>
      </w:r>
      <w:r w:rsidR="00545D1B" w:rsidRPr="00742A04">
        <w:t xml:space="preserve"> </w:t>
      </w:r>
      <w:r w:rsidR="00DD41C2" w:rsidRPr="00742A04">
        <w:t>obtuvieron</w:t>
      </w:r>
      <w:r w:rsidR="00545D1B" w:rsidRPr="00742A04">
        <w:t xml:space="preserve"> </w:t>
      </w:r>
      <w:r w:rsidR="00587443" w:rsidRPr="00742A04">
        <w:t xml:space="preserve">las </w:t>
      </w:r>
      <w:r w:rsidR="00272D31" w:rsidRPr="00742A04">
        <w:t>mujeres</w:t>
      </w:r>
      <w:r w:rsidR="00587443" w:rsidRPr="00742A04">
        <w:t xml:space="preserve"> y los varones</w:t>
      </w:r>
      <w:r w:rsidR="00545D1B" w:rsidRPr="00742A04">
        <w:t xml:space="preserve"> </w:t>
      </w:r>
      <w:r w:rsidR="00DD41C2" w:rsidRPr="00742A04">
        <w:t>los mismos</w:t>
      </w:r>
      <w:r w:rsidR="00545D1B" w:rsidRPr="00742A04">
        <w:t xml:space="preserve"> </w:t>
      </w:r>
      <w:r w:rsidR="00DD41C2" w:rsidRPr="00742A04">
        <w:t>resultados</w:t>
      </w:r>
      <w:r w:rsidR="00545D1B" w:rsidRPr="00742A04">
        <w:t xml:space="preserve">. </w:t>
      </w:r>
      <w:r w:rsidR="005E6919" w:rsidRPr="00742A04">
        <w:t xml:space="preserve">Las </w:t>
      </w:r>
      <w:r w:rsidR="00272D31" w:rsidRPr="00742A04">
        <w:t>mujeres</w:t>
      </w:r>
      <w:r w:rsidR="00545D1B" w:rsidRPr="00742A04">
        <w:t xml:space="preserve"> </w:t>
      </w:r>
      <w:r w:rsidR="00DD41C2" w:rsidRPr="00742A04">
        <w:t xml:space="preserve">obtuvieron </w:t>
      </w:r>
      <w:r w:rsidR="009D1A12" w:rsidRPr="00742A04">
        <w:t>mejor</w:t>
      </w:r>
      <w:r w:rsidR="00545D1B" w:rsidRPr="00742A04">
        <w:t xml:space="preserve"> </w:t>
      </w:r>
      <w:r w:rsidR="00DD41C2" w:rsidRPr="00742A04">
        <w:t>calificaciones</w:t>
      </w:r>
      <w:r w:rsidR="00545D1B" w:rsidRPr="00742A04">
        <w:t xml:space="preserve"> </w:t>
      </w:r>
      <w:r w:rsidR="00F43124" w:rsidRPr="00742A04">
        <w:t>p</w:t>
      </w:r>
      <w:r w:rsidR="00DD41C2" w:rsidRPr="00742A04">
        <w:t>or</w:t>
      </w:r>
      <w:r w:rsidR="00545D1B" w:rsidRPr="00742A04">
        <w:t xml:space="preserve"> </w:t>
      </w:r>
      <w:r w:rsidR="00116976" w:rsidRPr="00742A04">
        <w:t>el trabajo</w:t>
      </w:r>
      <w:r w:rsidR="00DD41C2" w:rsidRPr="00742A04">
        <w:t xml:space="preserve"> de clase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2213CF" w:rsidRPr="00742A04">
        <w:t>los varones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D41C2" w:rsidRPr="00742A04">
        <w:t>todas las asignaturas, salvo</w:t>
      </w:r>
      <w:r w:rsidR="00545D1B" w:rsidRPr="00742A04">
        <w:t xml:space="preserve"> </w:t>
      </w:r>
      <w:r w:rsidR="00DD41C2" w:rsidRPr="00742A04">
        <w:t>educación física</w:t>
      </w:r>
      <w:r w:rsidR="00545D1B" w:rsidRPr="00742A04">
        <w:t>.</w:t>
      </w:r>
    </w:p>
    <w:p w:rsidR="00545D1B" w:rsidRPr="00742A04" w:rsidRDefault="00604B3A" w:rsidP="00DF2D9C">
      <w:pPr>
        <w:pStyle w:val="SingleTxt"/>
        <w:jc w:val="left"/>
        <w:rPr>
          <w:b/>
        </w:rPr>
      </w:pPr>
      <w:r w:rsidRPr="00742A04">
        <w:rPr>
          <w:b/>
        </w:rPr>
        <w:t>Estrategias</w:t>
      </w:r>
      <w:r w:rsidR="00545D1B" w:rsidRPr="00742A04">
        <w:rPr>
          <w:b/>
        </w:rPr>
        <w:t xml:space="preserve"> </w:t>
      </w:r>
      <w:r w:rsidR="00DF2D9C" w:rsidRPr="00742A04">
        <w:rPr>
          <w:b/>
        </w:rPr>
        <w:t>par</w:t>
      </w:r>
      <w:r w:rsidR="0030626A" w:rsidRPr="00742A04">
        <w:rPr>
          <w:b/>
        </w:rPr>
        <w:t>a</w:t>
      </w:r>
      <w:r w:rsidR="00545D1B" w:rsidRPr="00742A04">
        <w:rPr>
          <w:b/>
        </w:rPr>
        <w:t xml:space="preserve"> </w:t>
      </w:r>
      <w:r w:rsidR="006137EC" w:rsidRPr="00742A04">
        <w:rPr>
          <w:b/>
        </w:rPr>
        <w:t>fortalecer</w:t>
      </w:r>
      <w:r w:rsidR="00545D1B" w:rsidRPr="00742A04">
        <w:rPr>
          <w:b/>
        </w:rPr>
        <w:t xml:space="preserve"> </w:t>
      </w:r>
      <w:r w:rsidR="003E5775" w:rsidRPr="00742A04">
        <w:rPr>
          <w:b/>
        </w:rPr>
        <w:t>la perspectiva</w:t>
      </w:r>
      <w:r w:rsidR="00587443" w:rsidRPr="00742A04">
        <w:rPr>
          <w:b/>
        </w:rPr>
        <w:t xml:space="preserve"> de género</w:t>
      </w:r>
      <w:r w:rsidR="00545D1B" w:rsidRPr="00742A04">
        <w:rPr>
          <w:b/>
        </w:rPr>
        <w:t xml:space="preserve"> </w:t>
      </w:r>
      <w:r w:rsidR="00C14BFF" w:rsidRPr="00742A04">
        <w:rPr>
          <w:b/>
        </w:rPr>
        <w:t>en</w:t>
      </w:r>
      <w:r w:rsidR="00545D1B" w:rsidRPr="00742A04">
        <w:rPr>
          <w:b/>
        </w:rPr>
        <w:t xml:space="preserve"> </w:t>
      </w:r>
      <w:r w:rsidR="00DF2D9C" w:rsidRPr="00742A04">
        <w:rPr>
          <w:b/>
        </w:rPr>
        <w:t xml:space="preserve">la educación </w:t>
      </w:r>
      <w:r w:rsidR="00DF2D9C" w:rsidRPr="00742A04">
        <w:rPr>
          <w:b/>
        </w:rPr>
        <w:br/>
        <w:t xml:space="preserve">primaria, </w:t>
      </w:r>
      <w:r w:rsidR="00C11D0F" w:rsidRPr="00742A04">
        <w:rPr>
          <w:b/>
        </w:rPr>
        <w:t>secundaria i</w:t>
      </w:r>
      <w:r w:rsidR="00C11D0F" w:rsidRPr="00742A04">
        <w:rPr>
          <w:b/>
        </w:rPr>
        <w:t>n</w:t>
      </w:r>
      <w:r w:rsidR="00C11D0F" w:rsidRPr="00742A04">
        <w:rPr>
          <w:b/>
        </w:rPr>
        <w:t>ferior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545D1B" w:rsidRPr="00742A04">
        <w:rPr>
          <w:b/>
        </w:rPr>
        <w:t xml:space="preserve"> </w:t>
      </w:r>
      <w:r w:rsidR="00BB2CB9" w:rsidRPr="00742A04">
        <w:rPr>
          <w:b/>
        </w:rPr>
        <w:t>secundaria superior</w:t>
      </w:r>
      <w:r w:rsidR="00545D1B" w:rsidRPr="00742A04">
        <w:rPr>
          <w:b/>
        </w:rPr>
        <w:t xml:space="preserve"> </w:t>
      </w:r>
    </w:p>
    <w:p w:rsidR="000A08D8" w:rsidRPr="00742A04" w:rsidRDefault="004A0730" w:rsidP="005347C0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6C0744" w:rsidRPr="00742A04">
        <w:t>e Investigación</w:t>
      </w:r>
      <w:r w:rsidR="00545D1B" w:rsidRPr="00742A04">
        <w:t xml:space="preserve"> </w:t>
      </w:r>
      <w:r w:rsidR="00DF2D9C" w:rsidRPr="00742A04">
        <w:t>editó</w:t>
      </w:r>
      <w:r w:rsidR="00545D1B" w:rsidRPr="00742A04">
        <w:t xml:space="preserve"> </w:t>
      </w:r>
      <w:r w:rsidR="00FB34C1" w:rsidRPr="00742A04">
        <w:t>un folleto</w:t>
      </w:r>
      <w:r w:rsidR="00545D1B" w:rsidRPr="00742A04">
        <w:t xml:space="preserve"> </w:t>
      </w:r>
      <w:r w:rsidR="008A0C75" w:rsidRPr="00742A04">
        <w:t>titulado</w:t>
      </w:r>
      <w:r w:rsidR="00545D1B" w:rsidRPr="00742A04">
        <w:t xml:space="preserve"> </w:t>
      </w:r>
      <w:r w:rsidR="00545D1B" w:rsidRPr="00742A04">
        <w:rPr>
          <w:i/>
        </w:rPr>
        <w:t>Kjekk og pen</w:t>
      </w:r>
      <w:r w:rsidR="00545D1B" w:rsidRPr="00742A04">
        <w:t xml:space="preserve"> (</w:t>
      </w:r>
      <w:r w:rsidR="00DF2D9C" w:rsidRPr="00742A04">
        <w:t>“</w:t>
      </w:r>
      <w:r w:rsidR="00495A4E" w:rsidRPr="00742A04">
        <w:t>Apuesto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95A4E" w:rsidRPr="00742A04">
        <w:t>atractiva</w:t>
      </w:r>
      <w:r w:rsidR="00DF2D9C" w:rsidRPr="00742A04">
        <w:t>”</w:t>
      </w:r>
      <w:r w:rsidR="00545D1B" w:rsidRPr="00742A04">
        <w:t xml:space="preserve">, 2001). </w:t>
      </w:r>
      <w:r w:rsidR="00DF2D9C" w:rsidRPr="00742A04">
        <w:t>El</w:t>
      </w:r>
      <w:r w:rsidR="00FB34C1" w:rsidRPr="00742A04">
        <w:t xml:space="preserve"> folleto</w:t>
      </w:r>
      <w:r w:rsidR="00545D1B" w:rsidRPr="00742A04">
        <w:t xml:space="preserve"> pro</w:t>
      </w:r>
      <w:r w:rsidR="00DF2D9C" w:rsidRPr="00742A04">
        <w:t>porciona</w:t>
      </w:r>
      <w:r w:rsidR="00545D1B" w:rsidRPr="00742A04">
        <w:t xml:space="preserve"> informa</w:t>
      </w:r>
      <w:r w:rsidR="00C14BFF" w:rsidRPr="00742A04">
        <w:t xml:space="preserve">ción </w:t>
      </w:r>
      <w:r w:rsidR="00DF2D9C" w:rsidRPr="00742A04">
        <w:t>sobr</w:t>
      </w:r>
      <w:r w:rsidR="0077058E" w:rsidRPr="00742A04">
        <w:t>e la igualdad</w:t>
      </w:r>
      <w:r w:rsidR="00A05847" w:rsidRPr="00742A04">
        <w:t xml:space="preserve">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0526A" w:rsidRPr="00742A04">
        <w:t>da</w:t>
      </w:r>
      <w:r w:rsidR="00545D1B" w:rsidRPr="00742A04">
        <w:t xml:space="preserve"> </w:t>
      </w:r>
      <w:r w:rsidR="00502E16" w:rsidRPr="00742A04">
        <w:t>ejemplos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CD7AC7" w:rsidRPr="00742A04">
        <w:t>cómo</w:t>
      </w:r>
      <w:r w:rsidR="00545D1B" w:rsidRPr="00742A04">
        <w:t xml:space="preserve"> </w:t>
      </w:r>
      <w:r w:rsidR="00DF2D9C" w:rsidRPr="00742A04">
        <w:t xml:space="preserve">puede ponerse en práctica </w:t>
      </w:r>
      <w:r w:rsidR="003E5775" w:rsidRPr="00742A04">
        <w:t>la perspect</w:t>
      </w:r>
      <w:r w:rsidR="003E5775" w:rsidRPr="00742A04">
        <w:t>i</w:t>
      </w:r>
      <w:r w:rsidR="003E5775" w:rsidRPr="00742A04">
        <w:t>va</w:t>
      </w:r>
      <w:r w:rsidR="0058744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42371" w:rsidRPr="00742A04">
        <w:t>di</w:t>
      </w:r>
      <w:r w:rsidR="00DF2D9C" w:rsidRPr="00742A04">
        <w:t>stintas asignaturas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F2D9C" w:rsidRPr="00742A04">
        <w:t>esfer</w:t>
      </w:r>
      <w:r w:rsidR="00545D1B" w:rsidRPr="00742A04">
        <w:t xml:space="preserve">as. </w:t>
      </w:r>
      <w:r w:rsidR="00DF2D9C" w:rsidRPr="00742A04">
        <w:t>En el</w:t>
      </w:r>
      <w:r w:rsidR="00FB34C1" w:rsidRPr="00742A04">
        <w:t xml:space="preserve"> folleto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DF2D9C" w:rsidRPr="00742A04">
        <w:t>se insta a</w:t>
      </w:r>
      <w:r w:rsidR="00545D1B" w:rsidRPr="00742A04">
        <w:t xml:space="preserve"> </w:t>
      </w:r>
      <w:r w:rsidR="003E5775" w:rsidRPr="00742A04">
        <w:t>las e</w:t>
      </w:r>
      <w:r w:rsidR="003E5775" w:rsidRPr="00742A04">
        <w:t>s</w:t>
      </w:r>
      <w:r w:rsidR="003E5775" w:rsidRPr="00742A04">
        <w:t>cuelas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DF2D9C" w:rsidRPr="00742A04">
        <w:t>apl</w:t>
      </w:r>
      <w:r w:rsidR="00DF2D9C" w:rsidRPr="00742A04">
        <w:t>i</w:t>
      </w:r>
      <w:r w:rsidR="00DF2D9C" w:rsidRPr="00742A04">
        <w:t>car</w:t>
      </w:r>
      <w:r w:rsidR="00545D1B" w:rsidRPr="00742A04">
        <w:t xml:space="preserve"> </w:t>
      </w:r>
      <w:r w:rsidR="00DC0DB8" w:rsidRPr="00742A04">
        <w:t>medidas</w:t>
      </w:r>
      <w:r w:rsidR="00DF2D9C" w:rsidRPr="00742A04">
        <w:t xml:space="preserve"> apropiadas</w:t>
      </w:r>
      <w:r w:rsidR="00545D1B" w:rsidRPr="00742A04">
        <w:t xml:space="preserve">. </w:t>
      </w:r>
      <w:r w:rsidR="00DF2D9C" w:rsidRPr="00742A04">
        <w:t>Se propone ser u</w:t>
      </w:r>
      <w:r w:rsidR="00101B8C" w:rsidRPr="00742A04">
        <w:t>na guía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DF2D9C" w:rsidRPr="00742A04">
        <w:t>la incorporación de la per</w:t>
      </w:r>
      <w:r w:rsidR="00DF2D9C" w:rsidRPr="00742A04">
        <w:t>s</w:t>
      </w:r>
      <w:r w:rsidR="00DF2D9C" w:rsidRPr="00742A04">
        <w:t>pectiva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11D0F" w:rsidRPr="00742A04">
        <w:t xml:space="preserve">las escuelas </w:t>
      </w:r>
      <w:r w:rsidR="00DF2D9C" w:rsidRPr="00742A04">
        <w:t xml:space="preserve">primarias y </w:t>
      </w:r>
      <w:r w:rsidR="00C11D0F" w:rsidRPr="00742A04">
        <w:t>secundarias inferiores</w:t>
      </w:r>
      <w:r w:rsidR="000A08D8" w:rsidRPr="00742A04">
        <w:t>.</w:t>
      </w:r>
    </w:p>
    <w:p w:rsidR="00545D1B" w:rsidRPr="00742A04" w:rsidRDefault="00DF2D9C" w:rsidP="005347C0">
      <w:pPr>
        <w:pStyle w:val="SingleTxt"/>
        <w:ind w:firstLine="475"/>
      </w:pPr>
      <w:r w:rsidRPr="00742A04">
        <w:t xml:space="preserve">Los directores de todas </w:t>
      </w:r>
      <w:r w:rsidR="003E5775" w:rsidRPr="00742A04">
        <w:t>las escuelas</w:t>
      </w:r>
      <w:r w:rsidR="00545D1B" w:rsidRPr="00742A04">
        <w:t xml:space="preserve"> </w:t>
      </w:r>
      <w:r w:rsidRPr="00742A04">
        <w:t xml:space="preserve">de Noruega </w:t>
      </w:r>
      <w:r w:rsidR="006137EC" w:rsidRPr="00742A04">
        <w:t>son</w:t>
      </w:r>
      <w:r w:rsidR="00545D1B" w:rsidRPr="00742A04">
        <w:t xml:space="preserve"> </w:t>
      </w:r>
      <w:r w:rsidR="004F2F8A" w:rsidRPr="00742A04">
        <w:t>responsables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A5364F" w:rsidRPr="00742A04">
        <w:t>asegurar</w:t>
      </w:r>
      <w:r w:rsidR="00545D1B" w:rsidRPr="00742A04">
        <w:t xml:space="preserve"> </w:t>
      </w:r>
      <w:r w:rsidRPr="00742A04">
        <w:t>que se asigne una elevada prioridad a</w:t>
      </w:r>
      <w:r w:rsidR="00116976" w:rsidRPr="00742A04">
        <w:t>l trabajo</w:t>
      </w:r>
      <w:r w:rsidR="00545D1B" w:rsidRPr="00742A04">
        <w:t xml:space="preserve"> </w:t>
      </w:r>
      <w:r w:rsidRPr="00742A04">
        <w:t>sobre</w:t>
      </w:r>
      <w:r w:rsidR="0077058E" w:rsidRPr="00742A04">
        <w:t xml:space="preserve"> la igualdad</w:t>
      </w:r>
      <w:r w:rsidR="00A05847" w:rsidRPr="00742A04">
        <w:t xml:space="preserve"> de g</w:t>
      </w:r>
      <w:r w:rsidR="00A05847" w:rsidRPr="00742A04">
        <w:t>é</w:t>
      </w:r>
      <w:r w:rsidR="00A05847" w:rsidRPr="00742A04">
        <w:t>nero</w:t>
      </w:r>
      <w:r w:rsidR="00545D1B" w:rsidRPr="00742A04">
        <w:t>.</w:t>
      </w:r>
    </w:p>
    <w:p w:rsidR="00545D1B" w:rsidRPr="00742A04" w:rsidRDefault="00DF2D9C" w:rsidP="005347C0">
      <w:pPr>
        <w:pStyle w:val="SingleTxt"/>
        <w:ind w:firstLine="475"/>
      </w:pPr>
      <w:r w:rsidRPr="00742A04">
        <w:t xml:space="preserve">En los últimos años </w:t>
      </w:r>
      <w:r w:rsidR="00D75341" w:rsidRPr="00742A04">
        <w:t>se han editado v</w:t>
      </w:r>
      <w:r w:rsidR="004D313C" w:rsidRPr="00742A04">
        <w:t>arios</w:t>
      </w:r>
      <w:r w:rsidR="00545D1B" w:rsidRPr="00742A04">
        <w:t xml:space="preserve"> </w:t>
      </w:r>
      <w:r w:rsidRPr="00742A04">
        <w:t>otros</w:t>
      </w:r>
      <w:r w:rsidR="00FB34C1" w:rsidRPr="00742A04">
        <w:t xml:space="preserve"> folleto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D75341" w:rsidRPr="00742A04">
        <w:t>guía</w:t>
      </w:r>
      <w:r w:rsidR="00545D1B" w:rsidRPr="00742A04">
        <w:t>s:</w:t>
      </w:r>
    </w:p>
    <w:p w:rsidR="000A08D8" w:rsidRPr="00742A04" w:rsidRDefault="00D75341" w:rsidP="005347C0">
      <w:pPr>
        <w:pStyle w:val="SingleTxt"/>
        <w:numPr>
          <w:ilvl w:val="0"/>
          <w:numId w:val="43"/>
        </w:numPr>
        <w:tabs>
          <w:tab w:val="clear" w:pos="1742"/>
          <w:tab w:val="left" w:pos="1080"/>
        </w:tabs>
      </w:pPr>
      <w:r w:rsidRPr="00742A04">
        <w:t>La</w:t>
      </w:r>
      <w:r w:rsidR="00545D1B" w:rsidRPr="00742A04">
        <w:t xml:space="preserve"> </w:t>
      </w:r>
      <w:r w:rsidRPr="00742A04">
        <w:t>anterior</w:t>
      </w:r>
      <w:r w:rsidR="00545D1B" w:rsidRPr="00742A04">
        <w:t xml:space="preserve"> </w:t>
      </w:r>
      <w:r w:rsidRPr="00742A04">
        <w:t>Junta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Pr="00742A04">
        <w:t xml:space="preserve">de Noruega </w:t>
      </w:r>
      <w:r w:rsidR="00545D1B" w:rsidRPr="00742A04">
        <w:t>(</w:t>
      </w:r>
      <w:r w:rsidR="00E06311" w:rsidRPr="00742A04">
        <w:t>a</w:t>
      </w:r>
      <w:r w:rsidRPr="00742A04">
        <w:t>ctualmente</w:t>
      </w:r>
      <w:r w:rsidR="00545D1B" w:rsidRPr="00742A04">
        <w:t xml:space="preserve"> </w:t>
      </w:r>
      <w:r w:rsidR="005D2D07" w:rsidRPr="00742A04">
        <w:t>Dirección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</w:t>
      </w:r>
      <w:r w:rsidR="00A05847" w:rsidRPr="00742A04">
        <w:t>u</w:t>
      </w:r>
      <w:r w:rsidR="00A05847" w:rsidRPr="00742A04">
        <w:t>cación</w:t>
      </w:r>
      <w:r w:rsidR="00545D1B" w:rsidRPr="00742A04">
        <w:t xml:space="preserve">) </w:t>
      </w:r>
      <w:r w:rsidR="00877AA0" w:rsidRPr="00742A04">
        <w:t>y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Pr="00742A04">
        <w:t>anterior</w:t>
      </w:r>
      <w:r w:rsidR="00545D1B" w:rsidRPr="00742A04">
        <w:t xml:space="preserve"> </w:t>
      </w:r>
      <w:r w:rsidR="00AE0831" w:rsidRPr="00742A04">
        <w:t xml:space="preserve">Centro para la </w:t>
      </w:r>
      <w:r w:rsidR="00B31AE8" w:rsidRPr="00742A04">
        <w:t>Igualdad de Género</w:t>
      </w:r>
      <w:r w:rsidR="00545D1B" w:rsidRPr="00742A04">
        <w:t xml:space="preserve"> (</w:t>
      </w:r>
      <w:r w:rsidRPr="00742A04">
        <w:t>actualmente la</w:t>
      </w:r>
      <w:r w:rsidR="00545D1B" w:rsidRPr="00742A04">
        <w:t xml:space="preserve"> </w:t>
      </w:r>
      <w:r w:rsidRPr="00742A04">
        <w:t>Ombudsman de Promoción de la Igualdad y Lucha contra la Discrimin</w:t>
      </w:r>
      <w:r w:rsidRPr="00742A04">
        <w:t>a</w:t>
      </w:r>
      <w:r w:rsidRPr="00742A04">
        <w:t>ción</w:t>
      </w:r>
      <w:r w:rsidR="00545D1B" w:rsidRPr="00742A04">
        <w:t xml:space="preserve">) </w:t>
      </w:r>
      <w:r w:rsidRPr="00742A04">
        <w:t>editaron en conjunto</w:t>
      </w:r>
      <w:r w:rsidR="00545D1B" w:rsidRPr="00742A04">
        <w:t xml:space="preserve"> </w:t>
      </w:r>
      <w:r w:rsidR="00FB34C1" w:rsidRPr="00742A04">
        <w:t>un folleto</w:t>
      </w:r>
      <w:r w:rsidRPr="00742A04">
        <w:t xml:space="preserve"> titulado</w:t>
      </w:r>
      <w:r w:rsidR="00545D1B" w:rsidRPr="00742A04">
        <w:t xml:space="preserve"> </w:t>
      </w:r>
      <w:r w:rsidR="00545D1B" w:rsidRPr="00742A04">
        <w:rPr>
          <w:i/>
        </w:rPr>
        <w:t xml:space="preserve">Ungdom, </w:t>
      </w:r>
      <w:r w:rsidRPr="00742A04">
        <w:rPr>
          <w:i/>
        </w:rPr>
        <w:t>cine</w:t>
      </w:r>
      <w:r w:rsidR="00545D1B" w:rsidRPr="00742A04">
        <w:rPr>
          <w:i/>
        </w:rPr>
        <w:t xml:space="preserve"> og kjønn. Håndbok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lærere om likestilling </w:t>
      </w:r>
      <w:r w:rsidR="00545D1B" w:rsidRPr="00742A04">
        <w:t>(</w:t>
      </w:r>
      <w:r w:rsidRPr="00742A04">
        <w:t>“Juventud</w:t>
      </w:r>
      <w:r w:rsidR="00545D1B" w:rsidRPr="00742A04">
        <w:t xml:space="preserve">, </w:t>
      </w:r>
      <w:r w:rsidRPr="00742A04">
        <w:t>Cine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01B8C" w:rsidRPr="00742A04">
        <w:t>Sexo</w:t>
      </w:r>
      <w:r w:rsidR="00545D1B" w:rsidRPr="00742A04">
        <w:t xml:space="preserve">. </w:t>
      </w:r>
      <w:r w:rsidRPr="00742A04">
        <w:t>Manual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B0108" w:rsidRPr="00742A04">
        <w:t>maestros</w:t>
      </w:r>
      <w:r w:rsidR="00545D1B" w:rsidRPr="00742A04">
        <w:t xml:space="preserve"> </w:t>
      </w:r>
      <w:r w:rsidRPr="00742A04">
        <w:t>sobre</w:t>
      </w:r>
      <w:r w:rsidR="0077058E" w:rsidRPr="00742A04">
        <w:t xml:space="preserve"> la igualdad</w:t>
      </w:r>
      <w:r w:rsidR="00A05847" w:rsidRPr="00742A04">
        <w:t xml:space="preserve"> de género</w:t>
      </w:r>
      <w:r w:rsidRPr="00742A04">
        <w:t>”</w:t>
      </w:r>
      <w:r w:rsidR="00545D1B" w:rsidRPr="00742A04">
        <w:t>), adapt</w:t>
      </w:r>
      <w:r w:rsidRPr="00742A04">
        <w:t>ado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el nivel medio</w:t>
      </w:r>
      <w:r w:rsidR="00545D1B" w:rsidRPr="00742A04">
        <w:t xml:space="preserve">*, </w:t>
      </w:r>
      <w:r w:rsidRPr="00742A04">
        <w:t xml:space="preserve">el nivel </w:t>
      </w:r>
      <w:r w:rsidR="00C11D0F" w:rsidRPr="00742A04">
        <w:t>secun</w:t>
      </w:r>
      <w:r w:rsidRPr="00742A04">
        <w:t>dario</w:t>
      </w:r>
      <w:r w:rsidR="00C11D0F" w:rsidRPr="00742A04">
        <w:t xml:space="preserve"> inferior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las escuelas secundarias superiores</w:t>
      </w:r>
      <w:r w:rsidR="00545D1B" w:rsidRPr="00742A04">
        <w:t xml:space="preserve">. </w:t>
      </w:r>
      <w:r w:rsidRPr="00742A04">
        <w:t>Este</w:t>
      </w:r>
      <w:r w:rsidR="00545D1B" w:rsidRPr="00742A04">
        <w:t xml:space="preserve"> mat</w:t>
      </w:r>
      <w:r w:rsidR="00545D1B" w:rsidRPr="00742A04">
        <w:t>e</w:t>
      </w:r>
      <w:r w:rsidR="00545D1B" w:rsidRPr="00742A04">
        <w:t xml:space="preserve">rial, </w:t>
      </w:r>
      <w:r w:rsidR="00E575DB" w:rsidRPr="00742A04">
        <w:t>que</w:t>
      </w:r>
      <w:r w:rsidR="00545D1B" w:rsidRPr="00742A04">
        <w:t xml:space="preserve"> </w:t>
      </w:r>
      <w:r w:rsidRPr="00742A04">
        <w:t xml:space="preserve">está centrado </w:t>
      </w:r>
      <w:r w:rsidR="007C3856" w:rsidRPr="00742A04">
        <w:t>especialmente</w:t>
      </w:r>
      <w:r w:rsidR="00545D1B" w:rsidRPr="00742A04">
        <w:t xml:space="preserve"> </w:t>
      </w:r>
      <w:r w:rsidRPr="00742A04">
        <w:t>en los</w:t>
      </w:r>
      <w:r w:rsidR="00545D1B" w:rsidRPr="00742A04">
        <w:t xml:space="preserve"> </w:t>
      </w:r>
      <w:r w:rsidR="00615664" w:rsidRPr="00742A04">
        <w:t>roles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debate</w:t>
      </w:r>
      <w:r w:rsidRPr="00742A04">
        <w:t xml:space="preserve"> c</w:t>
      </w:r>
      <w:r w:rsidRPr="00742A04">
        <w:t>o</w:t>
      </w:r>
      <w:r w:rsidRPr="00742A04">
        <w:t>nexo</w:t>
      </w:r>
      <w:r w:rsidR="00545D1B" w:rsidRPr="00742A04">
        <w:t xml:space="preserve">, </w:t>
      </w:r>
      <w:r w:rsidRPr="00742A04">
        <w:t>fu</w:t>
      </w:r>
      <w:r w:rsidR="00B31D97" w:rsidRPr="00742A04">
        <w:t>e lan</w:t>
      </w:r>
      <w:r w:rsidRPr="00742A04">
        <w:t>zado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86412" w:rsidRPr="00742A04">
        <w:t>agosto de</w:t>
      </w:r>
      <w:r w:rsidR="00545D1B" w:rsidRPr="00742A04">
        <w:t xml:space="preserve"> 2003 </w:t>
      </w:r>
      <w:r w:rsidRPr="00742A04">
        <w:t>junto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una</w:t>
      </w:r>
      <w:r w:rsidR="00545D1B" w:rsidRPr="00742A04">
        <w:t xml:space="preserve"> </w:t>
      </w:r>
      <w:r w:rsidRPr="00742A04">
        <w:t>guía del maestro</w:t>
      </w:r>
      <w:r w:rsidR="00545D1B" w:rsidRPr="00742A04">
        <w:t xml:space="preserve">. </w:t>
      </w:r>
      <w:r w:rsidRPr="00742A04">
        <w:t>El o</w:t>
      </w:r>
      <w:r w:rsidRPr="00742A04">
        <w:t>b</w:t>
      </w:r>
      <w:r w:rsidRPr="00742A04">
        <w:t>jetivo de este</w:t>
      </w:r>
      <w:r w:rsidR="00545D1B" w:rsidRPr="00742A04">
        <w:t xml:space="preserve"> material </w:t>
      </w:r>
      <w:r w:rsidR="00BB4DB1" w:rsidRPr="00742A04">
        <w:t>es</w:t>
      </w:r>
      <w:r w:rsidR="00545D1B" w:rsidRPr="00742A04">
        <w:t xml:space="preserve"> </w:t>
      </w:r>
      <w:r w:rsidR="008356CA" w:rsidRPr="00742A04">
        <w:t>dar a</w:t>
      </w:r>
      <w:r w:rsidR="00545D1B" w:rsidRPr="00742A04">
        <w:t xml:space="preserve"> </w:t>
      </w:r>
      <w:r w:rsidR="00552CFE" w:rsidRPr="00742A04">
        <w:t>los alumnos</w:t>
      </w:r>
      <w:r w:rsidR="00545D1B" w:rsidRPr="00742A04">
        <w:t xml:space="preserve"> </w:t>
      </w:r>
      <w:r w:rsidR="008356CA" w:rsidRPr="00742A04">
        <w:t>mayor conciencia acerca de las pautas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B65CD" w:rsidRPr="00742A04">
        <w:t>rol</w:t>
      </w:r>
      <w:r w:rsidR="008356CA" w:rsidRPr="00742A04">
        <w:t>es</w:t>
      </w:r>
      <w:r w:rsidR="00545D1B" w:rsidRPr="00742A04">
        <w:t>, pro</w:t>
      </w:r>
      <w:r w:rsidR="008356CA" w:rsidRPr="00742A04">
        <w:t>porcionar a</w:t>
      </w:r>
      <w:r w:rsidR="00545D1B" w:rsidRPr="00742A04">
        <w:t xml:space="preserve"> </w:t>
      </w:r>
      <w:r w:rsidR="008B0108" w:rsidRPr="00742A04">
        <w:t>los maestros</w:t>
      </w:r>
      <w:r w:rsidR="00545D1B" w:rsidRPr="00742A04">
        <w:t xml:space="preserve"> </w:t>
      </w:r>
      <w:r w:rsidR="00811B7C" w:rsidRPr="00742A04">
        <w:t>instrumentos</w:t>
      </w:r>
      <w:r w:rsidR="00545D1B" w:rsidRPr="00742A04">
        <w:t xml:space="preserve"> </w:t>
      </w:r>
      <w:r w:rsidR="008356CA" w:rsidRPr="00742A04">
        <w:t>educacion</w:t>
      </w:r>
      <w:r w:rsidR="008356CA" w:rsidRPr="00742A04">
        <w:t>a</w:t>
      </w:r>
      <w:r w:rsidR="008356CA" w:rsidRPr="00742A04">
        <w:t xml:space="preserve">les prácticos </w:t>
      </w:r>
      <w:r w:rsidR="00F43124" w:rsidRPr="00742A04">
        <w:t>para</w:t>
      </w:r>
      <w:r w:rsidR="00545D1B" w:rsidRPr="00742A04">
        <w:t xml:space="preserve"> </w:t>
      </w:r>
      <w:r w:rsidR="008356CA" w:rsidRPr="00742A04">
        <w:t>tal fin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8356CA" w:rsidRPr="00742A04">
        <w:t>complementar algunos temas seleccionados del</w:t>
      </w:r>
      <w:r w:rsidR="00545D1B" w:rsidRPr="00742A04">
        <w:t xml:space="preserve"> </w:t>
      </w:r>
      <w:r w:rsidR="008356CA" w:rsidRPr="00742A04">
        <w:t>f</w:t>
      </w:r>
      <w:r w:rsidR="008356CA" w:rsidRPr="00742A04">
        <w:t>o</w:t>
      </w:r>
      <w:r w:rsidR="008356CA" w:rsidRPr="00742A04">
        <w:t>lleto</w:t>
      </w:r>
      <w:r w:rsidR="008356CA" w:rsidRPr="00742A04">
        <w:rPr>
          <w:i/>
        </w:rPr>
        <w:t xml:space="preserve"> </w:t>
      </w:r>
      <w:r w:rsidR="00545D1B" w:rsidRPr="00742A04">
        <w:rPr>
          <w:i/>
        </w:rPr>
        <w:t>Kjekk og Pen</w:t>
      </w:r>
      <w:r w:rsidR="000A08D8" w:rsidRPr="00742A04">
        <w:t>.</w:t>
      </w:r>
    </w:p>
    <w:p w:rsidR="000A08D8" w:rsidRPr="00742A04" w:rsidRDefault="008356CA" w:rsidP="005347C0">
      <w:pPr>
        <w:pStyle w:val="SingleTxt"/>
        <w:numPr>
          <w:ilvl w:val="0"/>
          <w:numId w:val="43"/>
        </w:numPr>
        <w:tabs>
          <w:tab w:val="clear" w:pos="1742"/>
          <w:tab w:val="left" w:pos="1080"/>
        </w:tabs>
      </w:pPr>
      <w:r w:rsidRPr="00742A04">
        <w:t>A pedido</w:t>
      </w:r>
      <w:r w:rsidR="0030626A" w:rsidRPr="00742A04">
        <w:t xml:space="preserve"> del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Asuntos Sociales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ED9" w:rsidRPr="00742A04">
        <w:t>en cooperación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, </w:t>
      </w:r>
      <w:r w:rsidR="001902F8" w:rsidRPr="00742A04">
        <w:t>Investigación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Asuntos Eclesiásticos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2001 </w:t>
      </w:r>
      <w:r w:rsidRPr="00742A04">
        <w:t>la Junta de Educación de Noruega</w:t>
      </w:r>
      <w:r w:rsidR="00545D1B" w:rsidRPr="00742A04">
        <w:t xml:space="preserve"> </w:t>
      </w:r>
      <w:r w:rsidRPr="00742A04">
        <w:t>editó</w:t>
      </w:r>
      <w:r w:rsidR="00545D1B" w:rsidRPr="00742A04">
        <w:t xml:space="preserve"> </w:t>
      </w:r>
      <w:r w:rsidR="008A0C75" w:rsidRPr="00742A04">
        <w:t>el libro</w:t>
      </w:r>
      <w:r w:rsidR="00545D1B" w:rsidRPr="00742A04">
        <w:t xml:space="preserve"> </w:t>
      </w:r>
      <w:r w:rsidR="00545D1B" w:rsidRPr="00742A04">
        <w:rPr>
          <w:i/>
        </w:rPr>
        <w:t>Samliv og seksualitet. Re</w:t>
      </w:r>
      <w:r w:rsidR="00545D1B" w:rsidRPr="00742A04">
        <w:rPr>
          <w:i/>
        </w:rPr>
        <w:t>s</w:t>
      </w:r>
      <w:r w:rsidR="00545D1B" w:rsidRPr="00742A04">
        <w:rPr>
          <w:i/>
        </w:rPr>
        <w:t xml:space="preserve">sursbok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lærere</w:t>
      </w:r>
      <w:r w:rsidR="00545D1B" w:rsidRPr="00742A04">
        <w:t xml:space="preserve"> (</w:t>
      </w:r>
      <w:r w:rsidRPr="00742A04">
        <w:t>“</w:t>
      </w:r>
      <w:r w:rsidR="00545D1B" w:rsidRPr="00742A04">
        <w:t>Par</w:t>
      </w:r>
      <w:r w:rsidRPr="00742A04">
        <w:t>eja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Sexual</w:t>
      </w:r>
      <w:r w:rsidR="00502E16" w:rsidRPr="00742A04">
        <w:t>idad</w:t>
      </w:r>
      <w:r w:rsidR="00545D1B" w:rsidRPr="00742A04">
        <w:t xml:space="preserve">. </w:t>
      </w:r>
      <w:r w:rsidRPr="00742A04">
        <w:t>Un libro de recursos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B0108" w:rsidRPr="00742A04">
        <w:t>los maestros</w:t>
      </w:r>
      <w:r w:rsidRPr="00742A04">
        <w:t>”</w:t>
      </w:r>
      <w:r w:rsidR="00545D1B" w:rsidRPr="00742A04">
        <w:t xml:space="preserve">). </w:t>
      </w:r>
      <w:r w:rsidRPr="00742A04">
        <w:t>El objetivo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B31D97" w:rsidRPr="00742A04">
        <w:t>mejorar</w:t>
      </w:r>
      <w:r w:rsidR="00545D1B" w:rsidRPr="00742A04">
        <w:t xml:space="preserve"> </w:t>
      </w:r>
      <w:r w:rsidRPr="00742A04">
        <w:t>la competencia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 maestros de las</w:t>
      </w:r>
      <w:r w:rsidR="00545D1B" w:rsidRPr="00742A04">
        <w:t xml:space="preserve"> </w:t>
      </w:r>
      <w:r w:rsidRPr="00742A04">
        <w:t>e</w:t>
      </w:r>
      <w:r w:rsidR="00032F7B" w:rsidRPr="00742A04">
        <w:t>scuela</w:t>
      </w:r>
      <w:r w:rsidRPr="00742A04">
        <w:t>s</w:t>
      </w:r>
      <w:r w:rsidR="00032F7B" w:rsidRPr="00742A04">
        <w:t xml:space="preserve"> secundaria</w:t>
      </w:r>
      <w:r w:rsidRPr="00742A04">
        <w:t>s inferiores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 personal de la salud</w:t>
      </w:r>
      <w:r w:rsidR="00545D1B" w:rsidRPr="00742A04">
        <w:t xml:space="preserve"> </w:t>
      </w:r>
      <w:r w:rsidRPr="00742A04">
        <w:t>par</w:t>
      </w:r>
      <w:r w:rsidR="00434891" w:rsidRPr="00742A04">
        <w:t>a</w:t>
      </w:r>
      <w:r w:rsidRPr="00742A04">
        <w:t xml:space="preserve"> impartir a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 </w:t>
      </w:r>
      <w:r w:rsidRPr="00742A04">
        <w:t xml:space="preserve">enseñanza </w:t>
      </w:r>
      <w:r w:rsidR="003E4840" w:rsidRPr="00742A04">
        <w:t>acerca de</w:t>
      </w:r>
      <w:r w:rsidR="00545D1B" w:rsidRPr="00742A04">
        <w:t xml:space="preserve"> </w:t>
      </w:r>
      <w:r w:rsidRPr="00742A04">
        <w:t>la pareja</w:t>
      </w:r>
      <w:r w:rsidR="00545D1B" w:rsidRPr="00742A04">
        <w:t xml:space="preserve">, </w:t>
      </w:r>
      <w:r w:rsidRPr="00742A04">
        <w:t xml:space="preserve">la </w:t>
      </w:r>
      <w:r w:rsidR="00545D1B" w:rsidRPr="00742A04">
        <w:t>sexual</w:t>
      </w:r>
      <w:r w:rsidR="00502E16" w:rsidRPr="00742A04">
        <w:t>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los métodos antico</w:t>
      </w:r>
      <w:r w:rsidRPr="00742A04">
        <w:t>n</w:t>
      </w:r>
      <w:r w:rsidR="00545D1B" w:rsidRPr="00742A04">
        <w:t>cep</w:t>
      </w:r>
      <w:r w:rsidRPr="00742A04">
        <w:t>tivos</w:t>
      </w:r>
      <w:r w:rsidR="000A08D8" w:rsidRPr="00742A04">
        <w:t>.</w:t>
      </w:r>
    </w:p>
    <w:p w:rsidR="00545D1B" w:rsidRPr="00742A04" w:rsidRDefault="008A0C75" w:rsidP="005347C0">
      <w:pPr>
        <w:pStyle w:val="SingleTxt"/>
        <w:numPr>
          <w:ilvl w:val="0"/>
          <w:numId w:val="43"/>
        </w:numPr>
        <w:tabs>
          <w:tab w:val="clear" w:pos="1742"/>
          <w:tab w:val="left" w:pos="1080"/>
        </w:tabs>
      </w:pPr>
      <w:r w:rsidRPr="00742A04">
        <w:t>Como seguimiento</w:t>
      </w:r>
      <w:r w:rsidR="004F2F8A" w:rsidRPr="00742A04">
        <w:t xml:space="preserve"> del </w:t>
      </w:r>
      <w:r w:rsidR="002213CF" w:rsidRPr="00742A04">
        <w:t>proyecto</w:t>
      </w:r>
      <w:r w:rsidR="00545D1B" w:rsidRPr="00742A04">
        <w:t xml:space="preserve"> </w:t>
      </w:r>
      <w:r w:rsidR="001902F8" w:rsidRPr="00742A04">
        <w:rPr>
          <w:i/>
        </w:rPr>
        <w:t>Opciones educacionales conscientes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DA59C5" w:rsidRPr="00742A04">
        <w:t>terminó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A59C5" w:rsidRPr="00742A04">
        <w:t xml:space="preserve">el año </w:t>
      </w:r>
      <w:r w:rsidR="00545D1B" w:rsidRPr="00742A04">
        <w:t xml:space="preserve">2000, </w:t>
      </w:r>
      <w:r w:rsidR="008356CA" w:rsidRPr="00742A04">
        <w:t>la Junta de Educación de Noruega</w:t>
      </w:r>
      <w:r w:rsidR="00545D1B" w:rsidRPr="00742A04">
        <w:t xml:space="preserve"> </w:t>
      </w:r>
      <w:r w:rsidR="00DA59C5" w:rsidRPr="00742A04">
        <w:t>elaboró</w:t>
      </w:r>
      <w:r w:rsidR="00545D1B" w:rsidRPr="00742A04">
        <w:t xml:space="preserve"> </w:t>
      </w:r>
      <w:r w:rsidR="00DA59C5" w:rsidRPr="00742A04">
        <w:t>u</w:t>
      </w:r>
      <w:r w:rsidR="00101B8C" w:rsidRPr="00742A04">
        <w:t>na guía</w:t>
      </w:r>
      <w:r w:rsidR="00545D1B" w:rsidRPr="00742A04">
        <w:t xml:space="preserve"> </w:t>
      </w:r>
      <w:r w:rsidR="00DA59C5" w:rsidRPr="00742A04">
        <w:t>sobre asesoramiento</w:t>
      </w:r>
      <w:r w:rsidR="00545D1B" w:rsidRPr="00742A04">
        <w:t xml:space="preserve"> </w:t>
      </w:r>
      <w:r w:rsidR="008E5EBF" w:rsidRPr="00742A04">
        <w:t>educacional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23431" w:rsidRPr="00742A04">
        <w:t>vocacional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DA59C5" w:rsidRPr="00742A04">
        <w:t>consejeros</w:t>
      </w:r>
      <w:r w:rsidR="00545D1B" w:rsidRPr="00742A04">
        <w:t xml:space="preserve"> </w:t>
      </w:r>
      <w:r w:rsidR="00DA59C5" w:rsidRPr="00742A04">
        <w:t>d</w:t>
      </w:r>
      <w:r w:rsidR="00C14BFF" w:rsidRPr="00742A04">
        <w:t>e</w:t>
      </w:r>
      <w:r w:rsidR="00545D1B" w:rsidRPr="00742A04">
        <w:t xml:space="preserve"> </w:t>
      </w:r>
      <w:r w:rsidR="00DA59C5" w:rsidRPr="00742A04">
        <w:t>las escu</w:t>
      </w:r>
      <w:r w:rsidR="00DA59C5" w:rsidRPr="00742A04">
        <w:t>e</w:t>
      </w:r>
      <w:r w:rsidR="00DA59C5" w:rsidRPr="00742A04">
        <w:t>las secundarias inferiores y superiores</w:t>
      </w:r>
      <w:r w:rsidR="00545D1B" w:rsidRPr="00742A04">
        <w:t>.</w:t>
      </w:r>
      <w:r w:rsidR="005E08DF" w:rsidRPr="00742A04">
        <w:t xml:space="preserve"> </w:t>
      </w:r>
      <w:r w:rsidR="00DA59C5" w:rsidRPr="00742A04">
        <w:t>L</w:t>
      </w:r>
      <w:r w:rsidR="005E08DF" w:rsidRPr="00742A04">
        <w:t xml:space="preserve">a </w:t>
      </w:r>
      <w:r w:rsidR="006B65CD" w:rsidRPr="00742A04">
        <w:t>finalidad</w:t>
      </w:r>
      <w:r w:rsidR="00545D1B" w:rsidRPr="00742A04">
        <w:t xml:space="preserve"> </w:t>
      </w:r>
      <w:r w:rsidR="0077058E" w:rsidRPr="00742A04">
        <w:t>del proyecto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30626A" w:rsidRPr="00742A04">
        <w:t>a</w:t>
      </w:r>
      <w:r w:rsidR="00DA59C5" w:rsidRPr="00742A04">
        <w:t>lentar a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 </w:t>
      </w:r>
      <w:r w:rsidR="00DA59C5" w:rsidRPr="00742A04">
        <w:t>a hacer</w:t>
      </w:r>
      <w:r w:rsidR="00545D1B" w:rsidRPr="00742A04">
        <w:t xml:space="preserve"> </w:t>
      </w:r>
      <w:r w:rsidR="00DA59C5" w:rsidRPr="00742A04">
        <w:t xml:space="preserve">opciones </w:t>
      </w:r>
      <w:r w:rsidR="008E5EBF" w:rsidRPr="00742A04">
        <w:t>educacional</w:t>
      </w:r>
      <w:r w:rsidR="00DA59C5" w:rsidRPr="00742A04">
        <w:t>es</w:t>
      </w:r>
      <w:r w:rsidR="00545D1B" w:rsidRPr="00742A04">
        <w:t xml:space="preserve"> </w:t>
      </w:r>
      <w:r w:rsidR="00DA59C5" w:rsidRPr="00742A04">
        <w:t>menos tradicionales</w:t>
      </w:r>
      <w:r w:rsidR="00545D1B" w:rsidRPr="00742A04">
        <w:t>.</w:t>
      </w:r>
    </w:p>
    <w:p w:rsidR="00DA59C5" w:rsidRPr="00742A04" w:rsidRDefault="00DA59C5" w:rsidP="005347C0">
      <w:pPr>
        <w:pStyle w:val="SingleTxt"/>
        <w:ind w:firstLine="475"/>
      </w:pPr>
      <w:r w:rsidRPr="00742A04">
        <w:t>Como medida para fortalecer la perspectiva de género, el Ministerio de Educ</w:t>
      </w:r>
      <w:r w:rsidRPr="00742A04">
        <w:t>a</w:t>
      </w:r>
      <w:r w:rsidRPr="00742A04">
        <w:t>ción e Investigación pidió a la Dirección de Educación que elaborara una estrategia para mejorar el equilibrio de género en la educación sobre la base de los conoc</w:t>
      </w:r>
      <w:r w:rsidRPr="00742A04">
        <w:t>i</w:t>
      </w:r>
      <w:r w:rsidRPr="00742A04">
        <w:t xml:space="preserve">mientos actuales y la investigación </w:t>
      </w:r>
      <w:r w:rsidR="00D174CB" w:rsidRPr="00742A04">
        <w:t>de</w:t>
      </w:r>
      <w:r w:rsidRPr="00742A04">
        <w:t xml:space="preserve"> las razones </w:t>
      </w:r>
      <w:r w:rsidR="00D174CB" w:rsidRPr="00742A04">
        <w:t>de las</w:t>
      </w:r>
      <w:r w:rsidRPr="00742A04">
        <w:t xml:space="preserve"> </w:t>
      </w:r>
      <w:r w:rsidR="00D174CB" w:rsidRPr="00742A04">
        <w:t xml:space="preserve">opciones </w:t>
      </w:r>
      <w:r w:rsidRPr="00742A04">
        <w:t>de los varones y las mujeres</w:t>
      </w:r>
      <w:r w:rsidR="00D174CB" w:rsidRPr="00742A04">
        <w:t xml:space="preserve"> en materia</w:t>
      </w:r>
      <w:r w:rsidRPr="00742A04">
        <w:t xml:space="preserve"> educacional y</w:t>
      </w:r>
      <w:r w:rsidR="00D174CB" w:rsidRPr="00742A04">
        <w:t xml:space="preserve"> de</w:t>
      </w:r>
      <w:r w:rsidRPr="00742A04">
        <w:t xml:space="preserve"> carrera. La estrategia también </w:t>
      </w:r>
      <w:r w:rsidR="006672E0" w:rsidRPr="00742A04">
        <w:t>será</w:t>
      </w:r>
      <w:r w:rsidRPr="00742A04">
        <w:t xml:space="preserve"> </w:t>
      </w:r>
      <w:r w:rsidR="00D174CB" w:rsidRPr="00742A04">
        <w:t>consid</w:t>
      </w:r>
      <w:r w:rsidR="00D174CB" w:rsidRPr="00742A04">
        <w:t>e</w:t>
      </w:r>
      <w:r w:rsidR="00D174CB" w:rsidRPr="00742A04">
        <w:t>rada</w:t>
      </w:r>
      <w:r w:rsidRPr="00742A04">
        <w:t xml:space="preserve"> en conjunción con ot</w:t>
      </w:r>
      <w:r w:rsidR="00D174CB" w:rsidRPr="00742A04">
        <w:t>ros</w:t>
      </w:r>
      <w:r w:rsidRPr="00742A04">
        <w:t xml:space="preserve"> importante</w:t>
      </w:r>
      <w:r w:rsidR="00D174CB" w:rsidRPr="00742A04">
        <w:t>s</w:t>
      </w:r>
      <w:r w:rsidRPr="00742A04">
        <w:t xml:space="preserve"> </w:t>
      </w:r>
      <w:r w:rsidR="00D174CB" w:rsidRPr="00742A04">
        <w:t xml:space="preserve">objetivos en materia de </w:t>
      </w:r>
      <w:r w:rsidRPr="00742A04">
        <w:t>política</w:t>
      </w:r>
      <w:r w:rsidR="00D174CB" w:rsidRPr="00742A04">
        <w:t xml:space="preserve"> de educ</w:t>
      </w:r>
      <w:r w:rsidR="00D174CB" w:rsidRPr="00742A04">
        <w:t>a</w:t>
      </w:r>
      <w:r w:rsidR="00D174CB" w:rsidRPr="00742A04">
        <w:t>ción</w:t>
      </w:r>
      <w:r w:rsidRPr="00742A04">
        <w:t xml:space="preserve">, tales como </w:t>
      </w:r>
      <w:r w:rsidR="00D174CB" w:rsidRPr="00742A04">
        <w:t>la captación para las asignaturas</w:t>
      </w:r>
      <w:r w:rsidRPr="00742A04">
        <w:t xml:space="preserve"> cien</w:t>
      </w:r>
      <w:r w:rsidR="00D174CB" w:rsidRPr="00742A04">
        <w:t>tíficas</w:t>
      </w:r>
      <w:r w:rsidRPr="00742A04">
        <w:t xml:space="preserve"> y </w:t>
      </w:r>
      <w:r w:rsidR="00D174CB" w:rsidRPr="00742A04">
        <w:t>la</w:t>
      </w:r>
      <w:r w:rsidRPr="00742A04">
        <w:t xml:space="preserve"> contratación de hombres </w:t>
      </w:r>
      <w:r w:rsidR="00D174CB" w:rsidRPr="00742A04">
        <w:t>par</w:t>
      </w:r>
      <w:r w:rsidRPr="00742A04">
        <w:t xml:space="preserve">a trabajar en las guarderías, la enseñanza, etc. </w:t>
      </w:r>
      <w:r w:rsidR="00D174CB" w:rsidRPr="00742A04">
        <w:t>L</w:t>
      </w:r>
      <w:r w:rsidRPr="00742A04">
        <w:t xml:space="preserve">a estrategia </w:t>
      </w:r>
      <w:r w:rsidR="00D174CB" w:rsidRPr="00742A04">
        <w:t>será</w:t>
      </w:r>
      <w:r w:rsidRPr="00742A04">
        <w:t xml:space="preserve"> co</w:t>
      </w:r>
      <w:r w:rsidRPr="00742A04">
        <w:t>m</w:t>
      </w:r>
      <w:r w:rsidRPr="00742A04">
        <w:t>plet</w:t>
      </w:r>
      <w:r w:rsidR="00D174CB" w:rsidRPr="00742A04">
        <w:t>ada</w:t>
      </w:r>
      <w:r w:rsidRPr="00742A04">
        <w:t xml:space="preserve"> en el curso de 2006 y </w:t>
      </w:r>
      <w:r w:rsidR="00D174CB" w:rsidRPr="00742A04">
        <w:t>comprenderá</w:t>
      </w:r>
      <w:r w:rsidRPr="00742A04">
        <w:t xml:space="preserve"> varias medidas prá</w:t>
      </w:r>
      <w:r w:rsidRPr="00742A04">
        <w:t>c</w:t>
      </w:r>
      <w:r w:rsidRPr="00742A04">
        <w:t>ticas.</w:t>
      </w:r>
    </w:p>
    <w:p w:rsidR="00545D1B" w:rsidRPr="00742A04" w:rsidRDefault="004A0730" w:rsidP="005347C0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6C0744" w:rsidRPr="00742A04">
        <w:t>e Investigación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D873A0" w:rsidRPr="00742A04">
        <w:t xml:space="preserve">ha </w:t>
      </w:r>
      <w:r w:rsidR="0079108A" w:rsidRPr="00742A04">
        <w:t>lanzado</w:t>
      </w:r>
      <w:r w:rsidR="00545D1B" w:rsidRPr="00742A04">
        <w:t xml:space="preserve"> </w:t>
      </w:r>
      <w:r w:rsidR="00D873A0" w:rsidRPr="00742A04">
        <w:t>un</w:t>
      </w:r>
      <w:r w:rsidR="00545D1B" w:rsidRPr="00742A04">
        <w:t xml:space="preserve"> </w:t>
      </w:r>
      <w:r w:rsidR="00F43124" w:rsidRPr="00742A04">
        <w:t>programa</w:t>
      </w:r>
      <w:r w:rsidR="00EA6AC2" w:rsidRPr="00742A04">
        <w:t xml:space="preserve"> </w:t>
      </w:r>
      <w:r w:rsidR="00D873A0" w:rsidRPr="00742A04">
        <w:t>encaminado a</w:t>
      </w:r>
      <w:r w:rsidR="00EA6AC2" w:rsidRPr="00742A04">
        <w:t xml:space="preserve"> promover </w:t>
      </w:r>
      <w:r w:rsidR="00D873A0" w:rsidRPr="00742A04">
        <w:t xml:space="preserve">la </w:t>
      </w:r>
      <w:r w:rsidR="00AE4459" w:rsidRPr="00742A04">
        <w:t>matemática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873A0" w:rsidRPr="00742A04">
        <w:t>las ciencias,</w:t>
      </w:r>
      <w:r w:rsidR="00545D1B" w:rsidRPr="00742A04">
        <w:t xml:space="preserve"> </w:t>
      </w:r>
      <w:r w:rsidR="008A0C75" w:rsidRPr="00742A04">
        <w:t>titulado</w:t>
      </w:r>
      <w:r w:rsidR="00545D1B" w:rsidRPr="00742A04">
        <w:rPr>
          <w:i/>
        </w:rPr>
        <w:t xml:space="preserve"> Realfag naturligvis – strategi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styrking av realfagene i 2002-2007</w:t>
      </w:r>
      <w:r w:rsidR="00545D1B" w:rsidRPr="00742A04">
        <w:t xml:space="preserve"> (</w:t>
      </w:r>
      <w:r w:rsidR="00D873A0" w:rsidRPr="00742A04">
        <w:t>“Matemática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873A0" w:rsidRPr="00742A04">
        <w:t>ciencias con</w:t>
      </w:r>
      <w:r w:rsidR="00545D1B" w:rsidRPr="00742A04">
        <w:t xml:space="preserve"> nat</w:t>
      </w:r>
      <w:r w:rsidR="00545D1B" w:rsidRPr="00742A04">
        <w:t>u</w:t>
      </w:r>
      <w:r w:rsidR="00545D1B" w:rsidRPr="00742A04">
        <w:t>ra</w:t>
      </w:r>
      <w:r w:rsidR="005F7B32" w:rsidRPr="00742A04">
        <w:t>l</w:t>
      </w:r>
      <w:r w:rsidR="00D873A0" w:rsidRPr="00742A04">
        <w:t>idad</w:t>
      </w:r>
      <w:r w:rsidR="005F7B32" w:rsidRPr="00742A04">
        <w:t xml:space="preserve"> </w:t>
      </w:r>
      <w:r w:rsidR="00545D1B" w:rsidRPr="00742A04">
        <w:t xml:space="preserve">– </w:t>
      </w:r>
      <w:r w:rsidR="00C923A8" w:rsidRPr="00742A04">
        <w:t>estrategia</w:t>
      </w:r>
      <w:r w:rsidR="00545D1B" w:rsidRPr="00742A04">
        <w:t xml:space="preserve"> </w:t>
      </w:r>
      <w:r w:rsidR="00D873A0" w:rsidRPr="00742A04">
        <w:t>par</w:t>
      </w:r>
      <w:r w:rsidR="0030626A" w:rsidRPr="00742A04">
        <w:t>a</w:t>
      </w:r>
      <w:r w:rsidR="00545D1B" w:rsidRPr="00742A04">
        <w:t xml:space="preserve"> </w:t>
      </w:r>
      <w:r w:rsidR="006137EC" w:rsidRPr="00742A04">
        <w:t>fortalecer</w:t>
      </w:r>
      <w:r w:rsidR="00237E6F">
        <w:t xml:space="preserve"> la</w:t>
      </w:r>
      <w:r w:rsidR="00545D1B" w:rsidRPr="00742A04">
        <w:t xml:space="preserve"> </w:t>
      </w:r>
      <w:r w:rsidR="00AE4459" w:rsidRPr="00742A04">
        <w:t>matemática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873A0" w:rsidRPr="00742A04">
        <w:t>las asignaturas científicas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2002-2007</w:t>
      </w:r>
      <w:r w:rsidR="00237E6F">
        <w:t>”</w:t>
      </w:r>
      <w:r w:rsidR="00545D1B" w:rsidRPr="00742A04">
        <w:t>).</w:t>
      </w:r>
      <w:r w:rsidR="005E08DF" w:rsidRPr="00742A04">
        <w:t xml:space="preserve"> </w:t>
      </w:r>
      <w:r w:rsidR="000A08D8" w:rsidRPr="00742A04">
        <w:t>L</w:t>
      </w:r>
      <w:r w:rsidR="005E08DF" w:rsidRPr="00742A04">
        <w:t>a</w:t>
      </w:r>
      <w:r w:rsidR="000A08D8" w:rsidRPr="00742A04">
        <w:t xml:space="preserve"> </w:t>
      </w:r>
      <w:r w:rsidR="00F05119" w:rsidRPr="00742A04">
        <w:t>estrategia</w:t>
      </w:r>
      <w:r w:rsidR="00545D1B" w:rsidRPr="00742A04">
        <w:t xml:space="preserve"> </w:t>
      </w:r>
      <w:r w:rsidR="00BB4DB1" w:rsidRPr="00742A04">
        <w:t>es</w:t>
      </w:r>
      <w:r w:rsidR="000A08D8" w:rsidRPr="00742A04">
        <w:t>tá</w:t>
      </w:r>
      <w:r w:rsidR="00545D1B" w:rsidRPr="00742A04">
        <w:t xml:space="preserve"> </w:t>
      </w:r>
      <w:r w:rsidR="00DA461E" w:rsidRPr="00742A04">
        <w:t>actualmente</w:t>
      </w:r>
      <w:r w:rsidR="00545D1B" w:rsidRPr="00742A04">
        <w:t xml:space="preserve"> </w:t>
      </w:r>
      <w:r w:rsidR="000A08D8" w:rsidRPr="00742A04">
        <w:t>en curso de revisión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08D8" w:rsidRPr="00742A04">
        <w:t>se co</w:t>
      </w:r>
      <w:r w:rsidR="000A08D8" w:rsidRPr="00742A04">
        <w:t>n</w:t>
      </w:r>
      <w:r w:rsidR="000A08D8" w:rsidRPr="00742A04">
        <w:t xml:space="preserve">centrará </w:t>
      </w:r>
      <w:r w:rsidR="00BA5ABE" w:rsidRPr="00742A04">
        <w:t>más</w:t>
      </w:r>
      <w:r w:rsidR="00545D1B" w:rsidRPr="00742A04">
        <w:t xml:space="preserve"> </w:t>
      </w:r>
      <w:r w:rsidR="000A08D8" w:rsidRPr="00742A04">
        <w:t>intensamente en la</w:t>
      </w:r>
      <w:r w:rsidR="00545D1B" w:rsidRPr="00742A04">
        <w:t xml:space="preserve"> </w:t>
      </w:r>
      <w:r w:rsidR="00237E6F">
        <w:t>cap</w:t>
      </w:r>
      <w:r w:rsidR="00242371" w:rsidRPr="00742A04">
        <w:t>ta</w:t>
      </w:r>
      <w:r w:rsidR="000A08D8" w:rsidRPr="00742A04">
        <w:t>ción de</w:t>
      </w:r>
      <w:r w:rsidR="005E6919" w:rsidRPr="00742A04">
        <w:t xml:space="preserve"> </w:t>
      </w:r>
      <w:r w:rsidR="00272D31" w:rsidRPr="00742A04">
        <w:t>mujeres</w:t>
      </w:r>
      <w:r w:rsidR="00545D1B" w:rsidRPr="00742A04">
        <w:t xml:space="preserve"> </w:t>
      </w:r>
      <w:r w:rsidR="000A08D8" w:rsidRPr="00742A04">
        <w:t>para esas asignaturas</w:t>
      </w:r>
      <w:r w:rsidR="00545D1B" w:rsidRPr="00742A04">
        <w:t xml:space="preserve">. </w:t>
      </w:r>
      <w:r w:rsidR="000A08D8" w:rsidRPr="00742A04">
        <w:t>Partic</w:t>
      </w:r>
      <w:r w:rsidR="000A08D8" w:rsidRPr="00742A04">
        <w:t>i</w:t>
      </w:r>
      <w:r w:rsidR="000A08D8" w:rsidRPr="00742A04">
        <w:t>pan en ese proceso v</w:t>
      </w:r>
      <w:r w:rsidR="004D313C" w:rsidRPr="00742A04">
        <w:t>arios</w:t>
      </w:r>
      <w:r w:rsidR="00545D1B" w:rsidRPr="00742A04">
        <w:t xml:space="preserve"> </w:t>
      </w:r>
      <w:r w:rsidR="00BC2FBE" w:rsidRPr="00742A04">
        <w:t>centros</w:t>
      </w:r>
      <w:r w:rsidR="000A08D8" w:rsidRPr="00742A04">
        <w:t xml:space="preserve"> nacionales</w:t>
      </w:r>
      <w:r w:rsidR="00545D1B" w:rsidRPr="00742A04">
        <w:t xml:space="preserve">, </w:t>
      </w:r>
      <w:r w:rsidR="000A08D8" w:rsidRPr="00742A04">
        <w:t xml:space="preserve">entre los que figuran el </w:t>
      </w:r>
      <w:r w:rsidR="00545D1B" w:rsidRPr="00742A04">
        <w:t>Centr</w:t>
      </w:r>
      <w:r w:rsidR="000A08D8" w:rsidRPr="00742A04">
        <w:t>o</w:t>
      </w:r>
      <w:r w:rsidR="00545D1B" w:rsidRPr="00742A04">
        <w:t xml:space="preserve"> </w:t>
      </w:r>
      <w:r w:rsidR="000A08D8" w:rsidRPr="00742A04">
        <w:t>de M</w:t>
      </w:r>
      <w:r w:rsidR="000A08D8" w:rsidRPr="00742A04">
        <w:t>a</w:t>
      </w:r>
      <w:r w:rsidR="000A08D8" w:rsidRPr="00742A04">
        <w:t xml:space="preserve">temática – el </w:t>
      </w:r>
      <w:r w:rsidR="00BC2FBE" w:rsidRPr="00742A04">
        <w:t>centro</w:t>
      </w:r>
      <w:r w:rsidR="00545D1B" w:rsidRPr="00742A04">
        <w:t xml:space="preserve"> </w:t>
      </w:r>
      <w:r w:rsidR="000A08D8" w:rsidRPr="00742A04">
        <w:t xml:space="preserve">nacional </w:t>
      </w:r>
      <w:r w:rsidR="00F43124" w:rsidRPr="00742A04">
        <w:t>para</w:t>
      </w:r>
      <w:r w:rsidR="00545D1B" w:rsidRPr="00742A04">
        <w:t xml:space="preserve"> </w:t>
      </w:r>
      <w:r w:rsidR="000A08D8" w:rsidRPr="00742A04">
        <w:t xml:space="preserve">la </w:t>
      </w:r>
      <w:r w:rsidR="00AE4459" w:rsidRPr="00742A04">
        <w:t>matemática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08D8" w:rsidRPr="00742A04">
        <w:t xml:space="preserve">la </w:t>
      </w:r>
      <w:r w:rsidR="00A05847" w:rsidRPr="00742A04">
        <w:t>educación</w:t>
      </w:r>
      <w:r w:rsidR="000A08D8" w:rsidRPr="00742A04">
        <w:t xml:space="preserve"> –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“Renate” – </w:t>
      </w:r>
      <w:r w:rsidR="000A08D8" w:rsidRPr="00742A04">
        <w:t>el</w:t>
      </w:r>
      <w:r w:rsidR="00545D1B" w:rsidRPr="00742A04">
        <w:t xml:space="preserve"> </w:t>
      </w:r>
      <w:r w:rsidR="00BC2FBE" w:rsidRPr="00742A04">
        <w:t>centro</w:t>
      </w:r>
      <w:r w:rsidR="00545D1B" w:rsidRPr="00742A04">
        <w:t xml:space="preserve"> </w:t>
      </w:r>
      <w:r w:rsidR="000A08D8" w:rsidRPr="00742A04">
        <w:t>nacional de</w:t>
      </w:r>
      <w:r w:rsidR="00545D1B" w:rsidRPr="00742A04">
        <w:t xml:space="preserve"> </w:t>
      </w:r>
      <w:r w:rsidR="00802868" w:rsidRPr="00742A04">
        <w:t>contacto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0A08D8" w:rsidRPr="00742A04">
        <w:t>el comercio y la</w:t>
      </w:r>
      <w:r w:rsidR="002E5047" w:rsidRPr="00742A04">
        <w:t xml:space="preserve"> </w:t>
      </w:r>
      <w:r w:rsidR="000B71AA" w:rsidRPr="00742A04">
        <w:t>industria</w:t>
      </w:r>
      <w:r w:rsidR="000A08D8" w:rsidRPr="00742A04">
        <w:t xml:space="preserve"> –</w:t>
      </w:r>
      <w:r w:rsidR="00545D1B" w:rsidRPr="00742A04">
        <w:t xml:space="preserve"> </w:t>
      </w:r>
      <w:r w:rsidR="000A08D8" w:rsidRPr="00742A04">
        <w:t>respecto de la</w:t>
      </w:r>
      <w:r w:rsidR="00545D1B" w:rsidRPr="00742A04">
        <w:t xml:space="preserve"> </w:t>
      </w:r>
      <w:r w:rsidR="002E5047" w:rsidRPr="00742A04">
        <w:t>contrat</w:t>
      </w:r>
      <w:r w:rsidR="002E5047" w:rsidRPr="00742A04">
        <w:t>a</w:t>
      </w:r>
      <w:r w:rsidR="002E5047" w:rsidRPr="00742A04">
        <w:t>ción</w:t>
      </w:r>
      <w:r w:rsidR="00545D1B" w:rsidRPr="00742A04">
        <w:t xml:space="preserve"> </w:t>
      </w:r>
      <w:r w:rsidR="000A08D8" w:rsidRPr="00742A04">
        <w:t>para l</w:t>
      </w:r>
      <w:r w:rsidR="0030626A" w:rsidRPr="00742A04">
        <w:t>a</w:t>
      </w:r>
      <w:r w:rsidR="00545D1B" w:rsidRPr="00742A04">
        <w:t xml:space="preserve"> </w:t>
      </w:r>
      <w:r w:rsidR="00AE4459" w:rsidRPr="00742A04">
        <w:t>matemática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873A0" w:rsidRPr="00742A04">
        <w:t>las cien</w:t>
      </w:r>
      <w:r w:rsidR="000A08D8" w:rsidRPr="00742A04">
        <w:t>ci</w:t>
      </w:r>
      <w:r w:rsidR="00D873A0" w:rsidRPr="00742A04">
        <w:t>as</w:t>
      </w:r>
      <w:r w:rsidR="00545D1B" w:rsidRPr="00742A04">
        <w:t xml:space="preserve">. </w:t>
      </w:r>
      <w:r w:rsidR="00B86412" w:rsidRPr="00742A04">
        <w:t>Los centros</w:t>
      </w:r>
      <w:r w:rsidR="00545D1B" w:rsidRPr="00742A04">
        <w:t xml:space="preserve"> </w:t>
      </w:r>
      <w:r w:rsidR="000A08D8" w:rsidRPr="00742A04">
        <w:t>prestan</w:t>
      </w:r>
      <w:r w:rsidR="00545D1B" w:rsidRPr="00742A04">
        <w:t xml:space="preserve"> </w:t>
      </w:r>
      <w:r w:rsidR="007C3856" w:rsidRPr="00742A04">
        <w:t>especial</w:t>
      </w:r>
      <w:r w:rsidR="000A08D8" w:rsidRPr="00742A04">
        <w:t xml:space="preserve"> atención a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242371" w:rsidRPr="00742A04">
        <w:t>incrementar</w:t>
      </w:r>
      <w:r w:rsidR="00545D1B" w:rsidRPr="00742A04">
        <w:t xml:space="preserve"> </w:t>
      </w:r>
      <w:r w:rsidR="000A08D8" w:rsidRPr="00742A04">
        <w:t>el</w:t>
      </w:r>
      <w:r w:rsidR="00545D1B" w:rsidRPr="00742A04">
        <w:t xml:space="preserve"> </w:t>
      </w:r>
      <w:r w:rsidR="009815FF" w:rsidRPr="00742A04">
        <w:t>interés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E6919" w:rsidRPr="00742A04">
        <w:t>las niñas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08D8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08D8" w:rsidRPr="00742A04">
        <w:t>esas asignaturas</w:t>
      </w:r>
      <w:r w:rsidR="00545D1B" w:rsidRPr="00742A04">
        <w:t xml:space="preserve">. </w:t>
      </w:r>
      <w:r w:rsidR="00495D7B" w:rsidRPr="00742A04">
        <w:t>Uno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0A08D8" w:rsidRPr="00742A04">
        <w:t>los</w:t>
      </w:r>
      <w:r w:rsidR="00545D1B" w:rsidRPr="00742A04">
        <w:t xml:space="preserve"> </w:t>
      </w:r>
      <w:r w:rsidR="001B4F21" w:rsidRPr="00742A04">
        <w:t>cometidos</w:t>
      </w:r>
      <w:r w:rsidR="00545D1B" w:rsidRPr="00742A04">
        <w:t xml:space="preserve"> </w:t>
      </w:r>
      <w:r w:rsidR="00C076F2" w:rsidRPr="00742A04">
        <w:t xml:space="preserve">de los </w:t>
      </w:r>
      <w:r w:rsidR="00BC2FBE" w:rsidRPr="00742A04">
        <w:t>centros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0A08D8" w:rsidRPr="00742A04">
        <w:t>tratar de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0A08D8" w:rsidRPr="00742A04">
        <w:t>que solic</w:t>
      </w:r>
      <w:r w:rsidR="000A08D8" w:rsidRPr="00742A04">
        <w:t>i</w:t>
      </w:r>
      <w:r w:rsidR="000A08D8" w:rsidRPr="00742A04">
        <w:t xml:space="preserve">tan ingresar en estudios y carreras de </w:t>
      </w:r>
      <w:r w:rsidR="00AE4459" w:rsidRPr="00742A04">
        <w:t>matemática</w:t>
      </w:r>
      <w:r w:rsidR="00545D1B" w:rsidRPr="00742A04">
        <w:t xml:space="preserve">, </w:t>
      </w:r>
      <w:r w:rsidR="00AE4459" w:rsidRPr="00742A04">
        <w:t>ciencias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08D8" w:rsidRPr="00742A04">
        <w:t>tecnología.</w:t>
      </w:r>
    </w:p>
    <w:p w:rsidR="00545D1B" w:rsidRPr="00742A04" w:rsidRDefault="000A08D8" w:rsidP="002C4922">
      <w:pPr>
        <w:pStyle w:val="SingleTxt"/>
        <w:rPr>
          <w:b/>
        </w:rPr>
      </w:pPr>
      <w:r w:rsidRPr="00742A04">
        <w:rPr>
          <w:b/>
        </w:rPr>
        <w:t>C</w:t>
      </w:r>
      <w:r w:rsidR="002E5047" w:rsidRPr="00742A04">
        <w:rPr>
          <w:b/>
        </w:rPr>
        <w:t>ontratación</w:t>
      </w:r>
      <w:r w:rsidR="00545D1B" w:rsidRPr="00742A04">
        <w:rPr>
          <w:b/>
        </w:rPr>
        <w:t xml:space="preserve"> </w:t>
      </w:r>
      <w:r w:rsidR="004A0730" w:rsidRPr="00742A04">
        <w:rPr>
          <w:b/>
        </w:rPr>
        <w:t>de</w:t>
      </w:r>
      <w:r w:rsidR="00545D1B" w:rsidRPr="00742A04">
        <w:rPr>
          <w:b/>
        </w:rPr>
        <w:t xml:space="preserve"> </w:t>
      </w:r>
      <w:r w:rsidR="00072AD7" w:rsidRPr="00742A04">
        <w:rPr>
          <w:b/>
        </w:rPr>
        <w:t>hombres</w:t>
      </w:r>
      <w:r w:rsidR="00545D1B" w:rsidRPr="00742A04">
        <w:rPr>
          <w:b/>
        </w:rPr>
        <w:t xml:space="preserve"> </w:t>
      </w:r>
      <w:r w:rsidRPr="00742A04">
        <w:rPr>
          <w:b/>
        </w:rPr>
        <w:t>par</w:t>
      </w:r>
      <w:r w:rsidR="0030626A" w:rsidRPr="00742A04">
        <w:rPr>
          <w:b/>
        </w:rPr>
        <w:t>a</w:t>
      </w:r>
      <w:r w:rsidR="00545D1B" w:rsidRPr="00742A04">
        <w:rPr>
          <w:b/>
        </w:rPr>
        <w:t xml:space="preserve"> </w:t>
      </w:r>
      <w:r w:rsidR="00242371" w:rsidRPr="00742A04">
        <w:rPr>
          <w:b/>
        </w:rPr>
        <w:t>las guarderías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545D1B" w:rsidRPr="00742A04">
        <w:rPr>
          <w:b/>
        </w:rPr>
        <w:t xml:space="preserve"> </w:t>
      </w:r>
      <w:r w:rsidR="003E5775" w:rsidRPr="00742A04">
        <w:rPr>
          <w:b/>
        </w:rPr>
        <w:t>las escuelas</w:t>
      </w:r>
    </w:p>
    <w:p w:rsidR="000A08D8" w:rsidRPr="00742A04" w:rsidRDefault="00ED6A69" w:rsidP="005347C0">
      <w:pPr>
        <w:pStyle w:val="SingleTxt"/>
        <w:ind w:firstLine="475"/>
      </w:pPr>
      <w:r w:rsidRPr="00742A04">
        <w:t xml:space="preserve">El </w:t>
      </w:r>
      <w:r w:rsidR="00434891" w:rsidRPr="00742A04">
        <w:t>sistema educacional</w:t>
      </w:r>
      <w:r w:rsidR="00545D1B" w:rsidRPr="00742A04">
        <w:t xml:space="preserve"> </w:t>
      </w:r>
      <w:r w:rsidRPr="00742A04">
        <w:t>tiene la</w:t>
      </w:r>
      <w:r w:rsidR="00545D1B" w:rsidRPr="00742A04">
        <w:t xml:space="preserve"> obliga</w:t>
      </w:r>
      <w:r w:rsidR="00C14BFF" w:rsidRPr="00742A04">
        <w:t xml:space="preserve">ción </w:t>
      </w:r>
      <w:r w:rsidRPr="00742A04">
        <w:t>de brindar un</w:t>
      </w:r>
      <w:r w:rsidR="00545D1B" w:rsidRPr="00742A04">
        <w:t xml:space="preserve"> </w:t>
      </w:r>
      <w:r w:rsidR="009C08FB" w:rsidRPr="00742A04">
        <w:t>servicio</w:t>
      </w:r>
      <w:r w:rsidRPr="00742A04">
        <w:t xml:space="preserve"> diversificado</w:t>
      </w:r>
      <w:r w:rsidR="00545D1B" w:rsidRPr="00742A04">
        <w:t xml:space="preserve">. </w:t>
      </w:r>
      <w:r w:rsidRPr="00742A04">
        <w:t>Tanto</w:t>
      </w:r>
      <w:r w:rsidR="00545D1B" w:rsidRPr="00742A04">
        <w:t xml:space="preserve"> </w:t>
      </w:r>
      <w:r w:rsidR="002213CF" w:rsidRPr="00742A04">
        <w:t>los varones</w:t>
      </w:r>
      <w:r w:rsidR="00545D1B" w:rsidRPr="00742A04">
        <w:t xml:space="preserve"> </w:t>
      </w:r>
      <w:r w:rsidRPr="00742A04">
        <w:t>como</w:t>
      </w:r>
      <w:r w:rsidR="00545D1B" w:rsidRPr="00742A04">
        <w:t xml:space="preserve"> </w:t>
      </w:r>
      <w:r w:rsidR="005E6919" w:rsidRPr="00742A04">
        <w:t xml:space="preserve">las </w:t>
      </w:r>
      <w:r w:rsidR="00272D31" w:rsidRPr="00742A04">
        <w:t>mujeres</w:t>
      </w:r>
      <w:r w:rsidR="00545D1B" w:rsidRPr="00742A04">
        <w:t xml:space="preserve"> ne</w:t>
      </w:r>
      <w:r w:rsidRPr="00742A04">
        <w:t>cesitan estar en</w:t>
      </w:r>
      <w:r w:rsidR="00545D1B" w:rsidRPr="00742A04">
        <w:t xml:space="preserve"> </w:t>
      </w:r>
      <w:r w:rsidR="00802868" w:rsidRPr="00742A04">
        <w:t>contacto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E43BF" w:rsidRPr="00742A04">
        <w:t>personas adu</w:t>
      </w:r>
      <w:r w:rsidR="007E43BF" w:rsidRPr="00742A04">
        <w:t>l</w:t>
      </w:r>
      <w:r w:rsidR="007E43BF" w:rsidRPr="00742A04">
        <w:t>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ambos</w:t>
      </w:r>
      <w:r w:rsidR="00545D1B" w:rsidRPr="00742A04">
        <w:t xml:space="preserve"> </w:t>
      </w:r>
      <w:r w:rsidR="009F34B6" w:rsidRPr="00742A04">
        <w:t>sexos</w:t>
      </w:r>
      <w:r w:rsidR="00545D1B" w:rsidRPr="00742A04">
        <w:t xml:space="preserve"> </w:t>
      </w:r>
      <w:r w:rsidRPr="00742A04">
        <w:t>a lo largo 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Pr="00742A04">
        <w:t>infancia</w:t>
      </w:r>
      <w:r w:rsidR="00545D1B" w:rsidRPr="00742A04">
        <w:t xml:space="preserve">. </w:t>
      </w:r>
      <w:r w:rsidR="00272D31" w:rsidRPr="00742A04">
        <w:t>Las cifras</w:t>
      </w:r>
      <w:r w:rsidR="00545D1B" w:rsidRPr="00742A04">
        <w:t xml:space="preserve"> </w:t>
      </w:r>
      <w:r w:rsidR="00272D31" w:rsidRPr="00742A04">
        <w:t>del Instituto</w:t>
      </w:r>
      <w:r w:rsidR="00AF398C" w:rsidRPr="00742A04">
        <w:t xml:space="preserve"> Nacional de Est</w:t>
      </w:r>
      <w:r w:rsidR="00AF398C" w:rsidRPr="00742A04">
        <w:t>a</w:t>
      </w:r>
      <w:r w:rsidR="00AF398C" w:rsidRPr="00742A04">
        <w:t>dísticas de Noruega</w:t>
      </w:r>
      <w:r w:rsidR="00545D1B" w:rsidRPr="00742A04">
        <w:t xml:space="preserve"> </w:t>
      </w:r>
      <w:r w:rsidRPr="00742A04">
        <w:t>indican que</w:t>
      </w:r>
      <w:r w:rsidR="00545D1B" w:rsidRPr="00742A04">
        <w:t xml:space="preserve"> 7 </w:t>
      </w:r>
      <w:r w:rsidR="004A3F50" w:rsidRPr="00742A04">
        <w:t>de cada</w:t>
      </w:r>
      <w:r w:rsidR="00545D1B" w:rsidRPr="00742A04">
        <w:t xml:space="preserve"> 10 </w:t>
      </w:r>
      <w:r w:rsidRPr="00742A04">
        <w:t>maestros de Noruega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Pr="00742A04">
        <w:t>P</w:t>
      </w:r>
      <w:r w:rsidR="00F05119" w:rsidRPr="00742A04">
        <w:t>or</w:t>
      </w:r>
      <w:r w:rsidRPr="00742A04">
        <w:t xml:space="preserve"> </w:t>
      </w:r>
      <w:r w:rsidR="00F05119" w:rsidRPr="00742A04">
        <w:t>consiguiente</w:t>
      </w:r>
      <w:r w:rsidRPr="00742A04">
        <w:t>, hay un gran</w:t>
      </w:r>
      <w:r w:rsidR="00545D1B" w:rsidRPr="00742A04">
        <w:t xml:space="preserve"> d</w:t>
      </w:r>
      <w:r w:rsidRPr="00742A04">
        <w:t>é</w:t>
      </w:r>
      <w:r w:rsidR="00545D1B" w:rsidRPr="00742A04">
        <w:t xml:space="preserve">ficit </w:t>
      </w:r>
      <w:r w:rsidR="004A0730" w:rsidRPr="00742A04">
        <w:t>de</w:t>
      </w:r>
      <w:r w:rsidR="00545D1B" w:rsidRPr="00742A04">
        <w:t xml:space="preserve"> </w:t>
      </w:r>
      <w:r w:rsidRPr="00742A04">
        <w:t>maestros de sexo masculino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021DB5" w:rsidRPr="00742A04">
        <w:t>hay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los niveles más elevados</w:t>
      </w:r>
      <w:r w:rsidR="00545D1B" w:rsidRPr="00742A04">
        <w:t xml:space="preserve"> </w:t>
      </w:r>
      <w:r w:rsidRPr="00742A04">
        <w:t>del sistema</w:t>
      </w:r>
      <w:r w:rsidR="00434891" w:rsidRPr="00742A04">
        <w:t xml:space="preserve"> educacional</w:t>
      </w:r>
      <w:r w:rsidR="000A08D8" w:rsidRPr="00742A04">
        <w:t>.</w:t>
      </w:r>
    </w:p>
    <w:p w:rsidR="000A08D8" w:rsidRPr="00742A04" w:rsidRDefault="00242371" w:rsidP="005347C0">
      <w:pPr>
        <w:pStyle w:val="SingleTxt"/>
        <w:ind w:firstLine="475"/>
      </w:pPr>
      <w:r w:rsidRPr="00742A04">
        <w:t>Contratar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ED6A69" w:rsidRPr="00742A04">
        <w:t>fue uno de los</w:t>
      </w:r>
      <w:r w:rsidR="00545D1B" w:rsidRPr="00742A04">
        <w:t xml:space="preserve"> </w:t>
      </w:r>
      <w:r w:rsidR="00FF24A3" w:rsidRPr="00742A04">
        <w:t>elemento</w:t>
      </w:r>
      <w:r w:rsidR="00ED6A69" w:rsidRPr="00742A04">
        <w:t>s de la</w:t>
      </w:r>
      <w:r w:rsidR="0030626A" w:rsidRPr="00742A04">
        <w:t xml:space="preserve"> </w:t>
      </w:r>
      <w:r w:rsidR="00ED6A69" w:rsidRPr="00742A04">
        <w:t xml:space="preserve">campaña </w:t>
      </w:r>
      <w:r w:rsidR="006A4CEB" w:rsidRPr="00742A04">
        <w:t>sobre el m</w:t>
      </w:r>
      <w:r w:rsidR="006A4CEB" w:rsidRPr="00742A04">
        <w:t>a</w:t>
      </w:r>
      <w:r w:rsidR="006A4CEB" w:rsidRPr="00742A04">
        <w:t xml:space="preserve">gisterio llevada a cabo </w:t>
      </w:r>
      <w:r w:rsidR="006A4CEB">
        <w:t xml:space="preserve">por </w:t>
      </w:r>
      <w:r w:rsidR="0030626A" w:rsidRPr="00742A04">
        <w:t xml:space="preserve">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6C0744" w:rsidRPr="00742A04">
        <w:t>e Investigación</w:t>
      </w:r>
      <w:r w:rsidR="00ED6A69" w:rsidRPr="00742A04">
        <w:t xml:space="preserve"> </w:t>
      </w:r>
      <w:r w:rsidR="00C14BFF" w:rsidRPr="00742A04">
        <w:t>en</w:t>
      </w:r>
      <w:r w:rsidR="00545D1B" w:rsidRPr="00742A04">
        <w:t xml:space="preserve"> 2002.</w:t>
      </w:r>
      <w:r w:rsidR="00ED6A69" w:rsidRPr="00742A04">
        <w:t xml:space="preserve"> El</w:t>
      </w:r>
      <w:r w:rsidR="001167D2" w:rsidRPr="00742A04">
        <w:t xml:space="preserve"> </w:t>
      </w:r>
      <w:r w:rsidR="004A0730" w:rsidRPr="00742A04">
        <w:t>Ministerio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ED6A69" w:rsidRPr="00742A04">
        <w:t>publicó</w:t>
      </w:r>
      <w:r w:rsidR="00545D1B" w:rsidRPr="00742A04">
        <w:t xml:space="preserve"> </w:t>
      </w:r>
      <w:r w:rsidR="00ED6A69" w:rsidRPr="00742A04">
        <w:t>en 2003</w:t>
      </w:r>
      <w:r w:rsidR="006A4CEB">
        <w:t xml:space="preserve"> </w:t>
      </w:r>
      <w:r w:rsidR="00FC59C5" w:rsidRPr="00742A04">
        <w:t>un informe</w:t>
      </w:r>
      <w:r w:rsidR="00FD7D4E" w:rsidRPr="00742A04">
        <w:t xml:space="preserve"> de</w:t>
      </w:r>
      <w:r w:rsidR="00ED6A69" w:rsidRPr="00742A04">
        <w:t>l</w:t>
      </w:r>
      <w:r w:rsidR="00FD7D4E" w:rsidRPr="00742A04">
        <w:t xml:space="preserve"> </w:t>
      </w:r>
      <w:r w:rsidR="00BC1D22" w:rsidRPr="00742A04">
        <w:t>seminario</w:t>
      </w:r>
      <w:r w:rsidR="00545D1B" w:rsidRPr="00742A04">
        <w:t xml:space="preserve"> </w:t>
      </w:r>
      <w:r w:rsidR="00ED6A69" w:rsidRPr="00742A04">
        <w:t>especial sobr</w:t>
      </w:r>
      <w:r w:rsidR="0077058E" w:rsidRPr="00742A04">
        <w:t>e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D6A69" w:rsidRPr="00742A04">
        <w:t xml:space="preserve">la </w:t>
      </w:r>
      <w:r w:rsidR="00A05847" w:rsidRPr="00742A04">
        <w:t>educación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44FDB" w:rsidRPr="00742A04">
        <w:t>la investigación</w:t>
      </w:r>
      <w:r w:rsidR="00545D1B" w:rsidRPr="00742A04">
        <w:t xml:space="preserve">. </w:t>
      </w:r>
      <w:r w:rsidR="00356229" w:rsidRPr="00742A04">
        <w:t>Sobre la base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07083" w:rsidRPr="00742A04">
        <w:t>dicho</w:t>
      </w:r>
      <w:r w:rsidR="00545D1B" w:rsidRPr="00742A04">
        <w:t xml:space="preserve"> </w:t>
      </w:r>
      <w:r w:rsidR="00BC1D22" w:rsidRPr="00742A04">
        <w:t>sem</w:t>
      </w:r>
      <w:r w:rsidR="00BC1D22" w:rsidRPr="00742A04">
        <w:t>i</w:t>
      </w:r>
      <w:r w:rsidR="00BC1D22" w:rsidRPr="00742A04">
        <w:t>nario</w:t>
      </w:r>
      <w:r w:rsidR="00545D1B" w:rsidRPr="00742A04">
        <w:t xml:space="preserve">, </w:t>
      </w:r>
      <w:r w:rsidR="00F07083" w:rsidRPr="00742A04">
        <w:t>se estableció el sitio Web</w:t>
      </w:r>
      <w:r w:rsidR="00545D1B" w:rsidRPr="00742A04">
        <w:t xml:space="preserve"> </w:t>
      </w:r>
      <w:hyperlink r:id="rId17" w:history="1">
        <w:r w:rsidR="00545D1B" w:rsidRPr="00742A04">
          <w:rPr>
            <w:rStyle w:val="Hyperlink"/>
          </w:rPr>
          <w:t>www.menniskolen.no</w:t>
        </w:r>
      </w:hyperlink>
      <w:r w:rsidR="00545D1B" w:rsidRPr="00742A04">
        <w:t xml:space="preserve">, </w:t>
      </w:r>
      <w:r w:rsidR="00877AA0" w:rsidRPr="00742A04">
        <w:t>y</w:t>
      </w:r>
      <w:r w:rsidR="00ED6A69" w:rsidRPr="00742A04">
        <w:t xml:space="preserve"> se elaboró</w:t>
      </w:r>
      <w:r w:rsidR="00545D1B" w:rsidRPr="00742A04">
        <w:t xml:space="preserve"> </w:t>
      </w:r>
      <w:r w:rsidR="00FC59C5" w:rsidRPr="00742A04">
        <w:t>un informe</w:t>
      </w:r>
      <w:r w:rsidR="00545D1B" w:rsidRPr="00742A04">
        <w:t xml:space="preserve"> </w:t>
      </w:r>
      <w:r w:rsidR="00ED6A69" w:rsidRPr="00742A04">
        <w:t>s</w:t>
      </w:r>
      <w:r w:rsidR="00ED6A69" w:rsidRPr="00742A04">
        <w:t>o</w:t>
      </w:r>
      <w:r w:rsidR="00ED6A69" w:rsidRPr="00742A04">
        <w:t>bre la a</w:t>
      </w:r>
      <w:r w:rsidR="00ED6A69" w:rsidRPr="00742A04">
        <w:t>u</w:t>
      </w:r>
      <w:r w:rsidR="00ED6A69" w:rsidRPr="00742A04">
        <w:t>sencia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E5775" w:rsidRPr="00742A04">
        <w:t>las escuelas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D6A69" w:rsidRPr="00742A04">
        <w:t xml:space="preserve">los niños con </w:t>
      </w:r>
      <w:r w:rsidR="00982243" w:rsidRPr="00742A04">
        <w:t>problema</w:t>
      </w:r>
      <w:r w:rsidR="002213CF" w:rsidRPr="00742A04">
        <w:t>s</w:t>
      </w:r>
      <w:r w:rsidR="000A08D8" w:rsidRPr="00742A04">
        <w:t>.</w:t>
      </w:r>
    </w:p>
    <w:p w:rsidR="00545D1B" w:rsidRPr="00742A04" w:rsidRDefault="008F0C8E" w:rsidP="005347C0">
      <w:pPr>
        <w:pStyle w:val="SingleTxt"/>
        <w:ind w:firstLine="475"/>
      </w:pPr>
      <w:r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ED6A69" w:rsidRPr="00742A04">
        <w:t>elaboró</w:t>
      </w:r>
      <w:r w:rsidR="00B05988" w:rsidRPr="00742A04">
        <w:t xml:space="preserve"> un Plan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ED6A69" w:rsidRPr="00742A04">
        <w:t>la Igualdad de G</w:t>
      </w:r>
      <w:r w:rsidR="00A05847" w:rsidRPr="00742A04">
        <w:t>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D6A69" w:rsidRPr="00742A04">
        <w:t>las G</w:t>
      </w:r>
      <w:r w:rsidR="00242371" w:rsidRPr="00742A04">
        <w:t>uarderías</w:t>
      </w:r>
      <w:r w:rsidR="00545D1B" w:rsidRPr="00742A04">
        <w:t xml:space="preserve"> </w:t>
      </w:r>
      <w:r w:rsidR="00ED6A69" w:rsidRPr="00742A04">
        <w:t>(</w:t>
      </w:r>
      <w:r w:rsidR="00545D1B" w:rsidRPr="00742A04">
        <w:t>2004-2007</w:t>
      </w:r>
      <w:r w:rsidR="00ED6A69" w:rsidRPr="00742A04">
        <w:t>)</w:t>
      </w:r>
      <w:r w:rsidR="00545D1B" w:rsidRPr="00742A04">
        <w:t>.</w:t>
      </w:r>
      <w:r w:rsidR="005E08DF" w:rsidRPr="00742A04">
        <w:t xml:space="preserve"> </w:t>
      </w:r>
      <w:r w:rsidR="00ED6A69" w:rsidRPr="00742A04">
        <w:t>L</w:t>
      </w:r>
      <w:r w:rsidR="005E08DF" w:rsidRPr="00742A04">
        <w:t>a</w:t>
      </w:r>
      <w:r w:rsidR="00ED6A69" w:rsidRPr="00742A04">
        <w:t xml:space="preserve"> </w:t>
      </w:r>
      <w:r w:rsidR="006B65CD" w:rsidRPr="00742A04">
        <w:t>finalidad</w:t>
      </w:r>
      <w:r w:rsidR="00C07ED9" w:rsidRPr="00742A04">
        <w:t xml:space="preserve"> del </w:t>
      </w:r>
      <w:r w:rsidR="008A0C75" w:rsidRPr="00742A04">
        <w:t xml:space="preserve">Plan </w:t>
      </w:r>
      <w:r w:rsidR="004A0730" w:rsidRPr="00742A04">
        <w:t>de</w:t>
      </w:r>
      <w:r w:rsidR="00ED6A69" w:rsidRPr="00742A04">
        <w:t xml:space="preserve"> A</w:t>
      </w:r>
      <w:r w:rsidR="00545D1B" w:rsidRPr="00742A04">
        <w:t>c</w:t>
      </w:r>
      <w:r w:rsidR="00C14BFF" w:rsidRPr="00742A04">
        <w:t xml:space="preserve">ción </w:t>
      </w:r>
      <w:r w:rsidR="00BB4DB1" w:rsidRPr="00742A04">
        <w:t>es</w:t>
      </w:r>
      <w:r w:rsidR="00545D1B" w:rsidRPr="00742A04">
        <w:t xml:space="preserve"> </w:t>
      </w:r>
      <w:r w:rsidR="00ED6A69" w:rsidRPr="00742A04">
        <w:t>lograr que el</w:t>
      </w:r>
      <w:r w:rsidR="00545D1B" w:rsidRPr="00742A04">
        <w:t xml:space="preserve"> 20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380AC9" w:rsidRPr="00742A04">
        <w:t>empleados</w:t>
      </w:r>
      <w:r w:rsidR="00545D1B" w:rsidRPr="00742A04">
        <w:t xml:space="preserve"> </w:t>
      </w:r>
      <w:r w:rsidR="00ED6A69" w:rsidRPr="00742A04">
        <w:t>de</w:t>
      </w:r>
      <w:r w:rsidR="00545D1B" w:rsidRPr="00742A04">
        <w:t xml:space="preserve"> </w:t>
      </w:r>
      <w:r w:rsidR="00242371" w:rsidRPr="00742A04">
        <w:t>las guarderías</w:t>
      </w:r>
      <w:r w:rsidR="00545D1B" w:rsidRPr="00742A04">
        <w:t xml:space="preserve"> </w:t>
      </w:r>
      <w:r w:rsidR="00ED6A69" w:rsidRPr="00742A04">
        <w:t xml:space="preserve">de Noruega </w:t>
      </w:r>
      <w:r w:rsidR="006137EC" w:rsidRPr="00742A04">
        <w:t>s</w:t>
      </w:r>
      <w:r w:rsidR="00ED6A69" w:rsidRPr="00742A04">
        <w:t>ea</w:t>
      </w:r>
      <w:r w:rsidR="006137EC" w:rsidRPr="00742A04">
        <w:t>n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</w:t>
      </w:r>
      <w:r w:rsidR="00D66FC2" w:rsidRPr="00742A04">
        <w:t>Las estadísticas indican que</w:t>
      </w:r>
      <w:r w:rsidR="00545D1B" w:rsidRPr="00742A04">
        <w:t xml:space="preserve"> </w:t>
      </w:r>
      <w:r w:rsidR="00E73E8E" w:rsidRPr="00742A04">
        <w:t>la proporción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ED6A69" w:rsidRPr="00742A04">
        <w:t>se ha incr</w:t>
      </w:r>
      <w:r w:rsidR="00ED6A69" w:rsidRPr="00742A04">
        <w:t>e</w:t>
      </w:r>
      <w:r w:rsidR="00ED6A69" w:rsidRPr="00742A04">
        <w:t xml:space="preserve">mentado </w:t>
      </w:r>
      <w:r w:rsidR="006A4CEB">
        <w:t>del</w:t>
      </w:r>
      <w:r w:rsidR="00545D1B" w:rsidRPr="00742A04">
        <w:t xml:space="preserve"> 7</w:t>
      </w:r>
      <w:r w:rsidR="00ED6A69" w:rsidRPr="00742A04">
        <w:t xml:space="preserve">% </w:t>
      </w:r>
      <w:r w:rsidR="006A4CEB">
        <w:t>al</w:t>
      </w:r>
      <w:r w:rsidR="00545D1B" w:rsidRPr="00742A04">
        <w:t xml:space="preserve"> 8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D313C" w:rsidRPr="00742A04">
        <w:t>los últimos años</w:t>
      </w:r>
      <w:r w:rsidR="00545D1B" w:rsidRPr="00742A04">
        <w:t xml:space="preserve"> (</w:t>
      </w:r>
      <w:r w:rsidRPr="00742A04">
        <w:t>de</w:t>
      </w:r>
      <w:r w:rsidR="00545D1B" w:rsidRPr="00742A04">
        <w:t xml:space="preserve"> 2002 </w:t>
      </w:r>
      <w:r w:rsidR="0030626A" w:rsidRPr="00742A04">
        <w:t>a</w:t>
      </w:r>
      <w:r w:rsidR="00545D1B" w:rsidRPr="00742A04">
        <w:t xml:space="preserve"> 2004). </w:t>
      </w:r>
      <w:r w:rsidR="00CB0483" w:rsidRPr="00742A04">
        <w:t>Sin embargo</w:t>
      </w:r>
      <w:r w:rsidR="00545D1B" w:rsidRPr="00742A04">
        <w:t xml:space="preserve">, </w:t>
      </w:r>
      <w:r w:rsidR="00ED6A69" w:rsidRPr="00742A04">
        <w:t>está a</w:t>
      </w:r>
      <w:r w:rsidR="00ED6A69" w:rsidRPr="00742A04">
        <w:t>u</w:t>
      </w:r>
      <w:r w:rsidR="00E542AA" w:rsidRPr="00742A04">
        <w:t>ment</w:t>
      </w:r>
      <w:r w:rsidR="00ED6A69" w:rsidRPr="00742A04">
        <w:t>and</w:t>
      </w:r>
      <w:r w:rsidR="00E542AA" w:rsidRPr="00742A04">
        <w:t xml:space="preserve">o </w:t>
      </w:r>
      <w:r w:rsidR="00ED6A69" w:rsidRPr="00742A04">
        <w:t>la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AE655D" w:rsidRPr="00742A04">
        <w:t>acepta</w:t>
      </w:r>
      <w:r w:rsidR="00ED6A69" w:rsidRPr="00742A04">
        <w:t>dos en</w:t>
      </w:r>
      <w:r w:rsidR="00545D1B" w:rsidRPr="00742A04">
        <w:t xml:space="preserve"> </w:t>
      </w:r>
      <w:r w:rsidR="00434891" w:rsidRPr="00742A04">
        <w:t>la enseñanza normal</w:t>
      </w:r>
      <w:r w:rsidR="00ED6A69" w:rsidRPr="00742A04">
        <w:t xml:space="preserve"> para preescol</w:t>
      </w:r>
      <w:r w:rsidR="00ED6A69" w:rsidRPr="00742A04">
        <w:t>a</w:t>
      </w:r>
      <w:r w:rsidR="00ED6A69" w:rsidRPr="00742A04">
        <w:t>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2004, </w:t>
      </w:r>
      <w:r w:rsidR="00ED6A69" w:rsidRPr="00742A04">
        <w:t xml:space="preserve">el </w:t>
      </w:r>
      <w:r w:rsidR="00545D1B" w:rsidRPr="00742A04">
        <w:t>13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52CFE" w:rsidRPr="00742A04">
        <w:t xml:space="preserve">los </w:t>
      </w:r>
      <w:r w:rsidR="00537384" w:rsidRPr="00742A04">
        <w:t>estudiantes</w:t>
      </w:r>
      <w:r w:rsidR="00545D1B" w:rsidRPr="00742A04">
        <w:t xml:space="preserve"> </w:t>
      </w:r>
      <w:r w:rsidR="00AE655D" w:rsidRPr="00742A04">
        <w:t>acepta</w:t>
      </w:r>
      <w:r w:rsidR="00ED6A69" w:rsidRPr="00742A04">
        <w:t>dos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</w:t>
      </w:r>
      <w:r w:rsidR="002213CF" w:rsidRPr="00742A04">
        <w:t>Sin embargo</w:t>
      </w:r>
      <w:r w:rsidR="00545D1B" w:rsidRPr="00742A04">
        <w:t xml:space="preserve">, </w:t>
      </w:r>
      <w:r w:rsidR="00ED6A69" w:rsidRPr="00742A04">
        <w:t>las cifras</w:t>
      </w:r>
      <w:r w:rsidR="00545D1B" w:rsidRPr="00742A04">
        <w:t xml:space="preserve"> </w:t>
      </w:r>
      <w:r w:rsidR="00ED6A69" w:rsidRPr="00742A04">
        <w:t>indican que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ED6A69" w:rsidRPr="00742A04">
        <w:t>la mitad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D6A69" w:rsidRPr="00742A04">
        <w:t>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ED6A69" w:rsidRPr="00742A04">
        <w:t xml:space="preserve">inician </w:t>
      </w:r>
      <w:r w:rsidR="00434891" w:rsidRPr="00742A04">
        <w:t>la enseñanza normal</w:t>
      </w:r>
      <w:r w:rsidR="00545D1B" w:rsidRPr="00742A04">
        <w:t xml:space="preserve"> </w:t>
      </w:r>
      <w:r w:rsidR="00BD7DD0" w:rsidRPr="00742A04">
        <w:t>para preescolares terminan</w:t>
      </w:r>
      <w:r w:rsidR="00545D1B" w:rsidRPr="00742A04">
        <w:t xml:space="preserve"> </w:t>
      </w:r>
      <w:r w:rsidR="00311327" w:rsidRPr="00742A04">
        <w:t>el curso</w:t>
      </w:r>
      <w:r w:rsidR="00545D1B" w:rsidRPr="00742A04">
        <w:t xml:space="preserve">. </w:t>
      </w:r>
      <w:r w:rsidR="00BD7DD0" w:rsidRPr="00742A04">
        <w:t>Los investigadores</w:t>
      </w:r>
      <w:r w:rsidR="00545D1B" w:rsidRPr="00742A04">
        <w:t xml:space="preserve"> </w:t>
      </w:r>
      <w:r w:rsidR="00BD7DD0" w:rsidRPr="00742A04">
        <w:t>creen que</w:t>
      </w:r>
      <w:r w:rsidR="00545D1B" w:rsidRPr="00742A04">
        <w:t xml:space="preserve"> </w:t>
      </w:r>
      <w:r w:rsidR="00BD7DD0" w:rsidRPr="00742A04">
        <w:t>las razones pri</w:t>
      </w:r>
      <w:r w:rsidR="00BD7DD0" w:rsidRPr="00742A04">
        <w:t>n</w:t>
      </w:r>
      <w:r w:rsidR="00BD7DD0" w:rsidRPr="00742A04">
        <w:t>cipales de ese hecho son l</w:t>
      </w:r>
      <w:r w:rsidR="00507A11" w:rsidRPr="00742A04">
        <w:t>a falta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D7DD0" w:rsidRPr="00742A04">
        <w:t>aceptación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D7DD0" w:rsidRPr="00742A04">
        <w:t>orgullo profesional</w:t>
      </w:r>
      <w:r w:rsidR="00545D1B" w:rsidRPr="00742A04">
        <w:t>.</w:t>
      </w:r>
    </w:p>
    <w:p w:rsidR="00545D1B" w:rsidRPr="00742A04" w:rsidRDefault="005C6D40" w:rsidP="005347C0">
      <w:pPr>
        <w:pStyle w:val="SingleTxt"/>
        <w:keepNext/>
        <w:rPr>
          <w:i/>
        </w:rPr>
      </w:pPr>
      <w:r w:rsidRPr="00742A04">
        <w:rPr>
          <w:i/>
        </w:rPr>
        <w:t>L</w:t>
      </w:r>
      <w:r w:rsidR="006A4CEB">
        <w:rPr>
          <w:i/>
        </w:rPr>
        <w:t>a presencia de</w:t>
      </w:r>
      <w:r w:rsidRPr="00742A04">
        <w:rPr>
          <w:i/>
        </w:rPr>
        <w:t xml:space="preserve"> hombres</w:t>
      </w:r>
      <w:r w:rsidR="00545D1B" w:rsidRPr="00742A04">
        <w:rPr>
          <w:i/>
        </w:rPr>
        <w:t xml:space="preserve"> </w:t>
      </w:r>
      <w:r w:rsidR="00BA731A" w:rsidRPr="00742A04">
        <w:rPr>
          <w:i/>
        </w:rPr>
        <w:t>como</w:t>
      </w:r>
      <w:r w:rsidR="00545D1B" w:rsidRPr="00742A04">
        <w:rPr>
          <w:i/>
        </w:rPr>
        <w:t xml:space="preserve"> </w:t>
      </w:r>
      <w:r w:rsidR="00BD7DD0" w:rsidRPr="00742A04">
        <w:rPr>
          <w:i/>
        </w:rPr>
        <w:t>indicador</w:t>
      </w:r>
      <w:r w:rsidR="00545D1B" w:rsidRPr="00742A04">
        <w:rPr>
          <w:i/>
        </w:rPr>
        <w:t xml:space="preserve"> </w:t>
      </w:r>
      <w:r w:rsidR="004A0730" w:rsidRPr="00742A04">
        <w:rPr>
          <w:i/>
        </w:rPr>
        <w:t>de</w:t>
      </w:r>
      <w:r w:rsidR="00545D1B" w:rsidRPr="00742A04">
        <w:rPr>
          <w:i/>
        </w:rPr>
        <w:t xml:space="preserve"> </w:t>
      </w:r>
      <w:r w:rsidR="004B0EC3" w:rsidRPr="00742A04">
        <w:rPr>
          <w:i/>
        </w:rPr>
        <w:t>cali</w:t>
      </w:r>
      <w:r w:rsidR="00502E16" w:rsidRPr="00742A04">
        <w:rPr>
          <w:i/>
        </w:rPr>
        <w:t>dad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="00242371" w:rsidRPr="00742A04">
        <w:rPr>
          <w:i/>
        </w:rPr>
        <w:t>las guarderías</w:t>
      </w:r>
    </w:p>
    <w:p w:rsidR="00545D1B" w:rsidRPr="00742A04" w:rsidRDefault="00BD7DD0" w:rsidP="005347C0">
      <w:pPr>
        <w:pStyle w:val="SingleTxt"/>
        <w:ind w:firstLine="475"/>
      </w:pPr>
      <w:r w:rsidRPr="00742A04">
        <w:t>Las</w:t>
      </w:r>
      <w:r w:rsidR="00545D1B" w:rsidRPr="00742A04">
        <w:t xml:space="preserve"> </w:t>
      </w:r>
      <w:r w:rsidR="001C54BB" w:rsidRPr="00742A04">
        <w:t>diez</w:t>
      </w:r>
      <w:r w:rsidR="00545D1B" w:rsidRPr="00742A04">
        <w:t xml:space="preserve"> </w:t>
      </w:r>
      <w:r w:rsidR="00F43124" w:rsidRPr="00742A04">
        <w:t>municipalidades</w:t>
      </w:r>
      <w:r w:rsidR="00545D1B" w:rsidRPr="00742A04">
        <w:t xml:space="preserve"> </w:t>
      </w:r>
      <w:r w:rsidRPr="00742A04">
        <w:t>más grandes 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Pr="00742A04">
        <w:t>comprenden la</w:t>
      </w:r>
      <w:r w:rsidR="00545D1B" w:rsidRPr="00742A04">
        <w:t xml:space="preserve"> </w:t>
      </w:r>
      <w:r w:rsidRPr="00742A04">
        <w:t xml:space="preserve">Red </w:t>
      </w:r>
      <w:r w:rsidR="00545D1B" w:rsidRPr="00742A04">
        <w:t xml:space="preserve">ASSS </w:t>
      </w:r>
      <w:r w:rsidR="004A0730" w:rsidRPr="00742A04">
        <w:t>de</w:t>
      </w:r>
      <w:r w:rsidR="00545D1B" w:rsidRPr="00742A04">
        <w:t xml:space="preserve"> </w:t>
      </w:r>
      <w:r w:rsidRPr="00742A04">
        <w:t>las Redes de</w:t>
      </w:r>
      <w:r w:rsidR="00545D1B" w:rsidRPr="00742A04">
        <w:t xml:space="preserve"> Eficienc</w:t>
      </w:r>
      <w:r w:rsidRPr="00742A04">
        <w:t>ia</w:t>
      </w:r>
      <w:r w:rsidR="00545D1B" w:rsidRPr="00742A04">
        <w:t>, represent</w:t>
      </w:r>
      <w:r w:rsidRPr="00742A04">
        <w:t>an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Pr="00742A04">
        <w:t>la tercera parte</w:t>
      </w:r>
      <w:r w:rsidR="00545D1B" w:rsidRPr="00742A04">
        <w:t xml:space="preserve"> </w:t>
      </w:r>
      <w:r w:rsidR="004A0730" w:rsidRPr="00742A04">
        <w:t>de</w:t>
      </w:r>
      <w:r w:rsidRPr="00742A04">
        <w:t xml:space="preserve"> la </w:t>
      </w:r>
      <w:r w:rsidR="00AE29D3" w:rsidRPr="00742A04">
        <w:t>población de Noruega</w:t>
      </w:r>
      <w:r w:rsidR="00C27C42" w:rsidRPr="00742A04">
        <w:t>.</w:t>
      </w:r>
      <w:r w:rsidR="00545D1B" w:rsidRPr="00742A04">
        <w:t xml:space="preserve"> </w:t>
      </w:r>
      <w:r w:rsidR="006672E0" w:rsidRPr="00742A04">
        <w:t xml:space="preserve">En junio de 2006, </w:t>
      </w:r>
      <w:r w:rsidR="006672E0">
        <w:t>dich</w:t>
      </w:r>
      <w:r w:rsidR="006672E0" w:rsidRPr="00742A04">
        <w:t xml:space="preserve">as municipalidades </w:t>
      </w:r>
      <w:r w:rsidR="006672E0">
        <w:t>adoptaron</w:t>
      </w:r>
      <w:r w:rsidR="006672E0" w:rsidRPr="00742A04">
        <w:t xml:space="preserve"> cinco indicadores</w:t>
      </w:r>
      <w:r w:rsidR="006672E0">
        <w:t xml:space="preserve"> generales</w:t>
      </w:r>
      <w:r w:rsidR="006672E0" w:rsidRPr="00742A04">
        <w:t xml:space="preserve"> para</w:t>
      </w:r>
      <w:r w:rsidR="006672E0">
        <w:t xml:space="preserve"> la</w:t>
      </w:r>
      <w:r w:rsidR="006672E0" w:rsidRPr="00742A04">
        <w:t xml:space="preserve"> calidad</w:t>
      </w:r>
      <w:r w:rsidR="006672E0">
        <w:t xml:space="preserve"> </w:t>
      </w:r>
      <w:r w:rsidR="006672E0" w:rsidRPr="00A82134">
        <w:t>municipal</w:t>
      </w:r>
      <w:r w:rsidR="006672E0" w:rsidRPr="00742A04">
        <w:t xml:space="preserve">. Uno de </w:t>
      </w:r>
      <w:r w:rsidR="006672E0">
        <w:t>los</w:t>
      </w:r>
      <w:r w:rsidR="006672E0" w:rsidRPr="00742A04">
        <w:t xml:space="preserve"> indicadores es “la pr</w:t>
      </w:r>
      <w:r w:rsidR="006672E0" w:rsidRPr="00742A04">
        <w:t>o</w:t>
      </w:r>
      <w:r w:rsidR="006672E0" w:rsidRPr="00742A04">
        <w:t>porción de hombres empl</w:t>
      </w:r>
      <w:r w:rsidR="006672E0">
        <w:t>eados</w:t>
      </w:r>
      <w:r w:rsidR="006672E0" w:rsidRPr="00742A04">
        <w:t xml:space="preserve"> en actividad</w:t>
      </w:r>
      <w:r w:rsidR="006672E0">
        <w:t xml:space="preserve">es </w:t>
      </w:r>
      <w:r w:rsidR="006672E0" w:rsidRPr="00A82134">
        <w:t>básicas</w:t>
      </w:r>
      <w:r w:rsidR="006672E0" w:rsidRPr="00742A04">
        <w:t xml:space="preserve"> en las guarderías, en </w:t>
      </w:r>
      <w:r w:rsidR="006672E0">
        <w:t>todas las</w:t>
      </w:r>
      <w:r w:rsidR="006672E0" w:rsidRPr="00742A04">
        <w:t xml:space="preserve"> </w:t>
      </w:r>
      <w:r w:rsidR="006672E0" w:rsidRPr="00A82134">
        <w:t xml:space="preserve">guarderías </w:t>
      </w:r>
      <w:r w:rsidR="006672E0" w:rsidRPr="00742A04">
        <w:t>municipal</w:t>
      </w:r>
      <w:r w:rsidR="006672E0">
        <w:t>es</w:t>
      </w:r>
      <w:r w:rsidR="006672E0" w:rsidRPr="00742A04">
        <w:t xml:space="preserve"> y priva</w:t>
      </w:r>
      <w:r w:rsidR="006672E0">
        <w:t>das</w:t>
      </w:r>
      <w:r w:rsidR="006672E0" w:rsidRPr="00742A04">
        <w:t xml:space="preserve">”. </w:t>
      </w:r>
      <w:r w:rsidR="006672E0">
        <w:t xml:space="preserve">Con arreglo al </w:t>
      </w:r>
      <w:r w:rsidR="006672E0" w:rsidRPr="00742A04">
        <w:t xml:space="preserve">plan, las municipalidades </w:t>
      </w:r>
      <w:r w:rsidR="00894371" w:rsidRPr="00742A04">
        <w:t>info</w:t>
      </w:r>
      <w:r w:rsidR="00894371" w:rsidRPr="00742A04">
        <w:t>r</w:t>
      </w:r>
      <w:r w:rsidR="00894371" w:rsidRPr="00742A04">
        <w:t>marán</w:t>
      </w:r>
      <w:r w:rsidR="006672E0" w:rsidRPr="00742A04">
        <w:t xml:space="preserve"> sobre este tema de</w:t>
      </w:r>
      <w:r w:rsidR="006672E0">
        <w:t>sde</w:t>
      </w:r>
      <w:r w:rsidR="006672E0" w:rsidRPr="00742A04">
        <w:t xml:space="preserve"> 2007 </w:t>
      </w:r>
      <w:r w:rsidR="006672E0">
        <w:t>en adelante</w:t>
      </w:r>
      <w:r w:rsidR="006672E0" w:rsidRPr="00742A04">
        <w:t xml:space="preserve">. </w:t>
      </w:r>
      <w:r w:rsidR="006672E0">
        <w:t>Los</w:t>
      </w:r>
      <w:r w:rsidR="00545D1B" w:rsidRPr="00742A04">
        <w:t xml:space="preserve"> </w:t>
      </w:r>
      <w:r w:rsidR="005E2D7A" w:rsidRPr="00742A04">
        <w:t>datos</w:t>
      </w:r>
      <w:r w:rsidR="00545D1B" w:rsidRPr="00742A04">
        <w:t xml:space="preserve"> </w:t>
      </w:r>
      <w:r w:rsidR="00604011" w:rsidRPr="00742A04">
        <w:t>s</w:t>
      </w:r>
      <w:r w:rsidR="006672E0">
        <w:t>e</w:t>
      </w:r>
      <w:r w:rsidR="00545D1B" w:rsidRPr="00742A04">
        <w:t xml:space="preserve"> obt</w:t>
      </w:r>
      <w:r w:rsidR="006672E0">
        <w:t>endrán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6672E0">
        <w:t xml:space="preserve">los </w:t>
      </w:r>
      <w:r w:rsidR="002E41F3" w:rsidRPr="00742A04">
        <w:t>info</w:t>
      </w:r>
      <w:r w:rsidR="002E41F3" w:rsidRPr="00742A04">
        <w:t>r</w:t>
      </w:r>
      <w:r w:rsidR="002E41F3" w:rsidRPr="00742A04">
        <w:t>mes</w:t>
      </w:r>
      <w:r w:rsidR="006672E0" w:rsidRPr="006672E0">
        <w:t xml:space="preserve"> </w:t>
      </w:r>
      <w:r w:rsidR="006672E0" w:rsidRPr="00742A04">
        <w:t>municipal</w:t>
      </w:r>
      <w:r w:rsidR="006672E0">
        <w:t>es anuales</w:t>
      </w:r>
      <w:r w:rsidR="00545D1B" w:rsidRPr="00742A04">
        <w:t xml:space="preserve"> </w:t>
      </w:r>
      <w:r w:rsidR="00877AA0" w:rsidRPr="00742A04">
        <w:t>y</w:t>
      </w:r>
      <w:r w:rsidR="006672E0">
        <w:t xml:space="preserve"> de</w:t>
      </w:r>
      <w:r w:rsidR="00545D1B" w:rsidRPr="00742A04">
        <w:t xml:space="preserve"> KOSTRA. </w:t>
      </w:r>
      <w:r w:rsidR="006672E0">
        <w:t xml:space="preserve">Esto </w:t>
      </w:r>
      <w:r w:rsidR="00BB4DB1" w:rsidRPr="00742A04">
        <w:t>es</w:t>
      </w:r>
      <w:r w:rsidR="00545D1B" w:rsidRPr="00742A04">
        <w:t xml:space="preserve"> </w:t>
      </w:r>
      <w:r w:rsidR="006672E0">
        <w:t>un</w:t>
      </w:r>
      <w:r w:rsidR="00545D1B" w:rsidRPr="00742A04">
        <w:t xml:space="preserve"> </w:t>
      </w:r>
      <w:r w:rsidR="008A0C75" w:rsidRPr="00742A04">
        <w:t>seguimiento</w:t>
      </w:r>
      <w:r w:rsidR="006672E0">
        <w:t xml:space="preserve"> del </w:t>
      </w:r>
      <w:r w:rsidR="006672E0" w:rsidRPr="00742A04">
        <w:t>Plan de Acción para la igualdad de género</w:t>
      </w:r>
      <w:r w:rsidR="006672E0">
        <w:t xml:space="preserve"> de</w:t>
      </w:r>
      <w:r w:rsidR="001167D2" w:rsidRPr="00742A04">
        <w:t xml:space="preserve">l </w:t>
      </w:r>
      <w:r w:rsidR="004A0730" w:rsidRPr="00742A04">
        <w:t>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2339" w:rsidRPr="00742A04">
        <w:t>s</w:t>
      </w:r>
      <w:r w:rsidR="006672E0">
        <w:t>e</w:t>
      </w:r>
      <w:r w:rsidR="00D52339" w:rsidRPr="00742A04">
        <w:t xml:space="preserve"> ba</w:t>
      </w:r>
      <w:r w:rsidR="006672E0">
        <w:t>sa en</w:t>
      </w:r>
      <w:r w:rsidR="004F2F8A" w:rsidRPr="00742A04">
        <w:t xml:space="preserve"> el </w:t>
      </w:r>
      <w:r w:rsidR="00BD47D3" w:rsidRPr="00742A04">
        <w:t>hecho de que</w:t>
      </w:r>
      <w:r w:rsidR="00545D1B" w:rsidRPr="00742A04">
        <w:t xml:space="preserve"> </w:t>
      </w:r>
      <w:r w:rsidR="004F2F8A" w:rsidRPr="00742A04">
        <w:t xml:space="preserve">las </w:t>
      </w:r>
      <w:r w:rsidR="00F43124" w:rsidRPr="00742A04">
        <w:t>municipalidades</w:t>
      </w:r>
      <w:r w:rsidR="00545D1B" w:rsidRPr="00742A04">
        <w:t xml:space="preserve"> </w:t>
      </w:r>
      <w:r w:rsidRPr="00742A04">
        <w:t>creen que</w:t>
      </w:r>
      <w:r w:rsidR="00545D1B" w:rsidRPr="00742A04">
        <w:t xml:space="preserve"> </w:t>
      </w:r>
      <w:r w:rsidR="00F61B6D">
        <w:t xml:space="preserve">la </w:t>
      </w:r>
      <w:r w:rsidR="00545D1B" w:rsidRPr="00742A04">
        <w:t>divers</w:t>
      </w:r>
      <w:r w:rsidR="00502E16" w:rsidRPr="00742A04">
        <w:t>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61B6D">
        <w:t xml:space="preserve">el </w:t>
      </w:r>
      <w:r w:rsidR="00A836A1" w:rsidRPr="00742A04">
        <w:t>género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E7B93" w:rsidRPr="00742A04">
        <w:t>importa</w:t>
      </w:r>
      <w:r w:rsidR="00AE7B93" w:rsidRPr="00742A04">
        <w:t>n</w:t>
      </w:r>
      <w:r w:rsidR="00AE7B93" w:rsidRPr="00742A04">
        <w:t>te</w:t>
      </w:r>
      <w:r w:rsidR="00F61B6D">
        <w:t>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CC072B" w:rsidRPr="00742A04">
        <w:t>la calidad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42371" w:rsidRPr="00742A04">
        <w:t>las guarder</w:t>
      </w:r>
      <w:r w:rsidR="00242371" w:rsidRPr="00742A04">
        <w:t>í</w:t>
      </w:r>
      <w:r w:rsidR="00242371" w:rsidRPr="00742A04">
        <w:t>as</w:t>
      </w:r>
      <w:r w:rsidR="00545D1B" w:rsidRPr="00742A04">
        <w:t>.</w:t>
      </w:r>
    </w:p>
    <w:p w:rsidR="00545D1B" w:rsidRPr="00742A04" w:rsidRDefault="00BD7DD0" w:rsidP="002C4922">
      <w:pPr>
        <w:pStyle w:val="SingleTxt"/>
        <w:rPr>
          <w:b/>
        </w:rPr>
      </w:pPr>
      <w:r w:rsidRPr="00742A04">
        <w:rPr>
          <w:b/>
        </w:rPr>
        <w:t>Universidades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545D1B" w:rsidRPr="00742A04">
        <w:rPr>
          <w:b/>
        </w:rPr>
        <w:t xml:space="preserve"> </w:t>
      </w:r>
      <w:r w:rsidR="00032F7B" w:rsidRPr="00742A04">
        <w:rPr>
          <w:b/>
        </w:rPr>
        <w:t>colegio</w:t>
      </w:r>
      <w:r w:rsidR="00545D1B" w:rsidRPr="00742A04">
        <w:rPr>
          <w:b/>
        </w:rPr>
        <w:t>s</w:t>
      </w:r>
    </w:p>
    <w:p w:rsidR="000A08D8" w:rsidRPr="00742A04" w:rsidRDefault="004A0730" w:rsidP="005347C0">
      <w:pPr>
        <w:pStyle w:val="SingleTxt"/>
        <w:ind w:firstLine="475"/>
      </w:pPr>
      <w:r w:rsidRPr="00742A04">
        <w:t>En</w:t>
      </w:r>
      <w:r w:rsidR="00545D1B" w:rsidRPr="00742A04">
        <w:t xml:space="preserve"> 2004</w:t>
      </w:r>
      <w:r w:rsidR="00BD7DD0" w:rsidRPr="00742A04">
        <w:t>, algo menos del</w:t>
      </w:r>
      <w:r w:rsidR="00545D1B" w:rsidRPr="00742A04">
        <w:t xml:space="preserve"> 60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D7DD0" w:rsidRPr="00742A04">
        <w:t>los estudiantes matriculados</w:t>
      </w:r>
      <w:r w:rsidR="006A4CEB">
        <w:t xml:space="preserve"> en</w:t>
      </w:r>
      <w:r w:rsidR="00545D1B" w:rsidRPr="00742A04">
        <w:t xml:space="preserve"> </w:t>
      </w:r>
      <w:r w:rsidR="00BD7DD0" w:rsidRPr="00742A04">
        <w:t>las univers</w:t>
      </w:r>
      <w:r w:rsidR="00BD7DD0" w:rsidRPr="00742A04">
        <w:t>i</w:t>
      </w:r>
      <w:r w:rsidR="00BD7DD0" w:rsidRPr="00742A04">
        <w:t>dades y colegios de Noruega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BD7DD0" w:rsidRPr="00742A04">
        <w:t>Esa</w:t>
      </w:r>
      <w:r w:rsidR="00545D1B" w:rsidRPr="00742A04">
        <w:t xml:space="preserve"> situa</w:t>
      </w:r>
      <w:r w:rsidR="00C14BFF" w:rsidRPr="00742A04">
        <w:t xml:space="preserve">ción </w:t>
      </w:r>
      <w:r w:rsidR="00BD7DD0" w:rsidRPr="00742A04">
        <w:t>no ha variado</w:t>
      </w:r>
      <w:r w:rsidR="00545D1B" w:rsidRPr="00742A04">
        <w:t xml:space="preserve"> </w:t>
      </w:r>
      <w:r w:rsidR="00BD7DD0" w:rsidRPr="00742A04">
        <w:t>respecto del i</w:t>
      </w:r>
      <w:r w:rsidR="00BD7DD0" w:rsidRPr="00742A04">
        <w:t>n</w:t>
      </w:r>
      <w:r w:rsidR="00BD7DD0" w:rsidRPr="00742A04">
        <w:t>forme anterior</w:t>
      </w:r>
      <w:r w:rsidR="00545D1B" w:rsidRPr="00742A04">
        <w:t xml:space="preserve">. </w:t>
      </w:r>
      <w:r w:rsidR="00BD7DD0" w:rsidRPr="00742A04">
        <w:t>El</w:t>
      </w:r>
      <w:r w:rsidR="00545D1B" w:rsidRPr="00742A04">
        <w:t xml:space="preserve"> </w:t>
      </w:r>
      <w:r w:rsidR="00BD7DD0" w:rsidRPr="00742A04">
        <w:t xml:space="preserve">sistema educacional </w:t>
      </w:r>
      <w:r w:rsidR="00BD47D3" w:rsidRPr="00742A04">
        <w:t>de Noruega</w:t>
      </w:r>
      <w:r w:rsidR="00545D1B" w:rsidRPr="00742A04">
        <w:t xml:space="preserve"> </w:t>
      </w:r>
      <w:r w:rsidR="00BD7DD0" w:rsidRPr="00742A04">
        <w:t>está segregado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A836A1" w:rsidRPr="00742A04">
        <w:t>género</w:t>
      </w:r>
      <w:r w:rsidR="00545D1B" w:rsidRPr="00742A04">
        <w:t xml:space="preserve">, </w:t>
      </w:r>
      <w:r w:rsidR="00BD7DD0" w:rsidRPr="00742A04">
        <w:t xml:space="preserve">pues </w:t>
      </w:r>
      <w:r w:rsidR="00021DB5" w:rsidRPr="00742A04">
        <w:t>hay</w:t>
      </w:r>
      <w:r w:rsidR="00545D1B" w:rsidRPr="00742A04">
        <w:t xml:space="preserve"> </w:t>
      </w:r>
      <w:r w:rsidR="00C07ED9" w:rsidRPr="00742A04">
        <w:t>claras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los sexos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BD7DD0" w:rsidRPr="00742A04">
        <w:t>elección de disciplinas. Las muj</w:t>
      </w:r>
      <w:r w:rsidR="00BD7DD0" w:rsidRPr="00742A04">
        <w:t>e</w:t>
      </w:r>
      <w:r w:rsidR="00BD7DD0" w:rsidRPr="00742A04">
        <w:t>res están</w:t>
      </w:r>
      <w:r w:rsidR="00545D1B" w:rsidRPr="00742A04">
        <w:t xml:space="preserve"> </w:t>
      </w:r>
      <w:r w:rsidR="00BD7DD0" w:rsidRPr="00742A04">
        <w:t>sobrerrepresentadas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451E4" w:rsidRPr="00742A04">
        <w:t>los estudios</w:t>
      </w:r>
      <w:r w:rsidR="00545D1B" w:rsidRPr="00742A04">
        <w:t xml:space="preserve"> </w:t>
      </w:r>
      <w:r w:rsidR="00154FBB" w:rsidRPr="00742A04">
        <w:t>relacionad</w:t>
      </w:r>
      <w:r w:rsidR="00BD7DD0" w:rsidRPr="00742A04">
        <w:t>os</w:t>
      </w:r>
      <w:r w:rsidR="00154FBB" w:rsidRPr="00742A04">
        <w:t xml:space="preserve"> con</w:t>
      </w:r>
      <w:r w:rsidR="00545D1B" w:rsidRPr="00742A04">
        <w:t xml:space="preserve"> </w:t>
      </w:r>
      <w:r w:rsidR="00BD7DD0" w:rsidRPr="00742A04">
        <w:t>la atención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D7DD0" w:rsidRPr="00742A04">
        <w:t xml:space="preserve">la </w:t>
      </w:r>
      <w:r w:rsidR="00A05847" w:rsidRPr="00742A04">
        <w:t>ed</w:t>
      </w:r>
      <w:r w:rsidR="00A05847" w:rsidRPr="00742A04">
        <w:t>u</w:t>
      </w:r>
      <w:r w:rsidR="00A05847" w:rsidRPr="00742A04">
        <w:t>cación</w:t>
      </w:r>
      <w:r w:rsidR="00545D1B" w:rsidRPr="00742A04">
        <w:t xml:space="preserve">, </w:t>
      </w:r>
      <w:r w:rsidR="00B8584B" w:rsidRPr="00742A04">
        <w:t>mientras que</w:t>
      </w:r>
      <w:r w:rsidR="00545D1B" w:rsidRPr="00742A04">
        <w:t xml:space="preserve"> </w:t>
      </w:r>
      <w:r w:rsidR="00BD7DD0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B0197C" w:rsidRPr="00742A04">
        <w:t>mayoría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D7DD0" w:rsidRPr="00742A04">
        <w:t>las disciplinas tecnológicas</w:t>
      </w:r>
      <w:r w:rsidR="00545D1B" w:rsidRPr="00742A04">
        <w:t xml:space="preserve">. </w:t>
      </w:r>
      <w:r w:rsidR="00BD7DD0" w:rsidRPr="00742A04">
        <w:t>El desequilibrio de género llega al máximo grado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D7DD0" w:rsidRPr="00742A04">
        <w:t>las disciplinas de salud</w:t>
      </w:r>
      <w:r w:rsidR="00545D1B" w:rsidRPr="00742A04">
        <w:t xml:space="preserve">. </w:t>
      </w:r>
      <w:r w:rsidR="000A5430" w:rsidRPr="00742A04">
        <w:t>Por eje</w:t>
      </w:r>
      <w:r w:rsidR="000A5430" w:rsidRPr="00742A04">
        <w:t>m</w:t>
      </w:r>
      <w:r w:rsidR="000A5430" w:rsidRPr="00742A04">
        <w:t>plo</w:t>
      </w:r>
      <w:r w:rsidR="00545D1B" w:rsidRPr="00742A04">
        <w:t xml:space="preserve">, </w:t>
      </w:r>
      <w:r w:rsidR="00BD7DD0" w:rsidRPr="00742A04">
        <w:t xml:space="preserve">el </w:t>
      </w:r>
      <w:r w:rsidR="00545D1B" w:rsidRPr="00742A04">
        <w:t>89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D7DD0" w:rsidRPr="00742A04">
        <w:t>los estudiantes matriculados en</w:t>
      </w:r>
      <w:r w:rsidR="00545D1B" w:rsidRPr="00742A04">
        <w:t xml:space="preserve"> </w:t>
      </w:r>
      <w:r w:rsidR="00BD7DD0" w:rsidRPr="00742A04">
        <w:t>enfermería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(2004). </w:t>
      </w:r>
      <w:r w:rsidR="003F660E" w:rsidRPr="00742A04">
        <w:t>De las</w:t>
      </w:r>
      <w:r w:rsidR="00545D1B" w:rsidRPr="00742A04">
        <w:t xml:space="preserve"> </w:t>
      </w:r>
      <w:r w:rsidR="003F660E" w:rsidRPr="00742A04">
        <w:t>disciplinas relacionadas con la salud</w:t>
      </w:r>
      <w:r w:rsidR="00545D1B" w:rsidRPr="00742A04">
        <w:t xml:space="preserve">, </w:t>
      </w:r>
      <w:r w:rsidR="009451E4" w:rsidRPr="00742A04">
        <w:t>los estudios</w:t>
      </w:r>
      <w:r w:rsidR="00545D1B" w:rsidRPr="00742A04">
        <w:t xml:space="preserve"> </w:t>
      </w:r>
      <w:r w:rsidR="003F660E" w:rsidRPr="00742A04">
        <w:t xml:space="preserve">médicos </w:t>
      </w:r>
      <w:r w:rsidR="006137EC" w:rsidRPr="00742A04">
        <w:t>son</w:t>
      </w:r>
      <w:r w:rsidR="00545D1B" w:rsidRPr="00742A04">
        <w:t xml:space="preserve"> </w:t>
      </w:r>
      <w:r w:rsidR="003F660E" w:rsidRPr="00742A04">
        <w:t>los menos</w:t>
      </w:r>
      <w:r w:rsidR="00545D1B" w:rsidRPr="00742A04">
        <w:t xml:space="preserve"> segr</w:t>
      </w:r>
      <w:r w:rsidR="00545D1B" w:rsidRPr="00742A04">
        <w:t>e</w:t>
      </w:r>
      <w:r w:rsidR="00545D1B" w:rsidRPr="00742A04">
        <w:t>ga</w:t>
      </w:r>
      <w:r w:rsidR="003F660E" w:rsidRPr="00742A04">
        <w:t>dos</w:t>
      </w:r>
      <w:r w:rsidR="00545D1B" w:rsidRPr="00742A04">
        <w:t xml:space="preserve">, </w:t>
      </w:r>
      <w:r w:rsidRPr="00742A04">
        <w:t>con</w:t>
      </w:r>
      <w:r w:rsidR="00545D1B" w:rsidRPr="00742A04">
        <w:t xml:space="preserve"> </w:t>
      </w:r>
      <w:r w:rsidR="003F660E" w:rsidRPr="00742A04">
        <w:t xml:space="preserve">un </w:t>
      </w:r>
      <w:r w:rsidR="00545D1B" w:rsidRPr="00742A04">
        <w:t>40</w:t>
      </w:r>
      <w:r w:rsidR="001167D2" w:rsidRPr="00742A04">
        <w:t>%</w:t>
      </w:r>
      <w:r w:rsidR="00545D1B" w:rsidRPr="00742A04">
        <w:t xml:space="preserve"> </w:t>
      </w:r>
      <w:r w:rsidR="003F660E" w:rsidRPr="00742A04">
        <w:t>de estudiantes de sexo masculino</w:t>
      </w:r>
      <w:r w:rsidR="00545D1B" w:rsidRPr="00742A04">
        <w:t xml:space="preserve">. </w:t>
      </w:r>
      <w:r w:rsidR="003F660E" w:rsidRPr="00742A04">
        <w:t>En 2004 h</w:t>
      </w:r>
      <w:r w:rsidR="004A3F50" w:rsidRPr="00742A04">
        <w:t>ubo</w:t>
      </w:r>
      <w:r w:rsidR="00545D1B" w:rsidRPr="00742A04">
        <w:t xml:space="preserve"> </w:t>
      </w:r>
      <w:r w:rsidR="003F660E" w:rsidRPr="00742A04">
        <w:t>una leve te</w:t>
      </w:r>
      <w:r w:rsidR="003F660E" w:rsidRPr="00742A04">
        <w:t>n</w:t>
      </w:r>
      <w:r w:rsidR="003F660E" w:rsidRPr="00742A04">
        <w:t>dencia</w:t>
      </w:r>
      <w:r w:rsidR="00545D1B" w:rsidRPr="00742A04">
        <w:t xml:space="preserve"> </w:t>
      </w:r>
      <w:r w:rsidR="003F660E" w:rsidRPr="00742A04">
        <w:t>al incremento de la cantidad 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AE655D" w:rsidRPr="00742A04">
        <w:t>acepta</w:t>
      </w:r>
      <w:r w:rsidR="003F660E" w:rsidRPr="00742A04">
        <w:t>dos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F660E" w:rsidRPr="00742A04">
        <w:t>cursar estudios en materia de salud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F660E" w:rsidRPr="00742A04">
        <w:t>relación con</w:t>
      </w:r>
      <w:r w:rsidR="00545D1B" w:rsidRPr="00742A04">
        <w:t xml:space="preserve"> 2002. </w:t>
      </w:r>
      <w:r w:rsidR="00E73E8E" w:rsidRPr="00742A04">
        <w:t>La proporción</w:t>
      </w:r>
      <w:r w:rsidR="00C14BFF" w:rsidRPr="00742A04">
        <w:t xml:space="preserve"> </w:t>
      </w:r>
      <w:r w:rsidRPr="00742A04">
        <w:t>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F660E" w:rsidRPr="00742A04">
        <w:t xml:space="preserve">se </w:t>
      </w:r>
      <w:r w:rsidR="00AC1BF5" w:rsidRPr="00742A04">
        <w:t>incr</w:t>
      </w:r>
      <w:r w:rsidR="00AC1BF5" w:rsidRPr="00742A04">
        <w:t>e</w:t>
      </w:r>
      <w:r w:rsidR="00AC1BF5" w:rsidRPr="00742A04">
        <w:t xml:space="preserve">mento </w:t>
      </w:r>
      <w:r w:rsidR="003F660E" w:rsidRPr="00742A04">
        <w:t xml:space="preserve">levemente </w:t>
      </w:r>
      <w:r w:rsidR="00C14BFF" w:rsidRPr="00742A04">
        <w:t>en</w:t>
      </w:r>
      <w:r w:rsidR="00545D1B" w:rsidRPr="00742A04">
        <w:t xml:space="preserve"> </w:t>
      </w:r>
      <w:r w:rsidR="003F660E" w:rsidRPr="00742A04">
        <w:t>la enseñanza normal general y para</w:t>
      </w:r>
      <w:r w:rsidR="00545D1B" w:rsidRPr="00742A04">
        <w:t xml:space="preserve"> </w:t>
      </w:r>
      <w:r w:rsidR="00434891" w:rsidRPr="00742A04">
        <w:t>preescolar</w:t>
      </w:r>
      <w:r w:rsidR="003F660E" w:rsidRPr="00742A04">
        <w:t>es</w:t>
      </w:r>
      <w:r w:rsidR="00545D1B" w:rsidRPr="00742A04">
        <w:t xml:space="preserve">, </w:t>
      </w:r>
      <w:r w:rsidR="003F660E" w:rsidRPr="00742A04">
        <w:t>aunque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F660E" w:rsidRPr="00742A04">
        <w:t>siguen representando una importante</w:t>
      </w:r>
      <w:r w:rsidR="00545D1B" w:rsidRPr="00742A04">
        <w:t xml:space="preserve"> </w:t>
      </w:r>
      <w:r w:rsidR="00B0197C" w:rsidRPr="00742A04">
        <w:t>mayoría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37384" w:rsidRPr="00742A04">
        <w:t>los estudiantes</w:t>
      </w:r>
      <w:r w:rsidR="00545D1B" w:rsidRPr="00742A04">
        <w:t xml:space="preserve">. </w:t>
      </w:r>
      <w:r w:rsidR="003F660E" w:rsidRPr="00742A04">
        <w:t>Por otro lado</w:t>
      </w:r>
      <w:r w:rsidR="00545D1B" w:rsidRPr="00742A04">
        <w:t xml:space="preserve">, </w:t>
      </w:r>
      <w:r w:rsidR="003F660E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3F660E" w:rsidRPr="00742A04">
        <w:t>representan un</w:t>
      </w:r>
      <w:r w:rsidR="00545D1B" w:rsidRPr="00742A04">
        <w:t xml:space="preserve">a </w:t>
      </w:r>
      <w:r w:rsidR="00B0197C" w:rsidRPr="00742A04">
        <w:t>mayoría</w:t>
      </w:r>
      <w:r w:rsidR="00545D1B" w:rsidRPr="00742A04">
        <w:t xml:space="preserve"> </w:t>
      </w:r>
      <w:r w:rsidR="003F660E" w:rsidRPr="00742A04">
        <w:t xml:space="preserve">sustancial </w:t>
      </w:r>
      <w:r w:rsidRPr="00742A04">
        <w:t>de</w:t>
      </w:r>
      <w:r w:rsidR="003F660E" w:rsidRPr="00742A04">
        <w:t xml:space="preserve"> </w:t>
      </w:r>
      <w:r w:rsidR="00537384" w:rsidRPr="00742A04">
        <w:t>los estudiantes</w:t>
      </w:r>
      <w:r w:rsidR="003F660E" w:rsidRPr="00742A04">
        <w:t xml:space="preserve"> de discipl</w:t>
      </w:r>
      <w:r w:rsidR="003F660E" w:rsidRPr="00742A04">
        <w:t>i</w:t>
      </w:r>
      <w:r w:rsidR="003F660E" w:rsidRPr="00742A04">
        <w:t>nas tecnológicas</w:t>
      </w:r>
      <w:r w:rsidR="00545D1B" w:rsidRPr="00742A04">
        <w:t xml:space="preserve">. </w:t>
      </w:r>
      <w:r w:rsidR="00E73E8E" w:rsidRPr="00742A04">
        <w:t>La proporción de mujeres</w:t>
      </w:r>
      <w:r w:rsidR="00545D1B" w:rsidRPr="00742A04">
        <w:t xml:space="preserve"> </w:t>
      </w:r>
      <w:r w:rsidR="00BD7DD0" w:rsidRPr="00742A04">
        <w:t>matricula</w:t>
      </w:r>
      <w:r w:rsidR="003F660E" w:rsidRPr="00742A04">
        <w:t>da</w:t>
      </w:r>
      <w:r w:rsidR="00BD7DD0" w:rsidRPr="00742A04">
        <w:t>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F660E" w:rsidRPr="00742A04">
        <w:t>cursos de ingeniería</w:t>
      </w:r>
      <w:r w:rsidR="00545D1B" w:rsidRPr="00742A04">
        <w:t xml:space="preserve"> de</w:t>
      </w:r>
      <w:r w:rsidR="003F660E" w:rsidRPr="00742A04">
        <w:t>s</w:t>
      </w:r>
      <w:r w:rsidR="00545D1B" w:rsidRPr="00742A04">
        <w:t>c</w:t>
      </w:r>
      <w:r w:rsidR="003F660E" w:rsidRPr="00742A04">
        <w:t>e</w:t>
      </w:r>
      <w:r w:rsidR="00545D1B" w:rsidRPr="00742A04">
        <w:t>nd</w:t>
      </w:r>
      <w:r w:rsidR="003F660E" w:rsidRPr="00742A04">
        <w:t>ió</w:t>
      </w:r>
      <w:r w:rsidR="00545D1B" w:rsidRPr="00742A04">
        <w:t xml:space="preserve"> </w:t>
      </w:r>
      <w:r w:rsidR="008F0C8E" w:rsidRPr="00742A04">
        <w:t>de</w:t>
      </w:r>
      <w:r w:rsidR="003F660E" w:rsidRPr="00742A04">
        <w:t>l</w:t>
      </w:r>
      <w:r w:rsidR="00545D1B" w:rsidRPr="00742A04">
        <w:t xml:space="preserve"> 17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2002 </w:t>
      </w:r>
      <w:r w:rsidR="0030626A" w:rsidRPr="00742A04">
        <w:t>a</w:t>
      </w:r>
      <w:r w:rsidR="003F660E" w:rsidRPr="00742A04">
        <w:t>l</w:t>
      </w:r>
      <w:r w:rsidR="00545D1B" w:rsidRPr="00742A04">
        <w:t xml:space="preserve"> 15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</w:t>
      </w:r>
      <w:r w:rsidR="000A08D8" w:rsidRPr="00742A04">
        <w:t>.</w:t>
      </w:r>
    </w:p>
    <w:p w:rsidR="00545D1B" w:rsidRPr="00742A04" w:rsidRDefault="00154695" w:rsidP="00154695">
      <w:pPr>
        <w:pStyle w:val="SingleTxt"/>
        <w:jc w:val="left"/>
        <w:rPr>
          <w:i/>
        </w:rPr>
      </w:pPr>
      <w:r w:rsidRPr="00742A04">
        <w:rPr>
          <w:i/>
        </w:rPr>
        <w:t>Estrategia d</w:t>
      </w:r>
      <w:r w:rsidR="004D313C" w:rsidRPr="00742A04">
        <w:rPr>
          <w:i/>
        </w:rPr>
        <w:t>el Gobierno</w:t>
      </w:r>
      <w:r w:rsidRPr="00742A04">
        <w:rPr>
          <w:i/>
        </w:rPr>
        <w:t xml:space="preserve"> par</w:t>
      </w:r>
      <w:r w:rsidR="0030626A" w:rsidRPr="00742A04">
        <w:rPr>
          <w:i/>
        </w:rPr>
        <w:t>a</w:t>
      </w:r>
      <w:r w:rsidR="00545D1B" w:rsidRPr="00742A04">
        <w:rPr>
          <w:i/>
        </w:rPr>
        <w:t xml:space="preserve"> </w:t>
      </w:r>
      <w:r w:rsidRPr="00742A04">
        <w:rPr>
          <w:i/>
        </w:rPr>
        <w:t>alentar las</w:t>
      </w:r>
      <w:r w:rsidR="00545D1B" w:rsidRPr="00742A04">
        <w:rPr>
          <w:i/>
        </w:rPr>
        <w:t xml:space="preserve"> </w:t>
      </w:r>
      <w:r w:rsidRPr="00742A04">
        <w:rPr>
          <w:i/>
        </w:rPr>
        <w:t xml:space="preserve">opciones educacionales </w:t>
      </w:r>
      <w:r w:rsidR="00434891" w:rsidRPr="00742A04">
        <w:rPr>
          <w:i/>
        </w:rPr>
        <w:t>no tradicionales</w:t>
      </w:r>
      <w:r w:rsidR="00545D1B" w:rsidRPr="00742A04">
        <w:rPr>
          <w:i/>
        </w:rPr>
        <w:t xml:space="preserve"> </w:t>
      </w:r>
    </w:p>
    <w:p w:rsidR="000A08D8" w:rsidRPr="00742A04" w:rsidRDefault="003C25BF" w:rsidP="005347C0">
      <w:pPr>
        <w:pStyle w:val="SingleTxt"/>
        <w:ind w:firstLine="475"/>
      </w:pPr>
      <w:r w:rsidRPr="00742A04">
        <w:t>Cuando</w:t>
      </w:r>
      <w:r w:rsidR="00545D1B" w:rsidRPr="00742A04">
        <w:t xml:space="preserve"> </w:t>
      </w:r>
      <w:r w:rsidR="00154695" w:rsidRPr="00742A04">
        <w:t>se evalúe a</w:t>
      </w:r>
      <w:r w:rsidR="00545D1B" w:rsidRPr="00742A04">
        <w:t xml:space="preserve"> </w:t>
      </w:r>
      <w:r w:rsidR="00537384" w:rsidRPr="00742A04">
        <w:t>los estudiantes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44FDB" w:rsidRPr="00742A04">
        <w:t>la educación superior</w:t>
      </w:r>
      <w:r w:rsidR="00545D1B" w:rsidRPr="00742A04">
        <w:t xml:space="preserve">, </w:t>
      </w:r>
      <w:r w:rsidR="00154695" w:rsidRPr="00742A04">
        <w:t>se podrán oto</w:t>
      </w:r>
      <w:r w:rsidR="00154695" w:rsidRPr="00742A04">
        <w:t>r</w:t>
      </w:r>
      <w:r w:rsidR="00154695" w:rsidRPr="00742A04">
        <w:t>gar puntos adicionales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54695" w:rsidRPr="00742A04">
        <w:t>los solicitantes</w:t>
      </w:r>
      <w:r w:rsidR="00893DBB" w:rsidRPr="00742A04">
        <w:t xml:space="preserve"> del </w:t>
      </w:r>
      <w:r w:rsidR="00154695" w:rsidRPr="00742A04">
        <w:t>género que</w:t>
      </w:r>
      <w:r w:rsidR="00545D1B" w:rsidRPr="00742A04">
        <w:t xml:space="preserve"> </w:t>
      </w:r>
      <w:r w:rsidR="00BB4DB1" w:rsidRPr="00742A04">
        <w:t>es</w:t>
      </w:r>
      <w:r w:rsidR="00154695" w:rsidRPr="00742A04">
        <w:t>té</w:t>
      </w:r>
      <w:r w:rsidR="00545D1B" w:rsidRPr="00742A04">
        <w:t xml:space="preserve"> </w:t>
      </w:r>
      <w:r w:rsidR="00032136" w:rsidRPr="00742A04">
        <w:t>claramente</w:t>
      </w:r>
      <w:r w:rsidR="00545D1B" w:rsidRPr="00742A04">
        <w:t xml:space="preserve"> </w:t>
      </w:r>
      <w:r w:rsidR="00C923A8" w:rsidRPr="00742A04">
        <w:t>menos representado</w:t>
      </w:r>
      <w:r w:rsidR="00545D1B" w:rsidRPr="00742A04">
        <w:t>.</w:t>
      </w:r>
      <w:r w:rsidR="003E5775" w:rsidRPr="00742A04">
        <w:t xml:space="preserve"> </w:t>
      </w:r>
      <w:r w:rsidR="00154695" w:rsidRPr="00742A04">
        <w:t>A</w:t>
      </w:r>
      <w:r w:rsidR="003E5775" w:rsidRPr="00742A04">
        <w:t>l</w:t>
      </w:r>
      <w:r w:rsidR="00154695" w:rsidRPr="00742A04">
        <w:t xml:space="preserve"> </w:t>
      </w:r>
      <w:r w:rsidR="00194AB3" w:rsidRPr="00742A04">
        <w:t>1° de enero</w:t>
      </w:r>
      <w:r w:rsidR="004A0730" w:rsidRPr="00742A04">
        <w:t xml:space="preserve"> de</w:t>
      </w:r>
      <w:r w:rsidR="00545D1B" w:rsidRPr="00742A04">
        <w:t xml:space="preserve"> 2005 </w:t>
      </w:r>
      <w:r w:rsidR="00154695" w:rsidRPr="00742A04">
        <w:t>se otorgan puntos adicionales</w:t>
      </w:r>
      <w:r w:rsidR="00545D1B" w:rsidRPr="00742A04">
        <w:t xml:space="preserve"> </w:t>
      </w:r>
      <w:r w:rsidR="00F43124" w:rsidRPr="00742A04">
        <w:t>a</w:t>
      </w:r>
      <w:r w:rsidR="00545D1B" w:rsidRPr="00742A04">
        <w:t xml:space="preserve"> </w:t>
      </w:r>
      <w:r w:rsidR="00154695" w:rsidRPr="00742A04">
        <w:t>las solicitantes</w:t>
      </w:r>
      <w:r w:rsidR="00545D1B" w:rsidRPr="00742A04">
        <w:t xml:space="preserve"> </w:t>
      </w:r>
      <w:r w:rsidR="00154695" w:rsidRPr="00742A04">
        <w:t xml:space="preserve">de sexo femenino para </w:t>
      </w:r>
      <w:r w:rsidR="00897464" w:rsidRPr="00742A04">
        <w:t>determinado</w:t>
      </w:r>
      <w:r w:rsidR="00154695" w:rsidRPr="00742A04">
        <w:t xml:space="preserve">s estudios </w:t>
      </w:r>
      <w:r w:rsidR="00897464" w:rsidRPr="00742A04">
        <w:t>de</w:t>
      </w:r>
      <w:r w:rsidR="00545D1B" w:rsidRPr="00742A04">
        <w:t xml:space="preserve"> </w:t>
      </w:r>
      <w:r w:rsidR="00897464" w:rsidRPr="00742A04">
        <w:t>ingeniería</w:t>
      </w:r>
      <w:r w:rsidR="002E5047" w:rsidRPr="00742A04">
        <w:t xml:space="preserve"> e </w:t>
      </w:r>
      <w:r w:rsidR="00897464" w:rsidRPr="00742A04">
        <w:t>informática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897464" w:rsidRPr="00742A04">
        <w:t>para los estudios en colegios</w:t>
      </w:r>
      <w:r w:rsidR="00545D1B" w:rsidRPr="00742A04">
        <w:t xml:space="preserve"> agr</w:t>
      </w:r>
      <w:r w:rsidR="00897464" w:rsidRPr="00742A04">
        <w:t>í</w:t>
      </w:r>
      <w:r w:rsidR="00545D1B" w:rsidRPr="00742A04">
        <w:t>c</w:t>
      </w:r>
      <w:r w:rsidR="00897464" w:rsidRPr="00742A04">
        <w:t>o</w:t>
      </w:r>
      <w:r w:rsidR="00545D1B" w:rsidRPr="00742A04">
        <w:t>l</w:t>
      </w:r>
      <w:r w:rsidR="00897464" w:rsidRPr="00742A04">
        <w:t>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ma</w:t>
      </w:r>
      <w:r w:rsidR="00897464" w:rsidRPr="00742A04">
        <w:t>rítimos</w:t>
      </w:r>
      <w:r w:rsidR="00545D1B" w:rsidRPr="00742A04">
        <w:t xml:space="preserve">. </w:t>
      </w:r>
      <w:r w:rsidR="00502E16" w:rsidRPr="00742A04">
        <w:t>Análogamente</w:t>
      </w:r>
      <w:r w:rsidR="00545D1B" w:rsidRPr="00742A04">
        <w:t xml:space="preserve">, </w:t>
      </w:r>
      <w:r w:rsidR="00154695" w:rsidRPr="00742A04">
        <w:t xml:space="preserve">a los </w:t>
      </w:r>
      <w:r w:rsidR="00072AD7" w:rsidRPr="00742A04">
        <w:t>hombres</w:t>
      </w:r>
      <w:r w:rsidR="00545D1B" w:rsidRPr="00742A04">
        <w:t xml:space="preserve"> </w:t>
      </w:r>
      <w:r w:rsidR="00154695" w:rsidRPr="00742A04">
        <w:t>se les otorgan puntos adicionales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897464" w:rsidRPr="00742A04">
        <w:t xml:space="preserve">solicitan </w:t>
      </w:r>
      <w:r w:rsidR="00894371" w:rsidRPr="00742A04">
        <w:t>ingresar</w:t>
      </w:r>
      <w:r w:rsidR="00897464" w:rsidRPr="00742A04">
        <w:t xml:space="preserve"> en estudios de</w:t>
      </w:r>
      <w:r w:rsidR="00545D1B" w:rsidRPr="00742A04">
        <w:t xml:space="preserve"> </w:t>
      </w:r>
      <w:r w:rsidR="00BD7DD0" w:rsidRPr="00742A04">
        <w:t>enfermería</w:t>
      </w:r>
      <w:r w:rsidR="00545D1B" w:rsidRPr="00742A04">
        <w:t xml:space="preserve"> </w:t>
      </w:r>
      <w:r w:rsidR="00897464" w:rsidRPr="00742A04">
        <w:t xml:space="preserve">animal </w:t>
      </w:r>
      <w:r w:rsidR="00877AA0" w:rsidRPr="00742A04">
        <w:t>y</w:t>
      </w:r>
      <w:r w:rsidR="00545D1B" w:rsidRPr="00742A04">
        <w:t xml:space="preserve"> veterinar</w:t>
      </w:r>
      <w:r w:rsidR="00897464" w:rsidRPr="00742A04">
        <w:t>ia</w:t>
      </w:r>
      <w:r w:rsidR="00545D1B" w:rsidRPr="00742A04">
        <w:t>.</w:t>
      </w:r>
      <w:r w:rsidR="001167D2" w:rsidRPr="00742A04">
        <w:t xml:space="preserve"> </w:t>
      </w:r>
      <w:r w:rsidR="00897464" w:rsidRPr="00742A04">
        <w:t>E</w:t>
      </w:r>
      <w:r w:rsidR="001167D2" w:rsidRPr="00742A04">
        <w:t xml:space="preserve">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6C0744" w:rsidRPr="00742A04">
        <w:t>e Investigación</w:t>
      </w:r>
      <w:r w:rsidR="00545D1B" w:rsidRPr="00742A04">
        <w:t xml:space="preserve"> </w:t>
      </w:r>
      <w:r w:rsidR="00BA0349" w:rsidRPr="00742A04">
        <w:t>también puede</w:t>
      </w:r>
      <w:r w:rsidR="00897464" w:rsidRPr="00742A04">
        <w:t xml:space="preserve"> establecer cuotas</w:t>
      </w:r>
      <w:r w:rsidR="00545D1B" w:rsidRPr="00742A04">
        <w:t xml:space="preserve"> </w:t>
      </w:r>
      <w:r w:rsidR="00E574AD" w:rsidRPr="00742A04">
        <w:t>especial</w:t>
      </w:r>
      <w:r w:rsidR="00897464" w:rsidRPr="00742A04">
        <w:t xml:space="preserve">es </w:t>
      </w:r>
      <w:r w:rsidR="00F43124" w:rsidRPr="00742A04">
        <w:t>para</w:t>
      </w:r>
      <w:r w:rsidR="00545D1B" w:rsidRPr="00742A04">
        <w:t xml:space="preserve"> </w:t>
      </w:r>
      <w:r w:rsidR="00897464" w:rsidRPr="00742A04">
        <w:t>determinados</w:t>
      </w:r>
      <w:r w:rsidR="00545D1B" w:rsidRPr="00742A04">
        <w:t xml:space="preserve"> </w:t>
      </w:r>
      <w:r w:rsidR="00897464" w:rsidRPr="00742A04">
        <w:t>cursos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circu</w:t>
      </w:r>
      <w:r w:rsidR="00897464" w:rsidRPr="00742A04">
        <w:t>n</w:t>
      </w:r>
      <w:r w:rsidR="00545D1B" w:rsidRPr="00742A04">
        <w:t>stan</w:t>
      </w:r>
      <w:r w:rsidR="00897464" w:rsidRPr="00742A04">
        <w:t>cia</w:t>
      </w:r>
      <w:r w:rsidR="00545D1B" w:rsidRPr="00742A04">
        <w:t>s</w:t>
      </w:r>
      <w:r w:rsidR="00897464" w:rsidRPr="00742A04">
        <w:t xml:space="preserve"> especiales</w:t>
      </w:r>
      <w:r w:rsidR="00545D1B" w:rsidRPr="00742A04">
        <w:t>.</w:t>
      </w:r>
      <w:r w:rsidR="003E5775" w:rsidRPr="00742A04">
        <w:t xml:space="preserve"> </w:t>
      </w:r>
      <w:r w:rsidR="00897464" w:rsidRPr="00742A04">
        <w:t>A la fecha de ho</w:t>
      </w:r>
      <w:r w:rsidR="00545D1B" w:rsidRPr="00742A04">
        <w:t xml:space="preserve">y, </w:t>
      </w:r>
      <w:r w:rsidR="00AE655D" w:rsidRPr="00742A04">
        <w:t>se han establecido</w:t>
      </w:r>
      <w:r w:rsidR="00545D1B" w:rsidRPr="00742A04">
        <w:t xml:space="preserve"> </w:t>
      </w:r>
      <w:r w:rsidR="00897464" w:rsidRPr="00742A04">
        <w:t xml:space="preserve">cuotas </w:t>
      </w:r>
      <w:r w:rsidR="00F43124" w:rsidRPr="00742A04">
        <w:t>para</w:t>
      </w:r>
      <w:r w:rsidR="00897464" w:rsidRPr="00742A04">
        <w:t xml:space="preserve"> las</w:t>
      </w:r>
      <w:r w:rsidR="00545D1B" w:rsidRPr="00742A04">
        <w:t xml:space="preserve"> </w:t>
      </w:r>
      <w:r w:rsidR="00897464" w:rsidRPr="00742A04">
        <w:t>solicitantes</w:t>
      </w:r>
      <w:r w:rsidR="00897464" w:rsidRPr="00742A04">
        <w:rPr>
          <w:i/>
        </w:rPr>
        <w:t xml:space="preserve"> </w:t>
      </w:r>
      <w:r w:rsidR="000220D6" w:rsidRPr="00742A04">
        <w:t>de sexo femenino</w:t>
      </w:r>
      <w:r w:rsidR="00545D1B" w:rsidRPr="00742A04">
        <w:t xml:space="preserve"> </w:t>
      </w:r>
      <w:r w:rsidR="00897464" w:rsidRPr="00742A04">
        <w:t>en dos</w:t>
      </w:r>
      <w:r w:rsidR="00545D1B" w:rsidRPr="00742A04">
        <w:t xml:space="preserve"> </w:t>
      </w:r>
      <w:r w:rsidR="00F43124" w:rsidRPr="00742A04">
        <w:t>pr</w:t>
      </w:r>
      <w:r w:rsidR="00F43124" w:rsidRPr="00742A04">
        <w:t>o</w:t>
      </w:r>
      <w:r w:rsidR="00F43124" w:rsidRPr="00742A04">
        <w:t>grama</w:t>
      </w:r>
      <w:r w:rsidR="00545D1B" w:rsidRPr="00742A04">
        <w:t>s</w:t>
      </w:r>
      <w:r w:rsidR="00897464" w:rsidRPr="00742A04">
        <w:t xml:space="preserve"> determinados de maestría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7464" w:rsidRPr="00742A04">
        <w:t>disciplinas de ingeniería</w:t>
      </w:r>
      <w:r w:rsidR="000A08D8" w:rsidRPr="00742A04">
        <w:t>.</w:t>
      </w:r>
    </w:p>
    <w:p w:rsidR="00545D1B" w:rsidRPr="00742A04" w:rsidRDefault="00154695" w:rsidP="002C4922">
      <w:pPr>
        <w:pStyle w:val="SingleTxt"/>
        <w:rPr>
          <w:i/>
        </w:rPr>
      </w:pPr>
      <w:r w:rsidRPr="00742A04">
        <w:rPr>
          <w:i/>
        </w:rPr>
        <w:t>P</w:t>
      </w:r>
      <w:r w:rsidR="00E73E8E" w:rsidRPr="00742A04">
        <w:rPr>
          <w:i/>
        </w:rPr>
        <w:t>roporción de mujeres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Pr="00742A04">
        <w:rPr>
          <w:i/>
        </w:rPr>
        <w:t>puestos académicos</w:t>
      </w:r>
    </w:p>
    <w:p w:rsidR="000A08D8" w:rsidRPr="00742A04" w:rsidRDefault="004A0730" w:rsidP="005347C0">
      <w:pPr>
        <w:pStyle w:val="SingleTxt"/>
        <w:ind w:firstLine="475"/>
      </w:pPr>
      <w:r w:rsidRPr="00742A04">
        <w:t>En</w:t>
      </w:r>
      <w:r w:rsidR="00545D1B" w:rsidRPr="00742A04">
        <w:t xml:space="preserve"> 1992, </w:t>
      </w:r>
      <w:r w:rsidR="003A4F33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3A4F33" w:rsidRPr="00742A04">
        <w:t>representaban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3A4F33" w:rsidRPr="00742A04">
        <w:t xml:space="preserve">el </w:t>
      </w:r>
      <w:r w:rsidR="00545D1B" w:rsidRPr="00742A04">
        <w:t>21</w:t>
      </w:r>
      <w:r w:rsidR="001167D2" w:rsidRPr="00742A04">
        <w:t>%</w:t>
      </w:r>
      <w:r w:rsidR="00545D1B" w:rsidRPr="00742A04">
        <w:t xml:space="preserve"> </w:t>
      </w:r>
      <w:r w:rsidR="003A4F33" w:rsidRPr="00742A04">
        <w:t>del total de</w:t>
      </w:r>
      <w:r w:rsidR="00545D1B" w:rsidRPr="00742A04">
        <w:t xml:space="preserve"> </w:t>
      </w:r>
      <w:r w:rsidR="003A4F33" w:rsidRPr="00742A04">
        <w:t>doctorado</w:t>
      </w:r>
      <w:r w:rsidR="00545D1B" w:rsidRPr="00742A04">
        <w:t xml:space="preserve">s. </w:t>
      </w:r>
      <w:r w:rsidRPr="00742A04">
        <w:t>En</w:t>
      </w:r>
      <w:r w:rsidR="00545D1B" w:rsidRPr="00742A04">
        <w:t xml:space="preserve"> 1996 </w:t>
      </w:r>
      <w:r w:rsidR="003A4F33" w:rsidRPr="00742A04">
        <w:t>esa cifra</w:t>
      </w:r>
      <w:r w:rsidR="00545D1B" w:rsidRPr="00742A04">
        <w:t xml:space="preserve"> </w:t>
      </w:r>
      <w:r w:rsidR="003A4F33" w:rsidRPr="00742A04">
        <w:t>se elevó al</w:t>
      </w:r>
      <w:r w:rsidR="00FD7D4E" w:rsidRPr="00742A04">
        <w:t xml:space="preserve"> </w:t>
      </w:r>
      <w:r w:rsidR="00545D1B" w:rsidRPr="00742A04">
        <w:t>34</w:t>
      </w:r>
      <w:r w:rsidR="001167D2" w:rsidRPr="00742A04">
        <w:t>%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A4F33" w:rsidRPr="00742A04">
        <w:t xml:space="preserve">el año </w:t>
      </w:r>
      <w:r w:rsidR="00545D1B" w:rsidRPr="00742A04">
        <w:t xml:space="preserve">2000 </w:t>
      </w:r>
      <w:r w:rsidR="0030626A" w:rsidRPr="00742A04">
        <w:t>a</w:t>
      </w:r>
      <w:r w:rsidR="003A4F33" w:rsidRPr="00742A04">
        <w:t>l</w:t>
      </w:r>
      <w:r w:rsidR="00545D1B" w:rsidRPr="00742A04">
        <w:t xml:space="preserve"> 35</w:t>
      </w:r>
      <w:r w:rsidR="001167D2" w:rsidRPr="00742A04">
        <w:t>%</w:t>
      </w:r>
      <w:r w:rsidR="00545D1B" w:rsidRPr="00742A04">
        <w:t xml:space="preserve"> </w:t>
      </w:r>
      <w:r w:rsidR="003A4F33" w:rsidRPr="00742A04">
        <w:t>del total de doctorado</w:t>
      </w:r>
      <w:r w:rsidR="00545D1B" w:rsidRPr="00742A04">
        <w:t xml:space="preserve">s. </w:t>
      </w:r>
      <w:r w:rsidRPr="00742A04">
        <w:t>En</w:t>
      </w:r>
      <w:r w:rsidR="00545D1B" w:rsidRPr="00742A04">
        <w:t xml:space="preserve"> 2002 </w:t>
      </w:r>
      <w:r w:rsidR="00E73E8E" w:rsidRPr="00742A04">
        <w:t>la proporción de mujeres</w:t>
      </w:r>
      <w:r w:rsidR="00545D1B" w:rsidRPr="00742A04">
        <w:t xml:space="preserve"> </w:t>
      </w:r>
      <w:r w:rsidR="003A4F33" w:rsidRPr="00742A04">
        <w:t>tuvo un au</w:t>
      </w:r>
      <w:r w:rsidR="00AC1BF5" w:rsidRPr="00742A04">
        <w:t xml:space="preserve">mento </w:t>
      </w:r>
      <w:r w:rsidR="005D2D07" w:rsidRPr="00742A04">
        <w:t>significativ</w:t>
      </w:r>
      <w:r w:rsidR="003A4F33" w:rsidRPr="00742A04">
        <w:t>o, llegando al</w:t>
      </w:r>
      <w:r w:rsidR="00545D1B" w:rsidRPr="00742A04">
        <w:t xml:space="preserve"> 40</w:t>
      </w:r>
      <w:r w:rsidR="001167D2" w:rsidRPr="00742A04">
        <w:t>%</w:t>
      </w:r>
      <w:r w:rsidR="003A4F33" w:rsidRPr="00742A04">
        <w:t>, y ha</w:t>
      </w:r>
      <w:r w:rsidR="002E5047" w:rsidRPr="00742A04">
        <w:t xml:space="preserve"> </w:t>
      </w:r>
      <w:r w:rsidR="003A4F33" w:rsidRPr="00742A04">
        <w:t>permanecido</w:t>
      </w:r>
      <w:r w:rsidR="00545D1B" w:rsidRPr="00742A04">
        <w:t xml:space="preserve"> </w:t>
      </w:r>
      <w:r w:rsidR="00BC2FBE" w:rsidRPr="00742A04">
        <w:t>estable</w:t>
      </w:r>
      <w:r w:rsidR="00545D1B" w:rsidRPr="00742A04">
        <w:t xml:space="preserve"> </w:t>
      </w:r>
      <w:r w:rsidR="003A4F33" w:rsidRPr="00742A04">
        <w:t>en ese ni</w:t>
      </w:r>
      <w:r w:rsidR="00545D1B" w:rsidRPr="00742A04">
        <w:t xml:space="preserve">vel </w:t>
      </w:r>
      <w:r w:rsidR="00B34971" w:rsidRPr="00742A04">
        <w:t>a partir de</w:t>
      </w:r>
      <w:r w:rsidR="003A4F33" w:rsidRPr="00742A04">
        <w:t xml:space="preserve"> entonces</w:t>
      </w:r>
      <w:r w:rsidR="00545D1B" w:rsidRPr="00742A04">
        <w:t xml:space="preserve">. </w:t>
      </w:r>
      <w:r w:rsidR="003A4F33" w:rsidRPr="00742A04">
        <w:t>A</w:t>
      </w:r>
      <w:r w:rsidR="00E06311" w:rsidRPr="00742A04">
        <w:t>hora</w:t>
      </w:r>
      <w:r w:rsidR="003A4F33" w:rsidRPr="00742A04">
        <w:t xml:space="preserve"> existe un</w:t>
      </w:r>
      <w:r w:rsidR="00545D1B" w:rsidRPr="00742A04">
        <w:t xml:space="preserve"> </w:t>
      </w:r>
      <w:r w:rsidR="00831293" w:rsidRPr="00742A04">
        <w:t>razonable</w:t>
      </w:r>
      <w:r w:rsidR="00545D1B" w:rsidRPr="00742A04">
        <w:t xml:space="preserve"> </w:t>
      </w:r>
      <w:r w:rsidR="00831293" w:rsidRPr="00742A04">
        <w:t>equilibrio de género</w:t>
      </w:r>
      <w:r w:rsidR="00545D1B" w:rsidRPr="00742A04">
        <w:t xml:space="preserve"> </w:t>
      </w:r>
      <w:r w:rsidR="003A4F33" w:rsidRPr="00742A04">
        <w:t>al nivel de</w:t>
      </w:r>
      <w:r w:rsidR="00545D1B" w:rsidRPr="00742A04">
        <w:t xml:space="preserve"> </w:t>
      </w:r>
      <w:r w:rsidR="003A4F33" w:rsidRPr="00742A04">
        <w:t>doctorado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A4F33" w:rsidRPr="00742A04">
        <w:t>ciencias sociales</w:t>
      </w:r>
      <w:r w:rsidR="00545D1B" w:rsidRPr="00742A04">
        <w:t xml:space="preserve">, </w:t>
      </w:r>
      <w:r w:rsidR="003A4F33" w:rsidRPr="00742A04">
        <w:t>disciplinas artísticas</w:t>
      </w:r>
      <w:r w:rsidR="00545D1B" w:rsidRPr="00742A04">
        <w:t xml:space="preserve">, </w:t>
      </w:r>
      <w:r w:rsidR="003A4F33" w:rsidRPr="00742A04">
        <w:t>agronomía</w:t>
      </w:r>
      <w:r w:rsidR="00545D1B" w:rsidRPr="00742A04">
        <w:t>/</w:t>
      </w:r>
      <w:r w:rsidR="003A4F33" w:rsidRPr="00742A04">
        <w:t>medicina veterinaria</w:t>
      </w:r>
      <w:r w:rsidR="00545D1B" w:rsidRPr="00742A04">
        <w:t xml:space="preserve"> </w:t>
      </w:r>
      <w:r w:rsidR="00877AA0" w:rsidRPr="00742A04">
        <w:t>y</w:t>
      </w:r>
      <w:r w:rsidR="00EF18D9">
        <w:t xml:space="preserve"> medicina</w:t>
      </w:r>
      <w:r w:rsidR="00545D1B" w:rsidRPr="00742A04">
        <w:t xml:space="preserve">. </w:t>
      </w:r>
      <w:r w:rsidR="003A4F33" w:rsidRPr="00742A04">
        <w:t>Ha habido</w:t>
      </w:r>
      <w:r w:rsidR="00545D1B" w:rsidRPr="00742A04">
        <w:t xml:space="preserve"> </w:t>
      </w:r>
      <w:r w:rsidR="003A4F33" w:rsidRPr="00742A04">
        <w:t>una tendenci</w:t>
      </w:r>
      <w:r w:rsidR="00545D1B" w:rsidRPr="00742A04">
        <w:t xml:space="preserve">a </w:t>
      </w:r>
      <w:r w:rsidR="00FD58FD" w:rsidRPr="00742A04">
        <w:t>positiva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E4459" w:rsidRPr="00742A04">
        <w:t>matemática</w:t>
      </w:r>
      <w:r w:rsidR="00545D1B" w:rsidRPr="00742A04">
        <w:t>/</w:t>
      </w:r>
      <w:r w:rsidR="00AE4459" w:rsidRPr="00742A04">
        <w:t>ciencias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08D8" w:rsidRPr="00742A04">
        <w:t>tecnología</w:t>
      </w:r>
      <w:r w:rsidR="00545D1B" w:rsidRPr="00742A04">
        <w:t xml:space="preserve">, </w:t>
      </w:r>
      <w:r w:rsidR="003A4F33" w:rsidRPr="00742A04">
        <w:t>aunque todavía queda</w:t>
      </w:r>
      <w:r w:rsidR="003C0B47" w:rsidRPr="00742A04">
        <w:t>n aspectos que mejorar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D7DD0" w:rsidRPr="00742A04">
        <w:t>las disciplinas tecnológicas</w:t>
      </w:r>
      <w:r w:rsidR="000A08D8" w:rsidRPr="00742A04">
        <w:t>.</w:t>
      </w:r>
    </w:p>
    <w:p w:rsidR="000A08D8" w:rsidRPr="00742A04" w:rsidRDefault="004A0730" w:rsidP="005347C0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1995-2004, </w:t>
      </w:r>
      <w:r w:rsidR="00E73E8E" w:rsidRPr="00742A04">
        <w:t>la proporción de mujeres</w:t>
      </w:r>
      <w:r w:rsidR="00545D1B" w:rsidRPr="00742A04">
        <w:t xml:space="preserve"> </w:t>
      </w:r>
      <w:r w:rsidR="003C0B47" w:rsidRPr="00742A04">
        <w:t>que obtuvieron</w:t>
      </w:r>
      <w:r w:rsidR="00545D1B" w:rsidRPr="00742A04">
        <w:t xml:space="preserve"> </w:t>
      </w:r>
      <w:r w:rsidR="003C0B47" w:rsidRPr="00742A04">
        <w:t>doctorados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C0B47" w:rsidRPr="00742A04">
        <w:t>ciencias sociales</w:t>
      </w:r>
      <w:r w:rsidR="00545D1B" w:rsidRPr="00742A04">
        <w:t xml:space="preserve"> </w:t>
      </w:r>
      <w:r w:rsidR="003C0B47" w:rsidRPr="00742A04">
        <w:t>aumentó del</w:t>
      </w:r>
      <w:r w:rsidR="00545D1B" w:rsidRPr="00742A04">
        <w:t xml:space="preserve"> 29</w:t>
      </w:r>
      <w:r w:rsidR="001167D2" w:rsidRPr="00742A04">
        <w:t>%</w:t>
      </w:r>
      <w:r w:rsidR="00545D1B" w:rsidRPr="00742A04">
        <w:t xml:space="preserve"> </w:t>
      </w:r>
      <w:r w:rsidR="0030626A" w:rsidRPr="00742A04">
        <w:t>a</w:t>
      </w:r>
      <w:r w:rsidR="003C0B47" w:rsidRPr="00742A04">
        <w:t>l</w:t>
      </w:r>
      <w:r w:rsidR="00545D1B" w:rsidRPr="00742A04">
        <w:t xml:space="preserve"> 49</w:t>
      </w:r>
      <w:r w:rsidR="001167D2" w:rsidRPr="00742A04">
        <w:t>%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AE4459" w:rsidRPr="00742A04">
        <w:t>matemática</w:t>
      </w:r>
      <w:r w:rsidR="00545D1B" w:rsidRPr="00742A04">
        <w:t>/</w:t>
      </w:r>
      <w:r w:rsidR="00AE4459" w:rsidRPr="00742A04">
        <w:t>ciencias</w:t>
      </w:r>
      <w:r w:rsidR="00545D1B" w:rsidRPr="00742A04">
        <w:t xml:space="preserve"> </w:t>
      </w:r>
      <w:r w:rsidR="008F0C8E" w:rsidRPr="00742A04">
        <w:t>de</w:t>
      </w:r>
      <w:r w:rsidR="003C0B47" w:rsidRPr="00742A04">
        <w:t>l</w:t>
      </w:r>
      <w:r w:rsidR="00545D1B" w:rsidRPr="00742A04">
        <w:t xml:space="preserve"> 27</w:t>
      </w:r>
      <w:r w:rsidR="001167D2" w:rsidRPr="00742A04">
        <w:t>%</w:t>
      </w:r>
      <w:r w:rsidR="00545D1B" w:rsidRPr="00742A04">
        <w:t xml:space="preserve"> </w:t>
      </w:r>
      <w:r w:rsidR="0030626A" w:rsidRPr="00742A04">
        <w:t>a</w:t>
      </w:r>
      <w:r w:rsidR="003C0B47" w:rsidRPr="00742A04">
        <w:t>l</w:t>
      </w:r>
      <w:r w:rsidR="00545D1B" w:rsidRPr="00742A04">
        <w:t xml:space="preserve"> 34</w:t>
      </w:r>
      <w:r w:rsidR="001167D2" w:rsidRPr="00742A04">
        <w:t>%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0A08D8" w:rsidRPr="00742A04">
        <w:t>tecnología</w:t>
      </w:r>
      <w:r w:rsidR="00545D1B" w:rsidRPr="00742A04">
        <w:t xml:space="preserve"> </w:t>
      </w:r>
      <w:r w:rsidR="008F0C8E" w:rsidRPr="00742A04">
        <w:t>de</w:t>
      </w:r>
      <w:r w:rsidR="003C0B47" w:rsidRPr="00742A04">
        <w:t>l</w:t>
      </w:r>
      <w:r w:rsidR="00545D1B" w:rsidRPr="00742A04">
        <w:t xml:space="preserve"> 21</w:t>
      </w:r>
      <w:r w:rsidR="001167D2" w:rsidRPr="00742A04">
        <w:t>%</w:t>
      </w:r>
      <w:r w:rsidR="00545D1B" w:rsidRPr="00742A04">
        <w:t xml:space="preserve"> </w:t>
      </w:r>
      <w:r w:rsidR="0030626A" w:rsidRPr="00742A04">
        <w:t>a</w:t>
      </w:r>
      <w:r w:rsidR="003C0B47" w:rsidRPr="00742A04">
        <w:t>l</w:t>
      </w:r>
      <w:r w:rsidR="00545D1B" w:rsidRPr="00742A04">
        <w:t xml:space="preserve"> 24</w:t>
      </w:r>
      <w:r w:rsidR="001167D2" w:rsidRPr="00742A04">
        <w:t>%</w:t>
      </w:r>
      <w:r w:rsidR="00545D1B" w:rsidRPr="00742A04">
        <w:t xml:space="preserve">, </w:t>
      </w:r>
      <w:r w:rsidR="00C14BFF" w:rsidRPr="00742A04">
        <w:t>en</w:t>
      </w:r>
      <w:r w:rsidR="003C0B47" w:rsidRPr="00742A04">
        <w:t xml:space="preserve"> medicina</w:t>
      </w:r>
      <w:r w:rsidR="00545D1B" w:rsidRPr="00742A04">
        <w:t xml:space="preserve"> </w:t>
      </w:r>
      <w:r w:rsidR="008F0C8E" w:rsidRPr="00742A04">
        <w:t>de</w:t>
      </w:r>
      <w:r w:rsidR="003C0B47" w:rsidRPr="00742A04">
        <w:t>l</w:t>
      </w:r>
      <w:r w:rsidR="00545D1B" w:rsidRPr="00742A04">
        <w:t xml:space="preserve"> 38</w:t>
      </w:r>
      <w:r w:rsidR="001167D2" w:rsidRPr="00742A04">
        <w:t>%</w:t>
      </w:r>
      <w:r w:rsidR="00545D1B" w:rsidRPr="00742A04">
        <w:t xml:space="preserve"> </w:t>
      </w:r>
      <w:r w:rsidR="0030626A" w:rsidRPr="00742A04">
        <w:t>a</w:t>
      </w:r>
      <w:r w:rsidR="003C0B47" w:rsidRPr="00742A04">
        <w:t>l</w:t>
      </w:r>
      <w:r w:rsidR="00545D1B" w:rsidRPr="00742A04">
        <w:t xml:space="preserve"> 41</w:t>
      </w:r>
      <w:r w:rsidR="001167D2" w:rsidRPr="00742A04">
        <w:t>%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A4F33" w:rsidRPr="00742A04">
        <w:t>agron</w:t>
      </w:r>
      <w:r w:rsidR="003A4F33" w:rsidRPr="00742A04">
        <w:t>o</w:t>
      </w:r>
      <w:r w:rsidR="003A4F33" w:rsidRPr="00742A04">
        <w:t>mía</w:t>
      </w:r>
      <w:r w:rsidR="00545D1B" w:rsidRPr="00742A04">
        <w:t>/</w:t>
      </w:r>
      <w:r w:rsidR="003A4F33" w:rsidRPr="00742A04">
        <w:t>medicina veterinaria</w:t>
      </w:r>
      <w:r w:rsidR="00545D1B" w:rsidRPr="00742A04">
        <w:t xml:space="preserve"> </w:t>
      </w:r>
      <w:r w:rsidR="008F0C8E" w:rsidRPr="00742A04">
        <w:t>de</w:t>
      </w:r>
      <w:r w:rsidR="003C0B47" w:rsidRPr="00742A04">
        <w:t>l</w:t>
      </w:r>
      <w:r w:rsidR="00545D1B" w:rsidRPr="00742A04">
        <w:t xml:space="preserve"> 44</w:t>
      </w:r>
      <w:r w:rsidR="001167D2" w:rsidRPr="00742A04">
        <w:t>%</w:t>
      </w:r>
      <w:r w:rsidR="00545D1B" w:rsidRPr="00742A04">
        <w:t xml:space="preserve"> </w:t>
      </w:r>
      <w:r w:rsidR="0030626A" w:rsidRPr="00742A04">
        <w:t>a</w:t>
      </w:r>
      <w:r w:rsidR="003C0B47" w:rsidRPr="00742A04">
        <w:t>l</w:t>
      </w:r>
      <w:r w:rsidR="00545D1B" w:rsidRPr="00742A04">
        <w:t xml:space="preserve"> 62</w:t>
      </w:r>
      <w:r w:rsidR="001167D2" w:rsidRPr="00742A04">
        <w:t>%</w:t>
      </w:r>
      <w:r w:rsidR="00545D1B" w:rsidRPr="00742A04">
        <w:t xml:space="preserve">. </w:t>
      </w:r>
      <w:r w:rsidRPr="00742A04">
        <w:t>En</w:t>
      </w:r>
      <w:r w:rsidR="00545D1B" w:rsidRPr="00742A04">
        <w:t xml:space="preserve"> </w:t>
      </w:r>
      <w:r w:rsidR="00692EA0" w:rsidRPr="00742A04">
        <w:t>el mismo período</w:t>
      </w:r>
      <w:r w:rsidR="00545D1B" w:rsidRPr="00742A04">
        <w:t xml:space="preserve">, </w:t>
      </w:r>
      <w:r w:rsidR="00E73E8E" w:rsidRPr="00742A04">
        <w:t>la proporción de mujeres</w:t>
      </w:r>
      <w:r w:rsidR="00545D1B" w:rsidRPr="00742A04">
        <w:t xml:space="preserve"> </w:t>
      </w:r>
      <w:r w:rsidR="00692EA0" w:rsidRPr="00742A04">
        <w:t>que obtuvieron</w:t>
      </w:r>
      <w:r w:rsidR="00545D1B" w:rsidRPr="00742A04">
        <w:t xml:space="preserve"> </w:t>
      </w:r>
      <w:r w:rsidR="003A4F33" w:rsidRPr="00742A04">
        <w:t>doctorado</w:t>
      </w:r>
      <w:r w:rsidR="00545D1B" w:rsidRPr="00742A04">
        <w:t xml:space="preserve">s </w:t>
      </w:r>
      <w:r w:rsidR="00C14BFF" w:rsidRPr="00742A04">
        <w:t>en</w:t>
      </w:r>
      <w:r w:rsidR="00545D1B" w:rsidRPr="00742A04">
        <w:t xml:space="preserve"> </w:t>
      </w:r>
      <w:r w:rsidR="003A4F33" w:rsidRPr="00742A04">
        <w:t>disciplinas artísticas</w:t>
      </w:r>
      <w:r w:rsidR="00545D1B" w:rsidRPr="00742A04">
        <w:t xml:space="preserve"> </w:t>
      </w:r>
      <w:r w:rsidR="00692EA0" w:rsidRPr="00742A04">
        <w:t>se redujo un</w:t>
      </w:r>
      <w:r w:rsidR="00545D1B" w:rsidRPr="00742A04">
        <w:t xml:space="preserve"> 1</w:t>
      </w:r>
      <w:r w:rsidR="001167D2" w:rsidRPr="00742A04">
        <w:t>%</w:t>
      </w:r>
      <w:r w:rsidR="00545D1B" w:rsidRPr="00742A04">
        <w:t xml:space="preserve">, </w:t>
      </w:r>
      <w:r w:rsidR="00692EA0" w:rsidRPr="00742A04">
        <w:t>pasa</w:t>
      </w:r>
      <w:r w:rsidR="00692EA0" w:rsidRPr="00742A04">
        <w:t>n</w:t>
      </w:r>
      <w:r w:rsidR="00692EA0" w:rsidRPr="00742A04">
        <w:t xml:space="preserve">do </w:t>
      </w:r>
      <w:r w:rsidR="008F0C8E" w:rsidRPr="00742A04">
        <w:t>de</w:t>
      </w:r>
      <w:r w:rsidR="00692EA0" w:rsidRPr="00742A04">
        <w:t>l</w:t>
      </w:r>
      <w:r w:rsidR="00545D1B" w:rsidRPr="00742A04">
        <w:t xml:space="preserve"> 39</w:t>
      </w:r>
      <w:r w:rsidR="001167D2" w:rsidRPr="00742A04">
        <w:t>%</w:t>
      </w:r>
      <w:r w:rsidR="00545D1B" w:rsidRPr="00742A04">
        <w:t xml:space="preserve"> </w:t>
      </w:r>
      <w:r w:rsidR="0030626A" w:rsidRPr="00742A04">
        <w:t>a</w:t>
      </w:r>
      <w:r w:rsidR="00692EA0" w:rsidRPr="00742A04">
        <w:t>l</w:t>
      </w:r>
      <w:r w:rsidR="00545D1B" w:rsidRPr="00742A04">
        <w:t xml:space="preserve"> 38</w:t>
      </w:r>
      <w:r w:rsidR="001167D2" w:rsidRPr="00742A04">
        <w:t>%</w:t>
      </w:r>
      <w:r w:rsidR="000A08D8" w:rsidRPr="00742A04">
        <w:t>.</w:t>
      </w:r>
    </w:p>
    <w:p w:rsidR="000A08D8" w:rsidRPr="00742A04" w:rsidRDefault="004A0730" w:rsidP="00B81187">
      <w:pPr>
        <w:pStyle w:val="SingleTxt"/>
        <w:ind w:firstLine="475"/>
      </w:pPr>
      <w:r w:rsidRPr="00742A04">
        <w:t>En</w:t>
      </w:r>
      <w:r w:rsidR="00545D1B" w:rsidRPr="00742A04">
        <w:t xml:space="preserve"> 2004 </w:t>
      </w:r>
      <w:r w:rsidR="00D35225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A836A1" w:rsidRPr="00742A04">
        <w:t>sólo</w:t>
      </w:r>
      <w:r w:rsidR="00B81187" w:rsidRPr="00742A04">
        <w:t xml:space="preserve"> representaban el</w:t>
      </w:r>
      <w:r w:rsidR="00545D1B" w:rsidRPr="00742A04">
        <w:t xml:space="preserve"> 16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81187" w:rsidRPr="00742A04">
        <w:t>los</w:t>
      </w:r>
      <w:r w:rsidR="00545D1B" w:rsidRPr="00742A04">
        <w:t xml:space="preserve"> </w:t>
      </w:r>
      <w:r w:rsidR="002E5047" w:rsidRPr="00742A04">
        <w:t>nombramientos</w:t>
      </w:r>
      <w:r w:rsidR="00545D1B" w:rsidRPr="00742A04">
        <w:t xml:space="preserve"> </w:t>
      </w:r>
      <w:r w:rsidR="00B81187" w:rsidRPr="00742A04">
        <w:t>par</w:t>
      </w:r>
      <w:r w:rsidR="0030626A" w:rsidRPr="00742A04">
        <w:t>a</w:t>
      </w:r>
      <w:r w:rsidR="00545D1B" w:rsidRPr="00742A04">
        <w:t xml:space="preserve"> </w:t>
      </w:r>
      <w:r w:rsidR="00B81187" w:rsidRPr="00742A04">
        <w:t>puestos de profes</w:t>
      </w:r>
      <w:r w:rsidR="00545D1B" w:rsidRPr="00742A04">
        <w:t>or</w:t>
      </w:r>
      <w:r w:rsidR="00B81187" w:rsidRPr="00742A04">
        <w:t>e</w:t>
      </w:r>
      <w:r w:rsidR="00545D1B" w:rsidRPr="00742A04">
        <w:t>s (</w:t>
      </w:r>
      <w:r w:rsidR="00B81187" w:rsidRPr="00742A04">
        <w:t>los</w:t>
      </w:r>
      <w:r w:rsidR="00545D1B" w:rsidRPr="00742A04">
        <w:t xml:space="preserve"> </w:t>
      </w:r>
      <w:r w:rsidR="00154695" w:rsidRPr="00742A04">
        <w:t>puestos académicos</w:t>
      </w:r>
      <w:r w:rsidR="00B81187" w:rsidRPr="00742A04">
        <w:t xml:space="preserve"> más elevados</w:t>
      </w:r>
      <w:r w:rsidR="00545D1B" w:rsidRPr="00742A04">
        <w:t xml:space="preserve">). </w:t>
      </w:r>
      <w:r w:rsidR="00B81187" w:rsidRPr="00742A04">
        <w:t>Ese</w:t>
      </w:r>
      <w:r w:rsidR="00545D1B" w:rsidRPr="00742A04">
        <w:t xml:space="preserve"> </w:t>
      </w:r>
      <w:r w:rsidR="001C62F9" w:rsidRPr="00742A04">
        <w:t>porcentaje</w:t>
      </w:r>
      <w:r w:rsidR="00545D1B" w:rsidRPr="00742A04">
        <w:t xml:space="preserve"> </w:t>
      </w:r>
      <w:r w:rsidR="00B81187" w:rsidRPr="00742A04">
        <w:t xml:space="preserve">se </w:t>
      </w:r>
      <w:r w:rsidR="00AC1BF5" w:rsidRPr="00742A04">
        <w:t>i</w:t>
      </w:r>
      <w:r w:rsidR="00AC1BF5" w:rsidRPr="00742A04">
        <w:t>n</w:t>
      </w:r>
      <w:r w:rsidR="00AC1BF5" w:rsidRPr="00742A04">
        <w:t>cremen</w:t>
      </w:r>
      <w:r w:rsidR="00B81187" w:rsidRPr="00742A04">
        <w:t>tó</w:t>
      </w:r>
      <w:r w:rsidR="00AC1BF5" w:rsidRPr="00742A04">
        <w:t xml:space="preserve"> de</w:t>
      </w:r>
      <w:r w:rsidR="00B81187" w:rsidRPr="00742A04">
        <w:t>l</w:t>
      </w:r>
      <w:r w:rsidR="00545D1B" w:rsidRPr="00742A04">
        <w:t xml:space="preserve"> 13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2001 </w:t>
      </w:r>
      <w:r w:rsidR="0030626A" w:rsidRPr="00742A04">
        <w:t>a</w:t>
      </w:r>
      <w:r w:rsidR="00B81187" w:rsidRPr="00742A04">
        <w:t>l</w:t>
      </w:r>
      <w:r w:rsidR="00545D1B" w:rsidRPr="00742A04">
        <w:t xml:space="preserve"> 15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2002. </w:t>
      </w:r>
      <w:r w:rsidR="00B81187" w:rsidRPr="00742A04">
        <w:t>Entr</w:t>
      </w:r>
      <w:r w:rsidR="008F0C8E" w:rsidRPr="00742A04">
        <w:t>e</w:t>
      </w:r>
      <w:r w:rsidR="00545D1B" w:rsidRPr="00742A04">
        <w:t xml:space="preserve"> 2003 </w:t>
      </w:r>
      <w:r w:rsidR="00B81187" w:rsidRPr="00742A04">
        <w:t>y</w:t>
      </w:r>
      <w:r w:rsidR="00545D1B" w:rsidRPr="00742A04">
        <w:t xml:space="preserve"> 2004 </w:t>
      </w:r>
      <w:r w:rsidR="00B81187" w:rsidRPr="00742A04">
        <w:t>el</w:t>
      </w:r>
      <w:r w:rsidR="00545D1B" w:rsidRPr="00742A04">
        <w:t xml:space="preserve"> </w:t>
      </w:r>
      <w:r w:rsidR="001C62F9" w:rsidRPr="00742A04">
        <w:t>porcentaje</w:t>
      </w:r>
      <w:r w:rsidR="00545D1B" w:rsidRPr="00742A04">
        <w:t xml:space="preserve"> </w:t>
      </w:r>
      <w:r w:rsidR="004D313C" w:rsidRPr="00742A04">
        <w:t>de m</w:t>
      </w:r>
      <w:r w:rsidR="004D313C" w:rsidRPr="00742A04">
        <w:t>u</w:t>
      </w:r>
      <w:r w:rsidR="004D313C" w:rsidRPr="00742A04">
        <w:t>jeres</w:t>
      </w:r>
      <w:r w:rsidR="00545D1B" w:rsidRPr="00742A04">
        <w:t xml:space="preserve"> </w:t>
      </w:r>
      <w:r w:rsidR="00B81187" w:rsidRPr="00742A04">
        <w:t>profes</w:t>
      </w:r>
      <w:r w:rsidR="00545D1B" w:rsidRPr="00742A04">
        <w:t>or</w:t>
      </w:r>
      <w:r w:rsidR="00B81187" w:rsidRPr="00742A04">
        <w:t>a</w:t>
      </w:r>
      <w:r w:rsidR="00545D1B" w:rsidRPr="00742A04">
        <w:t xml:space="preserve">s </w:t>
      </w:r>
      <w:r w:rsidR="00B81187" w:rsidRPr="00742A04">
        <w:t>no tuvo variaciones</w:t>
      </w:r>
      <w:r w:rsidR="000A08D8" w:rsidRPr="00742A04">
        <w:t>.</w:t>
      </w:r>
    </w:p>
    <w:p w:rsidR="00545D1B" w:rsidRPr="00742A04" w:rsidRDefault="00B81187" w:rsidP="00B81187">
      <w:pPr>
        <w:pStyle w:val="SingleTxt"/>
        <w:jc w:val="left"/>
        <w:rPr>
          <w:i/>
        </w:rPr>
      </w:pPr>
      <w:r w:rsidRPr="00742A04">
        <w:rPr>
          <w:i/>
        </w:rPr>
        <w:t>Estrategia d</w:t>
      </w:r>
      <w:r w:rsidR="004D313C" w:rsidRPr="00742A04">
        <w:rPr>
          <w:i/>
        </w:rPr>
        <w:t>el Gobierno</w:t>
      </w:r>
      <w:r w:rsidR="00545D1B" w:rsidRPr="00742A04">
        <w:rPr>
          <w:i/>
        </w:rPr>
        <w:t xml:space="preserve"> </w:t>
      </w:r>
      <w:r w:rsidRPr="00742A04">
        <w:rPr>
          <w:i/>
        </w:rPr>
        <w:t>par</w:t>
      </w:r>
      <w:r w:rsidR="0030626A" w:rsidRPr="00742A04">
        <w:rPr>
          <w:i/>
        </w:rPr>
        <w:t>a</w:t>
      </w:r>
      <w:r w:rsidR="00545D1B" w:rsidRPr="00742A04">
        <w:rPr>
          <w:i/>
        </w:rPr>
        <w:t xml:space="preserve"> </w:t>
      </w:r>
      <w:r w:rsidR="00242371" w:rsidRPr="00742A04">
        <w:rPr>
          <w:i/>
        </w:rPr>
        <w:t>incrementar</w:t>
      </w:r>
      <w:r w:rsidR="00545D1B" w:rsidRPr="00742A04">
        <w:rPr>
          <w:i/>
        </w:rPr>
        <w:t xml:space="preserve"> </w:t>
      </w:r>
      <w:r w:rsidR="00E73E8E" w:rsidRPr="00742A04">
        <w:rPr>
          <w:i/>
        </w:rPr>
        <w:t>la proporción de mujeres</w:t>
      </w:r>
      <w:r w:rsidRPr="00742A04">
        <w:rPr>
          <w:i/>
        </w:rPr>
        <w:br/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Pr="00742A04">
        <w:rPr>
          <w:i/>
        </w:rPr>
        <w:t>los puestos académicos superiores</w:t>
      </w:r>
    </w:p>
    <w:p w:rsidR="000A08D8" w:rsidRPr="00742A04" w:rsidRDefault="00B81187" w:rsidP="008F159B">
      <w:pPr>
        <w:pStyle w:val="SingleTxt"/>
        <w:ind w:firstLine="475"/>
      </w:pPr>
      <w:r w:rsidRPr="00742A04">
        <w:t>El mejoramiento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37384" w:rsidRPr="00742A04">
        <w:t>la distribución de género</w:t>
      </w:r>
      <w:r w:rsidR="00C14BFF" w:rsidRPr="00742A04">
        <w:t xml:space="preserve"> en</w:t>
      </w:r>
      <w:r w:rsidR="00545D1B" w:rsidRPr="00742A04">
        <w:t xml:space="preserve"> </w:t>
      </w:r>
      <w:r w:rsidRPr="00742A04">
        <w:t>los puestos académicos sup</w:t>
      </w:r>
      <w:r w:rsidRPr="00742A04">
        <w:t>e</w:t>
      </w:r>
      <w:r w:rsidRPr="00742A04">
        <w:t>riores</w:t>
      </w:r>
      <w:r w:rsidR="00545D1B" w:rsidRPr="00742A04">
        <w:t xml:space="preserve"> </w:t>
      </w:r>
      <w:r w:rsidRPr="00742A04">
        <w:t>está avanzando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Pr="00742A04">
        <w:t>lentamente que lo que sería deseable</w:t>
      </w:r>
      <w:r w:rsidR="00545D1B" w:rsidRPr="00742A04">
        <w:t xml:space="preserve">. </w:t>
      </w:r>
      <w:r w:rsidRPr="00742A04">
        <w:t>Por consiguiente, las u</w:t>
      </w:r>
      <w:r w:rsidR="00BD7DD0" w:rsidRPr="00742A04">
        <w:t>niversidades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2334F" w:rsidRPr="00742A04">
        <w:t>colegios estatales</w:t>
      </w:r>
      <w:r w:rsidR="00545D1B" w:rsidRPr="00742A04">
        <w:t xml:space="preserve"> </w:t>
      </w:r>
      <w:r w:rsidRPr="00742A04">
        <w:t>deben elaborar</w:t>
      </w:r>
      <w:r w:rsidR="00545D1B" w:rsidRPr="00742A04">
        <w:t xml:space="preserve"> </w:t>
      </w:r>
      <w:r w:rsidR="00242371" w:rsidRPr="00742A04">
        <w:t>planes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igua</w:t>
      </w:r>
      <w:r w:rsidR="00A05847" w:rsidRPr="00742A04">
        <w:t>l</w:t>
      </w:r>
      <w:r w:rsidR="00A05847" w:rsidRPr="00742A04">
        <w:t>dad de género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Pr="00742A04">
        <w:t>metas</w:t>
      </w:r>
      <w:r w:rsidR="00545D1B" w:rsidRPr="00742A04">
        <w:t xml:space="preserve"> </w:t>
      </w:r>
      <w:r w:rsidRPr="00742A04">
        <w:t xml:space="preserve">en materia de </w:t>
      </w:r>
      <w:r w:rsidR="00537384" w:rsidRPr="00742A04">
        <w:t>distribución de género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Pr="00742A04">
        <w:t>para a</w:t>
      </w:r>
      <w:r w:rsidRPr="00742A04">
        <w:t>l</w:t>
      </w:r>
      <w:r w:rsidRPr="00742A04">
        <w:t>canzar esas</w:t>
      </w:r>
      <w:r w:rsidR="00545D1B" w:rsidRPr="00742A04">
        <w:t xml:space="preserve"> </w:t>
      </w:r>
      <w:r w:rsidRPr="00742A04">
        <w:t>metas</w:t>
      </w:r>
      <w:r w:rsidR="00545D1B" w:rsidRPr="00742A04">
        <w:t xml:space="preserve">. </w:t>
      </w:r>
      <w:r w:rsidRPr="00742A04">
        <w:t>Una</w:t>
      </w:r>
      <w:r w:rsidR="00545D1B" w:rsidRPr="00742A04">
        <w:t xml:space="preserve"> reform</w:t>
      </w:r>
      <w:r w:rsidRPr="00742A04">
        <w:t>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44FDB" w:rsidRPr="00742A04">
        <w:t>la educación superior</w:t>
      </w:r>
      <w:r w:rsidR="00545D1B" w:rsidRPr="00742A04">
        <w:t xml:space="preserve">, </w:t>
      </w:r>
      <w:r w:rsidRPr="00742A04">
        <w:t>conocida como</w:t>
      </w:r>
      <w:r w:rsidR="00545D1B" w:rsidRPr="00742A04">
        <w:t xml:space="preserve"> </w:t>
      </w:r>
      <w:r w:rsidR="00CC072B" w:rsidRPr="00742A04">
        <w:t xml:space="preserve">la </w:t>
      </w:r>
      <w:r w:rsidR="00545D1B" w:rsidRPr="00742A04">
        <w:t>Reform</w:t>
      </w:r>
      <w:r w:rsidRPr="00742A04">
        <w:t>a de la Calidad</w:t>
      </w:r>
      <w:r w:rsidR="00545D1B" w:rsidRPr="00742A04">
        <w:t xml:space="preserve">, </w:t>
      </w:r>
      <w:r w:rsidR="00F43124" w:rsidRPr="00742A04">
        <w:t>ha dado a</w:t>
      </w:r>
      <w:r w:rsidR="00545D1B" w:rsidRPr="00742A04">
        <w:t xml:space="preserve"> </w:t>
      </w:r>
      <w:r w:rsidR="00894371" w:rsidRPr="00742A04">
        <w:t>las principales instituciones educacionales</w:t>
      </w:r>
      <w:r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8E5EBF" w:rsidRPr="00742A04">
        <w:t>responsab</w:t>
      </w:r>
      <w:r w:rsidR="008E5EBF" w:rsidRPr="00742A04">
        <w:t>i</w:t>
      </w:r>
      <w:r w:rsidR="008E5EBF" w:rsidRPr="00742A04">
        <w:t>lidad</w:t>
      </w:r>
      <w:r w:rsidR="00545D1B" w:rsidRPr="00742A04">
        <w:t xml:space="preserve"> </w:t>
      </w:r>
      <w:r w:rsidR="0058094F" w:rsidRPr="00742A04">
        <w:t>en materia de</w:t>
      </w:r>
      <w:r w:rsidRPr="00742A04">
        <w:t xml:space="preserve"> planificación estratégica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F2F8A" w:rsidRPr="00742A04">
        <w:t>resultados</w:t>
      </w:r>
      <w:r w:rsidRPr="00742A04">
        <w:t xml:space="preserve"> y </w:t>
      </w:r>
      <w:r w:rsidR="0058094F" w:rsidRPr="00742A04">
        <w:t>la ha especificado más claramente</w:t>
      </w:r>
      <w:r w:rsidR="00545D1B" w:rsidRPr="00742A04">
        <w:t xml:space="preserve">. </w:t>
      </w:r>
      <w:r w:rsidR="0058094F" w:rsidRPr="00742A04">
        <w:t>De tal modo, son las propias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 </w:t>
      </w:r>
      <w:r w:rsidR="0058094F" w:rsidRPr="00742A04">
        <w:t>quienes</w:t>
      </w:r>
      <w:r w:rsidR="00545D1B" w:rsidRPr="00742A04">
        <w:t xml:space="preserve"> formula</w:t>
      </w:r>
      <w:r w:rsidR="0058094F" w:rsidRPr="00742A04">
        <w:t>n</w:t>
      </w:r>
      <w:r w:rsidR="00545D1B" w:rsidRPr="00742A04">
        <w:t xml:space="preserve"> </w:t>
      </w:r>
      <w:r w:rsidR="00894371" w:rsidRPr="00742A04">
        <w:t>diversas</w:t>
      </w:r>
      <w:r w:rsidR="00545D1B" w:rsidRPr="00742A04">
        <w:t xml:space="preserve"> </w:t>
      </w:r>
      <w:r w:rsidR="00DC0DB8" w:rsidRPr="00742A04">
        <w:t>medidas</w:t>
      </w:r>
      <w:r w:rsidR="0058094F" w:rsidRPr="00742A04">
        <w:t xml:space="preserve"> para lograr la</w:t>
      </w:r>
      <w:r w:rsidR="00545D1B" w:rsidRPr="00742A04">
        <w:t xml:space="preserve"> </w:t>
      </w:r>
      <w:r w:rsidR="0058094F" w:rsidRPr="00742A04">
        <w:t xml:space="preserve">igualdad de género </w:t>
      </w:r>
      <w:r w:rsidR="00356229" w:rsidRPr="00742A04">
        <w:t>sobre la base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="0058094F" w:rsidRPr="00742A04">
        <w:t>s</w:t>
      </w:r>
      <w:r w:rsidR="00545D1B" w:rsidRPr="00742A04">
        <w:t xml:space="preserve"> </w:t>
      </w:r>
      <w:r w:rsidR="0058094F" w:rsidRPr="00742A04">
        <w:t>propias</w:t>
      </w:r>
      <w:r w:rsidR="00545D1B" w:rsidRPr="00742A04">
        <w:t xml:space="preserve"> </w:t>
      </w:r>
      <w:r w:rsidR="0058094F" w:rsidRPr="00742A04">
        <w:t>disciplinas</w:t>
      </w:r>
      <w:r w:rsidR="00545D1B" w:rsidRPr="00742A04">
        <w:t xml:space="preserve">, </w:t>
      </w:r>
      <w:r w:rsidR="009C08FB" w:rsidRPr="00742A04">
        <w:t>necesidades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A25D7" w:rsidRPr="00742A04">
        <w:t>directrices</w:t>
      </w:r>
      <w:r w:rsidR="0058094F" w:rsidRPr="00742A04">
        <w:t xml:space="preserve"> generales</w:t>
      </w:r>
      <w:r w:rsidR="00545D1B" w:rsidRPr="00742A04">
        <w:t>.</w:t>
      </w:r>
      <w:r w:rsidR="001167D2" w:rsidRPr="00742A04">
        <w:t xml:space="preserve"> </w:t>
      </w:r>
      <w:r w:rsidR="0058094F" w:rsidRPr="00742A04">
        <w:t>E</w:t>
      </w:r>
      <w:r w:rsidR="001167D2" w:rsidRPr="00742A04">
        <w:t>l</w:t>
      </w:r>
      <w:r w:rsidR="0058094F" w:rsidRPr="00742A04">
        <w:t xml:space="preserve">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6C0744" w:rsidRPr="00742A04">
        <w:t>e Investigación</w:t>
      </w:r>
      <w:r w:rsidR="00545D1B" w:rsidRPr="00742A04">
        <w:t xml:space="preserve"> </w:t>
      </w:r>
      <w:r w:rsidR="0058094F" w:rsidRPr="00742A04">
        <w:t>s</w:t>
      </w:r>
      <w:r w:rsidR="0058094F" w:rsidRPr="00742A04">
        <w:t>u</w:t>
      </w:r>
      <w:r w:rsidR="0058094F" w:rsidRPr="00742A04">
        <w:t>pervisa los avances mediante los</w:t>
      </w:r>
      <w:r w:rsidR="00C27C42" w:rsidRPr="00742A04">
        <w:t xml:space="preserve"> informe</w:t>
      </w:r>
      <w:r w:rsidR="00545D1B" w:rsidRPr="00742A04">
        <w:t xml:space="preserve">s </w:t>
      </w:r>
      <w:r w:rsidR="0058094F" w:rsidRPr="00742A04">
        <w:t>que presentan las instituciones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</w:t>
      </w:r>
      <w:r w:rsidR="00C27C42" w:rsidRPr="00742A04">
        <w:t>a</w:t>
      </w:r>
      <w:r w:rsidR="00C27C42" w:rsidRPr="00742A04">
        <w:t>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8094F" w:rsidRPr="00742A04">
        <w:t>el presupuesto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094F" w:rsidRPr="00742A04">
        <w:t>en reuniones de gestión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8094F" w:rsidRPr="00742A04">
        <w:t>las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 </w:t>
      </w:r>
      <w:r w:rsidR="0058094F" w:rsidRPr="00742A04">
        <w:t>interesadas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58094F" w:rsidRPr="00742A04">
        <w:t>las cartas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8094F" w:rsidRPr="00742A04">
        <w:t>asignación</w:t>
      </w:r>
      <w:r w:rsidR="00C14BFF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8094F" w:rsidRPr="00742A04">
        <w:t xml:space="preserve">las </w:t>
      </w:r>
      <w:r w:rsidR="00BD7DD0" w:rsidRPr="00742A04">
        <w:t>universidades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32F7B" w:rsidRPr="00742A04">
        <w:t>colegio</w:t>
      </w:r>
      <w:r w:rsidR="00545D1B" w:rsidRPr="00742A04">
        <w:t xml:space="preserve">s, </w:t>
      </w:r>
      <w:r w:rsidR="0058094F" w:rsidRPr="00742A04">
        <w:t xml:space="preserve">la cláusula relativa a los </w:t>
      </w:r>
      <w:r w:rsidR="005C19C7" w:rsidRPr="00742A04">
        <w:t>objeto</w:t>
      </w:r>
      <w:r w:rsidR="00545D1B" w:rsidRPr="00742A04">
        <w:t>s</w:t>
      </w:r>
      <w:r w:rsidR="0058094F" w:rsidRPr="00742A04">
        <w:t xml:space="preserve"> estipula</w:t>
      </w:r>
      <w:r w:rsidR="0081178E" w:rsidRPr="00742A04">
        <w:t xml:space="preserve"> que</w:t>
      </w:r>
      <w:r w:rsidR="00545D1B" w:rsidRPr="00742A04">
        <w:t xml:space="preserve"> </w:t>
      </w:r>
      <w:r w:rsidR="0058094F" w:rsidRPr="00742A04">
        <w:t>dichas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, </w:t>
      </w:r>
      <w:r w:rsidR="0058094F" w:rsidRPr="00742A04">
        <w:t>por conducto de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072AD7" w:rsidRPr="00742A04">
        <w:t>relativa</w:t>
      </w:r>
      <w:r w:rsidR="0058094F" w:rsidRPr="00742A04">
        <w:t>s</w:t>
      </w:r>
      <w:r w:rsidR="00072AD7" w:rsidRPr="00742A04">
        <w:t xml:space="preserve"> a</w:t>
      </w:r>
      <w:r w:rsidR="00545D1B" w:rsidRPr="00742A04">
        <w:t xml:space="preserve"> </w:t>
      </w:r>
      <w:r w:rsidR="0058094F" w:rsidRPr="00742A04">
        <w:t>la a</w:t>
      </w:r>
      <w:r w:rsidR="0058094F" w:rsidRPr="00742A04">
        <w:t>d</w:t>
      </w:r>
      <w:r w:rsidR="0058094F" w:rsidRPr="00742A04">
        <w:t>misión de e</w:t>
      </w:r>
      <w:r w:rsidR="00545D1B" w:rsidRPr="00742A04">
        <w:t>stud</w:t>
      </w:r>
      <w:r w:rsidR="0058094F" w:rsidRPr="00742A04">
        <w:t>ia</w:t>
      </w:r>
      <w:r w:rsidR="00545D1B" w:rsidRPr="00742A04">
        <w:t>nt</w:t>
      </w:r>
      <w:r w:rsidR="0058094F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094F" w:rsidRPr="00742A04">
        <w:t xml:space="preserve">de </w:t>
      </w:r>
      <w:r w:rsidR="00F97F41" w:rsidRPr="00742A04">
        <w:t>su</w:t>
      </w:r>
      <w:r w:rsidR="0058094F" w:rsidRPr="00742A04">
        <w:t>s</w:t>
      </w:r>
      <w:r w:rsidR="00545D1B" w:rsidRPr="00742A04">
        <w:t xml:space="preserve"> </w:t>
      </w:r>
      <w:r w:rsidR="0058094F" w:rsidRPr="00742A04">
        <w:t>políticas de personal</w:t>
      </w:r>
      <w:r w:rsidR="00545D1B" w:rsidRPr="00742A04">
        <w:t xml:space="preserve">, </w:t>
      </w:r>
      <w:r w:rsidR="007D4688" w:rsidRPr="00742A04">
        <w:t>debe</w:t>
      </w:r>
      <w:r w:rsidR="00D35225">
        <w:t>n</w:t>
      </w:r>
      <w:r w:rsidR="00545D1B" w:rsidRPr="00742A04">
        <w:t xml:space="preserve"> </w:t>
      </w:r>
      <w:r w:rsidR="0058094F" w:rsidRPr="00742A04">
        <w:t>tratar de lograr que su vida laboral se</w:t>
      </w:r>
      <w:r w:rsidR="00545D1B" w:rsidRPr="00742A04">
        <w:t xml:space="preserve">a </w:t>
      </w:r>
      <w:r w:rsidR="00982243" w:rsidRPr="00742A04">
        <w:t>menos</w:t>
      </w:r>
      <w:r w:rsidR="00545D1B" w:rsidRPr="00742A04">
        <w:t xml:space="preserve"> </w:t>
      </w:r>
      <w:r w:rsidR="00B306AA" w:rsidRPr="00742A04">
        <w:t>se</w:t>
      </w:r>
      <w:r w:rsidR="0058094F" w:rsidRPr="00742A04">
        <w:t>gregada</w:t>
      </w:r>
      <w:r w:rsidR="00B306AA" w:rsidRPr="00742A04">
        <w:t xml:space="preserve"> por géneros</w:t>
      </w:r>
      <w:r w:rsidR="000A08D8" w:rsidRPr="00742A04">
        <w:t>.</w:t>
      </w:r>
    </w:p>
    <w:p w:rsidR="000A08D8" w:rsidRPr="00742A04" w:rsidRDefault="0058094F" w:rsidP="008F159B">
      <w:pPr>
        <w:pStyle w:val="SingleTxt"/>
        <w:ind w:firstLine="475"/>
      </w:pPr>
      <w:r w:rsidRPr="00742A04">
        <w:t>A fin de</w:t>
      </w:r>
      <w:r w:rsidR="00545D1B" w:rsidRPr="00742A04">
        <w:t xml:space="preserve"> </w:t>
      </w:r>
      <w:r w:rsidRPr="00742A04">
        <w:t>lograr</w:t>
      </w:r>
      <w:r w:rsidR="00545D1B" w:rsidRPr="00742A04">
        <w:t xml:space="preserve"> </w:t>
      </w:r>
      <w:r w:rsidRPr="00742A04">
        <w:t>una distribución más equitativa</w:t>
      </w:r>
      <w:r w:rsidR="00C14BFF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Pr="00742A04">
        <w:t>se ha</w:t>
      </w:r>
      <w:r w:rsidR="00D35225">
        <w:t>n</w:t>
      </w:r>
      <w:r w:rsidRPr="00742A04">
        <w:t xml:space="preserve"> reservado determinados puestos de profesor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2001 </w:t>
      </w:r>
      <w:r w:rsidR="00877AA0" w:rsidRPr="00742A04">
        <w:t>y</w:t>
      </w:r>
      <w:r w:rsidR="00545D1B" w:rsidRPr="00742A04">
        <w:t xml:space="preserve"> 2002, </w:t>
      </w:r>
      <w:r w:rsidRPr="00742A04">
        <w:t>la</w:t>
      </w:r>
      <w:r w:rsidR="00545D1B" w:rsidRPr="00742A04">
        <w:t xml:space="preserve"> </w:t>
      </w:r>
      <w:r w:rsidR="006B65CD" w:rsidRPr="00742A04">
        <w:t>fina</w:t>
      </w:r>
      <w:r w:rsidR="006B65CD" w:rsidRPr="00742A04">
        <w:t>n</w:t>
      </w:r>
      <w:r w:rsidR="006B65CD" w:rsidRPr="00742A04">
        <w:t>ciación</w:t>
      </w:r>
      <w:r w:rsidRPr="00742A04">
        <w:t xml:space="preserve"> presupuestaria</w:t>
      </w:r>
      <w:r w:rsidR="00545D1B" w:rsidRPr="00742A04">
        <w:t xml:space="preserve"> </w:t>
      </w:r>
      <w:r w:rsidR="00D35225">
        <w:t>de</w:t>
      </w:r>
      <w:r w:rsidR="00545D1B" w:rsidRPr="00742A04">
        <w:t xml:space="preserve"> 30 </w:t>
      </w:r>
      <w:r w:rsidRPr="00742A04">
        <w:t>nuevos</w:t>
      </w:r>
      <w:r w:rsidR="00545D1B" w:rsidRPr="00742A04">
        <w:t xml:space="preserve"> </w:t>
      </w:r>
      <w:r w:rsidRPr="00742A04">
        <w:t>puestos de profesor</w:t>
      </w:r>
      <w:r w:rsidR="00545D1B" w:rsidRPr="00742A04">
        <w:t xml:space="preserve"> </w:t>
      </w:r>
      <w:r w:rsidRPr="00742A04">
        <w:t>estuvo reservada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8F7F9D" w:rsidRPr="00742A04">
        <w:t>una sentencia</w:t>
      </w:r>
      <w:r w:rsidR="00545D1B" w:rsidRPr="00742A04">
        <w:t xml:space="preserve"> </w:t>
      </w:r>
      <w:r w:rsidRPr="00742A04">
        <w:t>dictada el</w:t>
      </w:r>
      <w:r w:rsidR="00545D1B" w:rsidRPr="00742A04">
        <w:t xml:space="preserve"> 24 </w:t>
      </w:r>
      <w:r w:rsidR="004A0730" w:rsidRPr="00742A04">
        <w:t>enero de</w:t>
      </w:r>
      <w:r w:rsidR="00545D1B" w:rsidRPr="00742A04">
        <w:t xml:space="preserve"> 2003, </w:t>
      </w:r>
      <w:r w:rsidR="00040B78" w:rsidRPr="00742A04">
        <w:t xml:space="preserve">el Tribunal </w:t>
      </w:r>
      <w:r w:rsidR="00F43124" w:rsidRPr="00742A04">
        <w:t xml:space="preserve">de la </w:t>
      </w:r>
      <w:r w:rsidR="005E603B" w:rsidRPr="00742A04">
        <w:t>AELC</w:t>
      </w:r>
      <w:r w:rsidR="00545D1B" w:rsidRPr="00742A04">
        <w:t xml:space="preserve"> </w:t>
      </w:r>
      <w:r w:rsidRPr="00742A04">
        <w:t>dete</w:t>
      </w:r>
      <w:r w:rsidRPr="00742A04">
        <w:t>r</w:t>
      </w:r>
      <w:r w:rsidRPr="00742A04">
        <w:t xml:space="preserve">minó que esa disposición constituía una </w:t>
      </w:r>
      <w:r w:rsidR="00545D1B" w:rsidRPr="00742A04">
        <w:t>contraven</w:t>
      </w:r>
      <w:r w:rsidR="00C14BFF" w:rsidRPr="00742A04">
        <w:t xml:space="preserve">ción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="001902F8" w:rsidRPr="00742A04">
        <w:t>Acuerdo sobre el Espacio Económico Europeo</w:t>
      </w:r>
      <w:r w:rsidR="00545D1B" w:rsidRPr="00742A04">
        <w:t>.</w:t>
      </w:r>
      <w:r w:rsidR="005E08DF" w:rsidRPr="00742A04">
        <w:t xml:space="preserve"> </w:t>
      </w:r>
      <w:r w:rsidRPr="00742A04">
        <w:t xml:space="preserve">Por consiguiente, </w:t>
      </w:r>
      <w:r w:rsidR="005E08DF" w:rsidRPr="00742A04">
        <w:t xml:space="preserve">la </w:t>
      </w:r>
      <w:r w:rsidR="004B0EC3" w:rsidRPr="00742A04">
        <w:t>prá</w:t>
      </w:r>
      <w:r w:rsidR="004B0EC3" w:rsidRPr="00742A04">
        <w:t>c</w:t>
      </w:r>
      <w:r w:rsidR="004B0EC3" w:rsidRPr="00742A04">
        <w:t>tica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reserva</w:t>
      </w:r>
      <w:r w:rsidR="00545D1B" w:rsidRPr="00742A04">
        <w:t xml:space="preserve"> ha ce</w:t>
      </w:r>
      <w:r w:rsidRPr="00742A04">
        <w:t>sa</w:t>
      </w:r>
      <w:r w:rsidR="00545D1B" w:rsidRPr="00742A04">
        <w:t>d</w:t>
      </w:r>
      <w:r w:rsidRPr="00742A04">
        <w:t>o</w:t>
      </w:r>
      <w:r w:rsidR="000A08D8" w:rsidRPr="00742A04">
        <w:t>.</w:t>
      </w:r>
    </w:p>
    <w:p w:rsidR="000A08D8" w:rsidRPr="00742A04" w:rsidRDefault="004D2A67" w:rsidP="008F159B">
      <w:pPr>
        <w:pStyle w:val="SingleTxt"/>
        <w:ind w:firstLine="475"/>
      </w:pPr>
      <w:r w:rsidRPr="00742A04">
        <w:t>A fin de</w:t>
      </w:r>
      <w:r w:rsidR="00B31D97" w:rsidRPr="00742A04">
        <w:t xml:space="preserve"> mejorar</w:t>
      </w:r>
      <w:r w:rsidR="00545D1B" w:rsidRPr="00742A04">
        <w:t xml:space="preserve"> </w:t>
      </w:r>
      <w:r w:rsidRPr="00742A04">
        <w:t xml:space="preserve">la </w:t>
      </w:r>
      <w:r w:rsidR="002E5047" w:rsidRPr="00742A04">
        <w:t>contratación</w:t>
      </w:r>
      <w:r w:rsidR="00545D1B" w:rsidRPr="00742A04">
        <w:t xml:space="preserve"> </w:t>
      </w:r>
      <w:r w:rsidRPr="00742A04">
        <w:t>en</w:t>
      </w:r>
      <w:r w:rsidR="00545D1B" w:rsidRPr="00742A04">
        <w:t xml:space="preserve"> </w:t>
      </w:r>
      <w:r w:rsidR="00B81187" w:rsidRPr="00742A04">
        <w:t>los puestos académicos superiores</w:t>
      </w:r>
      <w:r w:rsidR="00545D1B" w:rsidRPr="00742A04">
        <w:t xml:space="preserve">, </w:t>
      </w:r>
      <w:r w:rsidRPr="00742A04">
        <w:t>se han establecido puestos postdoctorales</w:t>
      </w:r>
      <w:r w:rsidR="00545D1B" w:rsidRPr="00742A04">
        <w:t xml:space="preserve"> </w:t>
      </w:r>
      <w:r w:rsidRPr="00742A04">
        <w:t>en las universidades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32F7B" w:rsidRPr="00742A04">
        <w:t>colegio</w:t>
      </w:r>
      <w:r w:rsidR="00545D1B" w:rsidRPr="00742A04">
        <w:t xml:space="preserve">s. </w:t>
      </w:r>
      <w:r w:rsidRPr="00742A04">
        <w:t>El porcentaje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puestos postdoctorales</w:t>
      </w:r>
      <w:r w:rsidR="00545D1B" w:rsidRPr="00742A04">
        <w:t xml:space="preserve"> </w:t>
      </w:r>
      <w:r w:rsidRPr="00742A04">
        <w:t>se incrementó</w:t>
      </w:r>
      <w:r w:rsidR="00AC1BF5" w:rsidRPr="00742A04">
        <w:t xml:space="preserve"> de</w:t>
      </w:r>
      <w:r w:rsidRPr="00742A04">
        <w:t>l</w:t>
      </w:r>
      <w:r w:rsidR="00545D1B" w:rsidRPr="00742A04">
        <w:t xml:space="preserve"> 34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1994 </w:t>
      </w:r>
      <w:r w:rsidR="0030626A" w:rsidRPr="00742A04">
        <w:t>a</w:t>
      </w:r>
      <w:r w:rsidRPr="00742A04">
        <w:t>l</w:t>
      </w:r>
      <w:r w:rsidR="00545D1B" w:rsidRPr="00742A04">
        <w:t xml:space="preserve"> 45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1996. </w:t>
      </w:r>
      <w:r w:rsidR="004A0730" w:rsidRPr="00742A04">
        <w:t>En</w:t>
      </w:r>
      <w:r w:rsidR="00545D1B" w:rsidRPr="00742A04">
        <w:t xml:space="preserve"> 2003 </w:t>
      </w:r>
      <w:r w:rsidRPr="00742A04">
        <w:t>tuvo un nuevo</w:t>
      </w:r>
      <w:r w:rsidR="00545D1B" w:rsidRPr="00742A04">
        <w:t xml:space="preserve"> </w:t>
      </w:r>
      <w:r w:rsidR="00AC1BF5" w:rsidRPr="00742A04">
        <w:t>incremento</w:t>
      </w:r>
      <w:r w:rsidRPr="00742A04">
        <w:t>, llegando al</w:t>
      </w:r>
      <w:r w:rsidR="00FD7D4E" w:rsidRPr="00742A04">
        <w:t xml:space="preserve"> </w:t>
      </w:r>
      <w:r w:rsidR="00545D1B" w:rsidRPr="00742A04">
        <w:t>49</w:t>
      </w:r>
      <w:r w:rsidR="001167D2" w:rsidRPr="00742A04">
        <w:t>%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2004 </w:t>
      </w:r>
      <w:r w:rsidRPr="00742A04">
        <w:t>descendió hasta el nivel de</w:t>
      </w:r>
      <w:r w:rsidR="00545D1B" w:rsidRPr="00742A04">
        <w:t xml:space="preserve"> 1996</w:t>
      </w:r>
      <w:r w:rsidRPr="00742A04">
        <w:t>,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45</w:t>
      </w:r>
      <w:r w:rsidR="001167D2" w:rsidRPr="00742A04">
        <w:t>%</w:t>
      </w:r>
      <w:r w:rsidR="000A08D8" w:rsidRPr="00742A04">
        <w:t>.</w:t>
      </w:r>
    </w:p>
    <w:p w:rsidR="00545D1B" w:rsidRPr="00742A04" w:rsidRDefault="001902F8" w:rsidP="00D35225">
      <w:pPr>
        <w:pStyle w:val="SingleTxt"/>
        <w:keepNext/>
        <w:rPr>
          <w:b/>
        </w:rPr>
      </w:pPr>
      <w:r w:rsidRPr="00742A04">
        <w:rPr>
          <w:b/>
        </w:rPr>
        <w:t>Investigación</w:t>
      </w:r>
    </w:p>
    <w:p w:rsidR="00545D1B" w:rsidRPr="00742A04" w:rsidRDefault="00C55B39" w:rsidP="008F159B">
      <w:pPr>
        <w:pStyle w:val="SingleTxt"/>
        <w:ind w:firstLine="475"/>
      </w:pPr>
      <w:r w:rsidRPr="00742A04">
        <w:t>En</w:t>
      </w:r>
      <w:r w:rsidR="00BD47D3" w:rsidRPr="00742A04">
        <w:t xml:space="preserve"> Noruega</w:t>
      </w:r>
      <w:r w:rsidR="00545D1B" w:rsidRPr="00742A04">
        <w:t xml:space="preserve"> </w:t>
      </w:r>
      <w:r w:rsidR="00844FDB" w:rsidRPr="00742A04">
        <w:t>la investigación</w:t>
      </w:r>
      <w:r w:rsidR="00545D1B" w:rsidRPr="00742A04">
        <w:t xml:space="preserve"> </w:t>
      </w:r>
      <w:r w:rsidRPr="00742A04">
        <w:t>se enfrenta</w:t>
      </w:r>
      <w:r w:rsidR="00545D1B" w:rsidRPr="00742A04">
        <w:t xml:space="preserve"> </w:t>
      </w:r>
      <w:r w:rsidR="00DA461E" w:rsidRPr="00742A04">
        <w:t>actualmente</w:t>
      </w:r>
      <w:r w:rsidR="00545D1B" w:rsidRPr="00742A04">
        <w:t xml:space="preserve"> </w:t>
      </w:r>
      <w:r w:rsidRPr="00742A04">
        <w:t xml:space="preserve">a </w:t>
      </w:r>
      <w:r w:rsidR="003C5A2B" w:rsidRPr="00742A04">
        <w:t>dos</w:t>
      </w:r>
      <w:r w:rsidR="00545D1B" w:rsidRPr="00742A04">
        <w:t xml:space="preserve"> </w:t>
      </w:r>
      <w:r w:rsidR="00502E16" w:rsidRPr="00742A04">
        <w:t>des</w:t>
      </w:r>
      <w:r w:rsidR="00502E16" w:rsidRPr="00742A04">
        <w:t>a</w:t>
      </w:r>
      <w:r w:rsidR="00502E16" w:rsidRPr="00742A04">
        <w:t>fíos</w:t>
      </w:r>
      <w:r w:rsidR="00545D1B" w:rsidRPr="00742A04">
        <w:t xml:space="preserve"> </w:t>
      </w:r>
      <w:r w:rsidRPr="00742A04">
        <w:t>principales e</w:t>
      </w:r>
      <w:r w:rsidR="004B0EC3" w:rsidRPr="00742A04">
        <w:t>n lo tocante a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igualdad de género</w:t>
      </w:r>
      <w:r w:rsidR="00545D1B" w:rsidRPr="00742A04">
        <w:t xml:space="preserve">. </w:t>
      </w:r>
      <w:r w:rsidR="007C3856" w:rsidRPr="00742A04">
        <w:t>En primer lugar</w:t>
      </w:r>
      <w:r w:rsidR="00545D1B" w:rsidRPr="00742A04">
        <w:t xml:space="preserve">, </w:t>
      </w:r>
      <w:r w:rsidR="00D35225">
        <w:t xml:space="preserve">las </w:t>
      </w:r>
      <w:r w:rsidR="00072AD7" w:rsidRPr="00742A04">
        <w:t>mujeres</w:t>
      </w:r>
      <w:r w:rsidR="00545D1B" w:rsidRPr="00742A04">
        <w:t xml:space="preserve"> </w:t>
      </w:r>
      <w:r w:rsidRPr="00742A04">
        <w:t>está</w:t>
      </w:r>
      <w:r w:rsidR="006137EC" w:rsidRPr="00742A04">
        <w:t>n</w:t>
      </w:r>
      <w:r w:rsidR="00545D1B" w:rsidRPr="00742A04">
        <w:t xml:space="preserve"> </w:t>
      </w:r>
      <w:r w:rsidR="00C923A8" w:rsidRPr="00742A04">
        <w:t>menos r</w:t>
      </w:r>
      <w:r w:rsidR="00C923A8" w:rsidRPr="00742A04">
        <w:t>e</w:t>
      </w:r>
      <w:r w:rsidR="00C923A8" w:rsidRPr="00742A04">
        <w:t>presentad</w:t>
      </w:r>
      <w:r w:rsidRPr="00742A04">
        <w:t>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35225">
        <w:t xml:space="preserve">los </w:t>
      </w:r>
      <w:r w:rsidR="00154695" w:rsidRPr="00742A04">
        <w:t>puestos académicos</w:t>
      </w:r>
      <w:r w:rsidR="00545D1B" w:rsidRPr="00742A04">
        <w:t xml:space="preserve"> </w:t>
      </w:r>
      <w:r w:rsidR="00D35225">
        <w:t>d</w:t>
      </w:r>
      <w:r w:rsidRPr="00742A04">
        <w:t>e todos los</w:t>
      </w:r>
      <w:r w:rsidR="00545D1B" w:rsidRPr="00742A04">
        <w:t xml:space="preserve"> </w:t>
      </w:r>
      <w:r w:rsidR="008622FD" w:rsidRPr="00742A04">
        <w:t>niveles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esa</w:t>
      </w:r>
      <w:r w:rsidR="00545D1B" w:rsidRPr="00742A04">
        <w:t xml:space="preserve"> </w:t>
      </w:r>
      <w:r w:rsidRPr="00742A04">
        <w:t>subrepresentación</w:t>
      </w:r>
      <w:r w:rsidR="00C14BFF" w:rsidRPr="00742A04">
        <w:t xml:space="preserve"> </w:t>
      </w:r>
      <w:r w:rsidRPr="00742A04">
        <w:t xml:space="preserve">aumenta a medida que se va </w:t>
      </w:r>
      <w:r w:rsidR="00894371" w:rsidRPr="00742A04">
        <w:t>subiendo</w:t>
      </w:r>
      <w:r w:rsidRPr="00742A04">
        <w:t xml:space="preserve"> en</w:t>
      </w:r>
      <w:r w:rsidR="00545D1B" w:rsidRPr="00742A04">
        <w:t xml:space="preserve"> </w:t>
      </w:r>
      <w:r w:rsidRPr="00742A04">
        <w:t>la jerarquía</w:t>
      </w:r>
      <w:r w:rsidR="00545D1B" w:rsidRPr="00742A04">
        <w:t xml:space="preserve">. </w:t>
      </w:r>
      <w:r w:rsidRPr="00742A04">
        <w:t>El segundo desafío radica</w:t>
      </w:r>
      <w:r w:rsidR="00545D1B" w:rsidRPr="00742A04">
        <w:t xml:space="preserve"> </w:t>
      </w:r>
      <w:r w:rsidRPr="00742A04">
        <w:t xml:space="preserve">en </w:t>
      </w:r>
      <w:r w:rsidR="00537384" w:rsidRPr="00742A04">
        <w:t>la distribución de género</w:t>
      </w:r>
      <w:r w:rsidR="00C14BFF" w:rsidRPr="00742A04">
        <w:t xml:space="preserve"> </w:t>
      </w:r>
      <w:r w:rsidRPr="00742A04">
        <w:t xml:space="preserve">sesgada </w:t>
      </w:r>
      <w:r w:rsidR="00C14BFF" w:rsidRPr="00742A04">
        <w:t>en</w:t>
      </w:r>
      <w:r w:rsidR="00545D1B" w:rsidRPr="00742A04">
        <w:t xml:space="preserve"> </w:t>
      </w:r>
      <w:r w:rsidRPr="00742A04">
        <w:t>determinadas</w:t>
      </w:r>
      <w:r w:rsidR="00545D1B" w:rsidRPr="00742A04">
        <w:t xml:space="preserve"> </w:t>
      </w:r>
      <w:r w:rsidRPr="00742A04">
        <w:t>disciplinas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sectores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2003 </w:t>
      </w:r>
      <w:r w:rsidR="00A836A1" w:rsidRPr="00742A04">
        <w:t>sólo</w:t>
      </w:r>
      <w:r w:rsidR="00545D1B" w:rsidRPr="00742A04">
        <w:t xml:space="preserve"> </w:t>
      </w:r>
      <w:r w:rsidR="000402C6" w:rsidRPr="00742A04">
        <w:t>era de sexo femenino el 6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0402C6" w:rsidRPr="00742A04">
        <w:t>l</w:t>
      </w:r>
      <w:r w:rsidR="00545D1B" w:rsidRPr="00742A04">
        <w:t xml:space="preserve"> </w:t>
      </w:r>
      <w:r w:rsidR="000402C6" w:rsidRPr="00742A04">
        <w:t>personal académico permanente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D7DD0" w:rsidRPr="00742A04">
        <w:t>las discipl</w:t>
      </w:r>
      <w:r w:rsidR="00BD7DD0" w:rsidRPr="00742A04">
        <w:t>i</w:t>
      </w:r>
      <w:r w:rsidR="00BD7DD0" w:rsidRPr="00742A04">
        <w:t>nas tecnológicas</w:t>
      </w:r>
      <w:r w:rsidR="00545D1B" w:rsidRPr="00742A04">
        <w:t xml:space="preserve">. </w:t>
      </w:r>
      <w:r w:rsidR="004B580D" w:rsidRPr="00742A04">
        <w:t>En</w:t>
      </w:r>
      <w:r w:rsidR="00545D1B" w:rsidRPr="00742A04">
        <w:t xml:space="preserve"> </w:t>
      </w:r>
      <w:r w:rsidR="00DD710E" w:rsidRPr="00742A04">
        <w:t>comparación</w:t>
      </w:r>
      <w:r w:rsidR="00545D1B" w:rsidRPr="00742A04">
        <w:t xml:space="preserve">, </w:t>
      </w:r>
      <w:r w:rsidR="004B580D" w:rsidRPr="00742A04">
        <w:t xml:space="preserve">en las disciplinas artísticas el </w:t>
      </w:r>
      <w:r w:rsidR="00545D1B" w:rsidRPr="00742A04">
        <w:t>36</w:t>
      </w:r>
      <w:r w:rsidR="001167D2" w:rsidRPr="00742A04">
        <w:t>%</w:t>
      </w:r>
      <w:r w:rsidR="00545D1B" w:rsidRPr="00742A04">
        <w:t xml:space="preserve"> </w:t>
      </w:r>
      <w:r w:rsidR="004B580D" w:rsidRPr="00742A04">
        <w:t>de los puestos del</w:t>
      </w:r>
      <w:r w:rsidR="00545D1B" w:rsidRPr="00742A04">
        <w:t xml:space="preserve"> </w:t>
      </w:r>
      <w:r w:rsidR="000402C6" w:rsidRPr="00742A04">
        <w:t>personal permanente</w:t>
      </w:r>
      <w:r w:rsidR="004B580D" w:rsidRPr="00742A04">
        <w:t xml:space="preserve"> estaban ocupados por mujeres</w:t>
      </w:r>
      <w:r w:rsidR="00545D1B" w:rsidRPr="00742A04">
        <w:t xml:space="preserve">. </w:t>
      </w:r>
      <w:r w:rsidR="005206AC" w:rsidRPr="00742A04">
        <w:t>La distribución</w:t>
      </w:r>
      <w:r w:rsidR="00C14BFF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4B580D" w:rsidRPr="00742A04">
        <w:t>algo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581775" w:rsidRPr="00742A04">
        <w:t>igual</w:t>
      </w:r>
      <w:r w:rsidR="004B580D" w:rsidRPr="00742A04">
        <w:t>itaria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B580D" w:rsidRPr="00742A04">
        <w:t>los puestos de contratación</w:t>
      </w:r>
      <w:r w:rsidR="00545D1B" w:rsidRPr="00742A04">
        <w:t xml:space="preserve">. </w:t>
      </w:r>
      <w:r w:rsidR="004B580D" w:rsidRPr="00742A04">
        <w:t>L</w:t>
      </w:r>
      <w:r w:rsidR="00537384" w:rsidRPr="00742A04">
        <w:t>a distribución de género</w:t>
      </w:r>
      <w:r w:rsidR="00C14BFF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="00E8085E" w:rsidRPr="00742A04">
        <w:t>los inve</w:t>
      </w:r>
      <w:r w:rsidR="00E8085E" w:rsidRPr="00742A04">
        <w:t>s</w:t>
      </w:r>
      <w:r w:rsidR="00E8085E" w:rsidRPr="00742A04">
        <w:t>tigadores</w:t>
      </w:r>
      <w:r w:rsidR="00545D1B" w:rsidRPr="00742A04">
        <w:t xml:space="preserve"> </w:t>
      </w:r>
      <w:r w:rsidR="004B580D" w:rsidRPr="00742A04">
        <w:t>del sector privado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</w:t>
      </w:r>
      <w:r w:rsidR="00581775" w:rsidRPr="00742A04">
        <w:t>igual</w:t>
      </w:r>
      <w:r w:rsidR="004B580D" w:rsidRPr="00742A04">
        <w:t>itaria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B580D" w:rsidRPr="00742A04">
        <w:t>otros sectores</w:t>
      </w:r>
      <w:r w:rsidR="00545D1B" w:rsidRPr="00742A04">
        <w:t>.</w:t>
      </w:r>
    </w:p>
    <w:p w:rsidR="00545D1B" w:rsidRPr="00742A04" w:rsidRDefault="00C33C47" w:rsidP="008F159B">
      <w:pPr>
        <w:pStyle w:val="SingleTxt"/>
        <w:ind w:firstLine="475"/>
      </w:pPr>
      <w:r w:rsidRPr="00742A04">
        <w:t>El equilibrio</w:t>
      </w:r>
      <w:r w:rsidR="00831293" w:rsidRPr="00742A04">
        <w:t xml:space="preserve"> de género</w:t>
      </w:r>
      <w:r w:rsidR="004B580D" w:rsidRPr="00742A04">
        <w:t xml:space="preserve"> varía </w:t>
      </w:r>
      <w:r w:rsidR="00673B5D" w:rsidRPr="00742A04">
        <w:t xml:space="preserve">no </w:t>
      </w:r>
      <w:r w:rsidR="00A836A1" w:rsidRPr="00742A04">
        <w:t>sólo</w:t>
      </w:r>
      <w:r w:rsidR="00545D1B" w:rsidRPr="00742A04">
        <w:t xml:space="preserve"> </w:t>
      </w:r>
      <w:r w:rsidR="004B580D" w:rsidRPr="00742A04">
        <w:t>según</w:t>
      </w:r>
      <w:r w:rsidR="00545D1B" w:rsidRPr="00742A04">
        <w:t xml:space="preserve"> </w:t>
      </w:r>
      <w:r w:rsidR="004B580D" w:rsidRPr="00742A04">
        <w:t xml:space="preserve">los </w:t>
      </w:r>
      <w:r w:rsidR="00242371" w:rsidRPr="00742A04">
        <w:t>diferente</w:t>
      </w:r>
      <w:r w:rsidR="004B580D" w:rsidRPr="00742A04">
        <w:t>s</w:t>
      </w:r>
      <w:r w:rsidR="00545D1B" w:rsidRPr="00742A04">
        <w:t xml:space="preserve"> </w:t>
      </w:r>
      <w:r w:rsidR="00C55B39" w:rsidRPr="00742A04">
        <w:t>sectores</w:t>
      </w:r>
      <w:r w:rsidR="004B580D" w:rsidRPr="00742A04">
        <w:t>,</w:t>
      </w:r>
      <w:r w:rsidR="00545D1B" w:rsidRPr="00742A04">
        <w:t xml:space="preserve"> </w:t>
      </w:r>
      <w:r w:rsidR="004B580D" w:rsidRPr="00742A04">
        <w:t>sin</w:t>
      </w:r>
      <w:r w:rsidR="00E77E20" w:rsidRPr="00742A04">
        <w:t>o</w:t>
      </w:r>
      <w:r w:rsidR="00545D1B" w:rsidRPr="00742A04">
        <w:t xml:space="preserve"> </w:t>
      </w:r>
      <w:r w:rsidR="0030626A" w:rsidRPr="00742A04">
        <w:t>ta</w:t>
      </w:r>
      <w:r w:rsidR="0030626A" w:rsidRPr="00742A04">
        <w:t>m</w:t>
      </w:r>
      <w:r w:rsidR="0030626A" w:rsidRPr="00742A04">
        <w:t>bién</w:t>
      </w:r>
      <w:r w:rsidR="00545D1B" w:rsidRPr="00742A04">
        <w:t xml:space="preserve"> </w:t>
      </w:r>
      <w:r w:rsidR="004B580D" w:rsidRPr="00742A04">
        <w:t>según las distintas</w:t>
      </w:r>
      <w:r w:rsidR="00545D1B" w:rsidRPr="00742A04">
        <w:t xml:space="preserve"> </w:t>
      </w:r>
      <w:r w:rsidR="00C55B39" w:rsidRPr="00742A04">
        <w:t>disciplinas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2F3238" w:rsidRPr="00742A04">
        <w:t>la primavera de</w:t>
      </w:r>
      <w:r w:rsidR="00545D1B" w:rsidRPr="00742A04">
        <w:t xml:space="preserve"> 2005,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4B580D" w:rsidRPr="00742A04">
        <w:t>el d</w:t>
      </w:r>
      <w:r w:rsidR="004B580D" w:rsidRPr="00742A04">
        <w:t>e</w:t>
      </w:r>
      <w:r w:rsidR="004B580D" w:rsidRPr="00742A04">
        <w:t>bate</w:t>
      </w:r>
      <w:r w:rsidR="00545D1B" w:rsidRPr="00742A04">
        <w:t xml:space="preserve"> </w:t>
      </w:r>
      <w:r w:rsidR="004B580D" w:rsidRPr="00742A04">
        <w:t>sobre</w:t>
      </w:r>
      <w:r w:rsidR="00545D1B" w:rsidRPr="00742A04">
        <w:t xml:space="preserve"> </w:t>
      </w:r>
      <w:r w:rsidR="004B580D" w:rsidRPr="00742A04">
        <w:t xml:space="preserve">el </w:t>
      </w:r>
      <w:r w:rsidR="00B31D97" w:rsidRPr="00742A04">
        <w:t>Informe</w:t>
      </w:r>
      <w:r w:rsidR="00545D1B" w:rsidRPr="00742A04">
        <w:t xml:space="preserve"> </w:t>
      </w:r>
      <w:r w:rsidR="004B580D" w:rsidRPr="00742A04">
        <w:t xml:space="preserve">de investigación </w:t>
      </w:r>
      <w:r w:rsidR="00545D1B" w:rsidRPr="00742A04">
        <w:rPr>
          <w:i/>
        </w:rPr>
        <w:t>Vilje til forskning</w:t>
      </w:r>
      <w:r w:rsidR="00545D1B" w:rsidRPr="00742A04">
        <w:t xml:space="preserve"> (</w:t>
      </w:r>
      <w:r w:rsidR="000402C6" w:rsidRPr="00742A04">
        <w:t>“</w:t>
      </w:r>
      <w:r w:rsidR="001902F8" w:rsidRPr="00742A04">
        <w:t>La voluntad de invest</w:t>
      </w:r>
      <w:r w:rsidR="001902F8" w:rsidRPr="00742A04">
        <w:t>i</w:t>
      </w:r>
      <w:r w:rsidR="001902F8" w:rsidRPr="00742A04">
        <w:t>gar</w:t>
      </w:r>
      <w:r w:rsidR="000402C6" w:rsidRPr="00742A04">
        <w:t>”</w:t>
      </w:r>
      <w:r w:rsidR="00545D1B" w:rsidRPr="00742A04">
        <w:t xml:space="preserve">), </w:t>
      </w:r>
      <w:r w:rsidR="004B580D" w:rsidRPr="00742A04">
        <w:t>el</w:t>
      </w:r>
      <w:r w:rsidR="00545D1B" w:rsidRPr="00742A04">
        <w:t xml:space="preserve"> Storting </w:t>
      </w:r>
      <w:r w:rsidR="004D313C" w:rsidRPr="00742A04">
        <w:t>a</w:t>
      </w:r>
      <w:r w:rsidR="004B580D" w:rsidRPr="00742A04">
        <w:t>probó por unanimidad</w:t>
      </w:r>
      <w:r w:rsidR="00545D1B" w:rsidRPr="00742A04">
        <w:t xml:space="preserve"> </w:t>
      </w:r>
      <w:r w:rsidR="004B580D" w:rsidRPr="00742A04">
        <w:t>un</w:t>
      </w:r>
      <w:r w:rsidR="00545D1B" w:rsidRPr="00742A04">
        <w:t>a resolu</w:t>
      </w:r>
      <w:r w:rsidR="00C14BFF" w:rsidRPr="00742A04">
        <w:t xml:space="preserve">ción </w:t>
      </w:r>
      <w:r w:rsidR="004B580D" w:rsidRPr="00742A04">
        <w:t xml:space="preserve">encaminada a </w:t>
      </w:r>
      <w:r w:rsidR="00CF2F77" w:rsidRPr="00742A04">
        <w:t>asegurar</w:t>
      </w:r>
      <w:r w:rsidR="00545D1B" w:rsidRPr="00742A04">
        <w:t xml:space="preserve"> </w:t>
      </w:r>
      <w:r w:rsidR="004B580D" w:rsidRPr="00742A04">
        <w:t xml:space="preserve">condiciones </w:t>
      </w:r>
      <w:r w:rsidR="007C3856" w:rsidRPr="00742A04">
        <w:t>especialmente</w:t>
      </w:r>
      <w:r w:rsidR="00545D1B" w:rsidRPr="00742A04">
        <w:t xml:space="preserve"> </w:t>
      </w:r>
      <w:r w:rsidR="005C19C7" w:rsidRPr="00742A04">
        <w:t>buenas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E1CFC" w:rsidRPr="00742A04">
        <w:t>la</w:t>
      </w:r>
      <w:r w:rsidR="004B580D" w:rsidRPr="00742A04">
        <w:t>s</w:t>
      </w:r>
      <w:r w:rsidR="00CE1CFC" w:rsidRPr="00742A04">
        <w:t xml:space="preserve"> esfera</w:t>
      </w:r>
      <w:r w:rsidR="00545D1B" w:rsidRPr="00742A04">
        <w:t xml:space="preserve">s </w:t>
      </w:r>
      <w:r w:rsidR="004A0730" w:rsidRPr="00742A04">
        <w:t>de</w:t>
      </w:r>
      <w:r w:rsidR="00545D1B" w:rsidRPr="00742A04">
        <w:t xml:space="preserve"> </w:t>
      </w:r>
      <w:r w:rsidR="00D62786" w:rsidRPr="00742A04">
        <w:t>la energía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B580D" w:rsidRPr="00742A04">
        <w:t>el medio ambiente</w:t>
      </w:r>
      <w:r w:rsidR="00545D1B" w:rsidRPr="00742A04">
        <w:t xml:space="preserve">, </w:t>
      </w:r>
      <w:r w:rsidR="00844FDB" w:rsidRPr="00742A04">
        <w:t>la investigación</w:t>
      </w:r>
      <w:r w:rsidR="004B580D" w:rsidRPr="00742A04">
        <w:t xml:space="preserve"> marítima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B580D" w:rsidRPr="00742A04">
        <w:t>la alimentación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B580D" w:rsidRPr="00742A04">
        <w:t xml:space="preserve">la </w:t>
      </w:r>
      <w:r w:rsidR="00B83FEB" w:rsidRPr="00742A04">
        <w:t>salud</w:t>
      </w:r>
      <w:r w:rsidR="00545D1B" w:rsidRPr="00742A04">
        <w:t xml:space="preserve">. </w:t>
      </w:r>
      <w:r w:rsidR="004B580D" w:rsidRPr="00742A04">
        <w:t>Esas esferas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BC2FBE" w:rsidRPr="00742A04">
        <w:t>sumamente</w:t>
      </w:r>
      <w:r w:rsidR="00545D1B" w:rsidRPr="00742A04">
        <w:t xml:space="preserve"> </w:t>
      </w:r>
      <w:r w:rsidR="00AE7B93" w:rsidRPr="00742A04">
        <w:t>importante</w:t>
      </w:r>
      <w:r w:rsidR="004B580D" w:rsidRPr="00742A04">
        <w:t>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4B580D" w:rsidRPr="00742A04">
        <w:t>el comercio y la industria de Noruega</w:t>
      </w:r>
      <w:r w:rsidR="00545D1B" w:rsidRPr="00742A04">
        <w:t xml:space="preserve">. </w:t>
      </w:r>
      <w:r w:rsidR="004B580D" w:rsidRPr="00742A04">
        <w:t>E</w:t>
      </w:r>
      <w:r w:rsidR="00B306AA" w:rsidRPr="00742A04">
        <w:t>l objetivo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4B580D" w:rsidRPr="00742A04">
        <w:t>lograr que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A8633B" w:rsidRPr="00742A04">
        <w:t>desarrolle</w:t>
      </w:r>
      <w:r w:rsidR="00545D1B" w:rsidRPr="00742A04">
        <w:t xml:space="preserve"> </w:t>
      </w:r>
      <w:r w:rsidR="00242371" w:rsidRPr="00742A04">
        <w:t>capacidades especializadas</w:t>
      </w:r>
      <w:r w:rsidR="00A8633B" w:rsidRPr="00742A04">
        <w:t xml:space="preserve"> particulares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8633B" w:rsidRPr="00742A04">
        <w:t>esas</w:t>
      </w:r>
      <w:r w:rsidR="00545D1B" w:rsidRPr="00742A04">
        <w:t xml:space="preserve"> </w:t>
      </w:r>
      <w:r w:rsidR="00A8633B" w:rsidRPr="00742A04">
        <w:t>esferas</w:t>
      </w:r>
      <w:r w:rsidR="00545D1B" w:rsidRPr="00742A04">
        <w:t xml:space="preserve">. </w:t>
      </w:r>
      <w:r w:rsidR="00A8633B" w:rsidRPr="00742A04">
        <w:t>El Sto</w:t>
      </w:r>
      <w:r w:rsidR="00A8633B" w:rsidRPr="00742A04">
        <w:t>r</w:t>
      </w:r>
      <w:r w:rsidR="00A8633B" w:rsidRPr="00742A04">
        <w:t>ting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4D313C" w:rsidRPr="00742A04">
        <w:t>adoptó</w:t>
      </w:r>
      <w:r w:rsidR="00545D1B" w:rsidRPr="00742A04">
        <w:t xml:space="preserve"> </w:t>
      </w:r>
      <w:r w:rsidR="00256979">
        <w:t>un</w:t>
      </w:r>
      <w:r w:rsidR="00545D1B" w:rsidRPr="00742A04">
        <w:t>a resolu</w:t>
      </w:r>
      <w:r w:rsidR="00C14BFF" w:rsidRPr="00742A04">
        <w:t>ción</w:t>
      </w:r>
      <w:r w:rsidR="001E30D6" w:rsidRPr="00742A04">
        <w:t xml:space="preserve"> </w:t>
      </w:r>
      <w:r w:rsidR="00A8633B" w:rsidRPr="00742A04">
        <w:t>encaminada a</w:t>
      </w:r>
      <w:r w:rsidR="001E30D6" w:rsidRPr="00742A04">
        <w:t xml:space="preserve"> </w:t>
      </w:r>
      <w:r w:rsidR="005E6919" w:rsidRPr="00742A04">
        <w:t>centra</w:t>
      </w:r>
      <w:r w:rsidR="00A8633B" w:rsidRPr="00742A04">
        <w:t>r la aten</w:t>
      </w:r>
      <w:r w:rsidR="005E6919" w:rsidRPr="00742A04">
        <w:t>ción en</w:t>
      </w:r>
      <w:r w:rsidR="00545D1B" w:rsidRPr="00742A04">
        <w:t xml:space="preserve"> </w:t>
      </w:r>
      <w:r w:rsidR="00A8633B" w:rsidRPr="00742A04">
        <w:t>las esferas tecnológicas</w:t>
      </w:r>
      <w:r w:rsidR="00545D1B" w:rsidRPr="00742A04">
        <w:t xml:space="preserve"> </w:t>
      </w:r>
      <w:r w:rsidR="00A8633B" w:rsidRPr="00742A04">
        <w:t>de las TIC (tecnologías de la información y las comunicaciones)</w:t>
      </w:r>
      <w:r w:rsidR="00894371" w:rsidRPr="00742A04">
        <w:t>, los</w:t>
      </w:r>
      <w:r w:rsidR="00A8633B" w:rsidRPr="00742A04">
        <w:t xml:space="preserve"> </w:t>
      </w:r>
      <w:r w:rsidR="007C65B3" w:rsidRPr="00742A04">
        <w:t>nue</w:t>
      </w:r>
      <w:r w:rsidR="00A8633B" w:rsidRPr="00742A04">
        <w:t>vos</w:t>
      </w:r>
      <w:r w:rsidR="00545D1B" w:rsidRPr="00742A04">
        <w:t xml:space="preserve"> material</w:t>
      </w:r>
      <w:r w:rsidR="00A8633B" w:rsidRPr="00742A04">
        <w:t>e</w:t>
      </w:r>
      <w:r w:rsidR="00545D1B" w:rsidRPr="00742A04">
        <w:t xml:space="preserve">s, </w:t>
      </w:r>
      <w:r w:rsidR="00A8633B" w:rsidRPr="00742A04">
        <w:t xml:space="preserve">la </w:t>
      </w:r>
      <w:r w:rsidR="00545D1B" w:rsidRPr="00742A04">
        <w:t>nano</w:t>
      </w:r>
      <w:r w:rsidR="000A08D8" w:rsidRPr="00742A04">
        <w:t>tecnología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8633B" w:rsidRPr="00742A04">
        <w:t xml:space="preserve">la </w:t>
      </w:r>
      <w:r w:rsidR="00545D1B" w:rsidRPr="00742A04">
        <w:t>bio</w:t>
      </w:r>
      <w:r w:rsidR="000A08D8" w:rsidRPr="00742A04">
        <w:t>tecnología</w:t>
      </w:r>
      <w:r w:rsidR="00545D1B" w:rsidRPr="00742A04">
        <w:t xml:space="preserve">. </w:t>
      </w:r>
      <w:r w:rsidR="00CE7870" w:rsidRPr="00742A04">
        <w:t>Muchos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52CFE" w:rsidRPr="00742A04">
        <w:t xml:space="preserve">los </w:t>
      </w:r>
      <w:r w:rsidR="00E8085E" w:rsidRPr="00742A04">
        <w:t>investigad</w:t>
      </w:r>
      <w:r w:rsidR="00E8085E" w:rsidRPr="00742A04">
        <w:t>o</w:t>
      </w:r>
      <w:r w:rsidR="00E8085E" w:rsidRPr="00742A04">
        <w:t>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A8633B" w:rsidRPr="00742A04">
        <w:t>trabajarán par</w:t>
      </w:r>
      <w:r w:rsidR="0030626A" w:rsidRPr="00742A04">
        <w:t>a</w:t>
      </w:r>
      <w:r w:rsidR="00545D1B" w:rsidRPr="00742A04">
        <w:t xml:space="preserve"> </w:t>
      </w:r>
      <w:r w:rsidR="00A8633B" w:rsidRPr="00742A04">
        <w:t>lograr esos objetivos provendrán de los cuerpos docentes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AE4459" w:rsidRPr="00742A04">
        <w:t>matemática</w:t>
      </w:r>
      <w:r w:rsidR="00545D1B" w:rsidRPr="00742A04">
        <w:t xml:space="preserve">, </w:t>
      </w:r>
      <w:r w:rsidR="00AE4459" w:rsidRPr="00742A04">
        <w:t>ciencias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08D8" w:rsidRPr="00742A04">
        <w:t>tecnología</w:t>
      </w:r>
      <w:r w:rsidR="00545D1B" w:rsidRPr="00742A04">
        <w:t xml:space="preserve">. </w:t>
      </w:r>
      <w:r w:rsidR="00A8633B" w:rsidRPr="00742A04">
        <w:t>Como ya se ha señalado</w:t>
      </w:r>
      <w:r w:rsidR="00545D1B" w:rsidRPr="00742A04">
        <w:t xml:space="preserve">, </w:t>
      </w:r>
      <w:r w:rsidR="00E73E8E" w:rsidRPr="00742A04">
        <w:t>la proporción de muj</w:t>
      </w:r>
      <w:r w:rsidR="00E73E8E" w:rsidRPr="00742A04">
        <w:t>e</w:t>
      </w:r>
      <w:r w:rsidR="00E73E8E" w:rsidRPr="00742A04">
        <w:t>res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7C3856" w:rsidRPr="00742A04">
        <w:t>especialmente</w:t>
      </w:r>
      <w:r w:rsidR="00545D1B" w:rsidRPr="00742A04">
        <w:t xml:space="preserve"> </w:t>
      </w:r>
      <w:r w:rsidR="0020526A" w:rsidRPr="00742A04">
        <w:t>baj</w:t>
      </w:r>
      <w:r w:rsidR="00A8633B" w:rsidRPr="00742A04">
        <w:t>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8633B" w:rsidRPr="00742A04">
        <w:t>dichas</w:t>
      </w:r>
      <w:r w:rsidR="00545D1B" w:rsidRPr="00742A04">
        <w:t xml:space="preserve"> </w:t>
      </w:r>
      <w:r w:rsidR="00A8633B" w:rsidRPr="00742A04">
        <w:t>esferas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2003, </w:t>
      </w:r>
      <w:r w:rsidR="00A8633B" w:rsidRPr="00742A04">
        <w:t xml:space="preserve">el </w:t>
      </w:r>
      <w:r w:rsidR="00545D1B" w:rsidRPr="00742A04">
        <w:t>13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8085E" w:rsidRPr="00742A04">
        <w:t>los investigadores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E4459" w:rsidRPr="00742A04">
        <w:t>matemática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E4459" w:rsidRPr="00742A04">
        <w:t>ciencias</w:t>
      </w:r>
      <w:r w:rsidR="00545D1B" w:rsidRPr="00742A04">
        <w:t xml:space="preserve"> </w:t>
      </w:r>
      <w:r w:rsidR="00A8633B" w:rsidRPr="00742A04">
        <w:t>en las</w:t>
      </w:r>
      <w:r w:rsidR="00545D1B" w:rsidRPr="00742A04">
        <w:t xml:space="preserve"> </w:t>
      </w:r>
      <w:r w:rsidR="00BD7DD0" w:rsidRPr="00742A04">
        <w:t>universidades</w:t>
      </w:r>
      <w:r w:rsidR="00545D1B" w:rsidRPr="00742A04">
        <w:t xml:space="preserve"> </w:t>
      </w:r>
      <w:r w:rsidR="00A8633B" w:rsidRPr="00742A04">
        <w:t xml:space="preserve">de Noruega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A8633B" w:rsidRPr="00742A04">
        <w:t>El 6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380AC9" w:rsidRPr="00742A04">
        <w:t>empleados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D7DD0" w:rsidRPr="00742A04">
        <w:t>las disciplinas tecnológicas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4D2A67" w:rsidRPr="00742A04">
        <w:t>El porcentaje de mujeres</w:t>
      </w:r>
      <w:r w:rsidR="00545D1B" w:rsidRPr="00742A04">
        <w:t xml:space="preserve"> </w:t>
      </w:r>
      <w:r w:rsidR="00B81187" w:rsidRPr="00742A04">
        <w:t>profes</w:t>
      </w:r>
      <w:r w:rsidR="00545D1B" w:rsidRPr="00742A04">
        <w:t>or</w:t>
      </w:r>
      <w:r w:rsidR="00A8633B" w:rsidRPr="00742A04">
        <w:t>a</w:t>
      </w:r>
      <w:r w:rsidR="00545D1B" w:rsidRPr="00742A04">
        <w:t xml:space="preserve">s </w:t>
      </w:r>
      <w:r w:rsidR="00C14BFF" w:rsidRPr="00742A04">
        <w:t>en</w:t>
      </w:r>
      <w:r w:rsidR="00545D1B" w:rsidRPr="00742A04">
        <w:t xml:space="preserve"> </w:t>
      </w:r>
      <w:r w:rsidR="00A8633B" w:rsidRPr="00742A04">
        <w:t>esas</w:t>
      </w:r>
      <w:r w:rsidR="00545D1B" w:rsidRPr="00742A04">
        <w:t xml:space="preserve"> </w:t>
      </w:r>
      <w:r w:rsidR="00C55B39" w:rsidRPr="00742A04">
        <w:t>disciplinas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8633B" w:rsidRPr="00742A04">
        <w:t>aún menor</w:t>
      </w:r>
      <w:r w:rsidR="00545D1B" w:rsidRPr="00742A04">
        <w:t>.</w:t>
      </w:r>
    </w:p>
    <w:p w:rsidR="00545D1B" w:rsidRPr="00742A04" w:rsidRDefault="0058094F" w:rsidP="008F159B">
      <w:pPr>
        <w:pStyle w:val="SingleTxt"/>
        <w:ind w:firstLine="475"/>
      </w:pPr>
      <w:r w:rsidRPr="00742A04">
        <w:t>A fin de</w:t>
      </w:r>
      <w:r w:rsidR="00A8633B" w:rsidRPr="00742A04">
        <w:t xml:space="preserve"> asegurar que</w:t>
      </w:r>
      <w:r w:rsidR="00545D1B" w:rsidRPr="00742A04">
        <w:t xml:space="preserve"> </w:t>
      </w:r>
      <w:r w:rsidR="00A8633B" w:rsidRPr="00742A04">
        <w:t>la</w:t>
      </w:r>
      <w:r w:rsidR="00545D1B" w:rsidRPr="00742A04">
        <w:t xml:space="preserve"> intensifi</w:t>
      </w:r>
      <w:r w:rsidR="00A8633B" w:rsidRPr="00742A04">
        <w:t>cación de</w:t>
      </w:r>
      <w:r w:rsidR="00545D1B" w:rsidRPr="00742A04">
        <w:t xml:space="preserve"> </w:t>
      </w:r>
      <w:r w:rsidR="005E6919" w:rsidRPr="00742A04">
        <w:t>la concentración en</w:t>
      </w:r>
      <w:r w:rsidR="00545D1B" w:rsidRPr="00742A04">
        <w:t xml:space="preserve"> </w:t>
      </w:r>
      <w:r w:rsidR="00A8633B" w:rsidRPr="00742A04">
        <w:t>determinadas</w:t>
      </w:r>
      <w:r w:rsidR="00545D1B" w:rsidRPr="00742A04">
        <w:t xml:space="preserve"> </w:t>
      </w:r>
      <w:r w:rsidR="00A8633B" w:rsidRPr="00742A04">
        <w:t>esferas temáticas</w:t>
      </w:r>
      <w:r w:rsidR="00545D1B" w:rsidRPr="00742A04">
        <w:t xml:space="preserve"> </w:t>
      </w:r>
      <w:r w:rsidR="00A8633B" w:rsidRPr="00742A04">
        <w:t>no determine un empeoramiento del</w:t>
      </w:r>
      <w:r w:rsidR="00545D1B" w:rsidRPr="00742A04">
        <w:t xml:space="preserve"> </w:t>
      </w:r>
      <w:r w:rsidR="00831293" w:rsidRPr="00742A04">
        <w:t>equilibrio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44FDB" w:rsidRPr="00742A04">
        <w:t>la i</w:t>
      </w:r>
      <w:r w:rsidR="00844FDB" w:rsidRPr="00742A04">
        <w:t>n</w:t>
      </w:r>
      <w:r w:rsidR="00844FDB" w:rsidRPr="00742A04">
        <w:t>vestigación</w:t>
      </w:r>
      <w:r w:rsidR="00545D1B" w:rsidRPr="00742A04">
        <w:t xml:space="preserve">, </w:t>
      </w:r>
      <w:r w:rsidR="00A8633B" w:rsidRPr="00742A04">
        <w:t xml:space="preserve">deberán hacerse </w:t>
      </w:r>
      <w:r w:rsidR="00502E16" w:rsidRPr="00742A04">
        <w:t>esfuerzos</w:t>
      </w:r>
      <w:r w:rsidR="00545D1B" w:rsidRPr="00742A04">
        <w:t xml:space="preserve"> </w:t>
      </w:r>
      <w:r w:rsidR="00A8633B" w:rsidRPr="00742A04">
        <w:t>especiales por contratar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A8633B" w:rsidRPr="00742A04">
        <w:t>en</w:t>
      </w:r>
      <w:r w:rsidR="00545D1B" w:rsidRPr="00742A04">
        <w:t xml:space="preserve"> </w:t>
      </w:r>
      <w:r w:rsidR="00AE4459" w:rsidRPr="00742A04">
        <w:t>matem</w:t>
      </w:r>
      <w:r w:rsidR="00AE4459" w:rsidRPr="00742A04">
        <w:t>á</w:t>
      </w:r>
      <w:r w:rsidR="00AE4459" w:rsidRPr="00742A04">
        <w:t>tica</w:t>
      </w:r>
      <w:r w:rsidR="00545D1B" w:rsidRPr="00742A04">
        <w:t xml:space="preserve">, </w:t>
      </w:r>
      <w:r w:rsidR="00AE4459" w:rsidRPr="00742A04">
        <w:t>ciencias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08D8" w:rsidRPr="00742A04">
        <w:t>tecnología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8633B" w:rsidRPr="00742A04">
        <w:t>asegurar que</w:t>
      </w:r>
      <w:r w:rsidR="00C339D4" w:rsidRPr="00742A04">
        <w:t xml:space="preserve"> </w:t>
      </w:r>
      <w:r w:rsidR="00A8633B" w:rsidRPr="00742A04">
        <w:t xml:space="preserve">se designe a </w:t>
      </w:r>
      <w:r w:rsidR="00072AD7" w:rsidRPr="00742A04">
        <w:t>mujeres</w:t>
      </w:r>
      <w:r w:rsidR="00545D1B" w:rsidRPr="00742A04">
        <w:t xml:space="preserve"> </w:t>
      </w:r>
      <w:r w:rsidR="00A8633B" w:rsidRPr="00742A04">
        <w:t>en puestos más el</w:t>
      </w:r>
      <w:r w:rsidR="00A8633B" w:rsidRPr="00742A04">
        <w:t>e</w:t>
      </w:r>
      <w:r w:rsidR="00A8633B" w:rsidRPr="00742A04">
        <w:t>vados</w:t>
      </w:r>
      <w:r w:rsidR="00545D1B" w:rsidRPr="00742A04">
        <w:t>.</w:t>
      </w:r>
    </w:p>
    <w:p w:rsidR="00545D1B" w:rsidRPr="00742A04" w:rsidRDefault="0030626A" w:rsidP="008F159B">
      <w:pPr>
        <w:pStyle w:val="SingleTxt"/>
        <w:ind w:firstLine="475"/>
      </w:pPr>
      <w:r w:rsidRPr="00742A04">
        <w:t>Además de</w:t>
      </w:r>
      <w:r w:rsidR="00545D1B" w:rsidRPr="00742A04">
        <w:t xml:space="preserve"> </w:t>
      </w:r>
      <w:r w:rsidR="00A8633B" w:rsidRPr="00742A04">
        <w:t>centrar la atención</w:t>
      </w:r>
      <w:r w:rsidR="00545D1B" w:rsidRPr="00742A04">
        <w:t xml:space="preserve"> </w:t>
      </w:r>
      <w:r w:rsidR="00230F13" w:rsidRPr="00742A04">
        <w:t>en particular</w:t>
      </w:r>
      <w:r w:rsidR="00545D1B" w:rsidRPr="00742A04">
        <w:t xml:space="preserve"> </w:t>
      </w:r>
      <w:r w:rsidR="00A8633B" w:rsidRPr="00742A04">
        <w:t xml:space="preserve">en el </w:t>
      </w:r>
      <w:r w:rsidR="00F43124" w:rsidRPr="00742A04">
        <w:t>fortalec</w:t>
      </w:r>
      <w:r w:rsidR="00A8633B" w:rsidRPr="00742A04">
        <w:t>imiento de</w:t>
      </w:r>
      <w:r w:rsidR="00545D1B" w:rsidRPr="00742A04">
        <w:t xml:space="preserve"> </w:t>
      </w:r>
      <w:r w:rsidR="00844FDB" w:rsidRPr="00742A04">
        <w:t>la invest</w:t>
      </w:r>
      <w:r w:rsidR="00844FDB" w:rsidRPr="00742A04">
        <w:t>i</w:t>
      </w:r>
      <w:r w:rsidR="00844FDB" w:rsidRPr="00742A04">
        <w:t>gación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B580D" w:rsidRPr="00742A04">
        <w:t>el comercio y la industria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873A0" w:rsidRPr="00742A04">
        <w:t xml:space="preserve">las </w:t>
      </w:r>
      <w:r w:rsidR="00A8633B" w:rsidRPr="00742A04">
        <w:t>disciplin</w:t>
      </w:r>
      <w:r w:rsidR="00D873A0" w:rsidRPr="00742A04">
        <w:t>as científicas</w:t>
      </w:r>
      <w:r w:rsidR="00545D1B" w:rsidRPr="00742A04">
        <w:t xml:space="preserve">, </w:t>
      </w:r>
      <w:r w:rsidR="00604011" w:rsidRPr="00742A04">
        <w:t>en la política de investigación de Noruega se está haciendo un hincapié cada vez mayor</w:t>
      </w:r>
      <w:r w:rsidR="005E6919" w:rsidRPr="00742A04">
        <w:t xml:space="preserve"> </w:t>
      </w:r>
      <w:r w:rsidR="00604011" w:rsidRPr="00742A04">
        <w:t>en la inte</w:t>
      </w:r>
      <w:r w:rsidR="00604011" w:rsidRPr="00742A04">
        <w:t>r</w:t>
      </w:r>
      <w:r w:rsidR="00604011" w:rsidRPr="00742A04">
        <w:t>nacionalización y</w:t>
      </w:r>
      <w:r w:rsidR="00545D1B" w:rsidRPr="00742A04">
        <w:t xml:space="preserve"> </w:t>
      </w:r>
      <w:r w:rsidR="00844FDB" w:rsidRPr="00742A04">
        <w:t xml:space="preserve">la </w:t>
      </w:r>
      <w:r w:rsidR="00604011" w:rsidRPr="00742A04">
        <w:t xml:space="preserve">gestión de la </w:t>
      </w:r>
      <w:r w:rsidR="00844FDB" w:rsidRPr="00742A04">
        <w:t>investigación</w:t>
      </w:r>
      <w:r w:rsidR="00545D1B" w:rsidRPr="00742A04">
        <w:t xml:space="preserve">. </w:t>
      </w:r>
      <w:r w:rsidR="00604011" w:rsidRPr="00742A04">
        <w:t>También en esas</w:t>
      </w:r>
      <w:r w:rsidR="00545D1B" w:rsidRPr="00742A04">
        <w:t xml:space="preserve"> </w:t>
      </w:r>
      <w:r w:rsidR="00A8633B" w:rsidRPr="00742A04">
        <w:t>esferas</w:t>
      </w:r>
      <w:r w:rsidR="00545D1B" w:rsidRPr="00742A04">
        <w:t xml:space="preserve">, </w:t>
      </w:r>
      <w:r w:rsidR="00EA26AB" w:rsidRPr="00742A04">
        <w:t>Noruega</w:t>
      </w:r>
      <w:r w:rsidR="00545D1B" w:rsidRPr="00742A04">
        <w:t xml:space="preserve"> </w:t>
      </w:r>
      <w:r w:rsidR="00604011" w:rsidRPr="00742A04">
        <w:t xml:space="preserve">se enfrenta a </w:t>
      </w:r>
      <w:r w:rsidR="00502E16" w:rsidRPr="00742A04">
        <w:t>desafíos</w:t>
      </w:r>
      <w:r w:rsidR="00604011" w:rsidRPr="00742A04">
        <w:t xml:space="preserve"> en materia de igualdad de género</w:t>
      </w:r>
      <w:r w:rsidR="00545D1B" w:rsidRPr="00742A04">
        <w:t>.</w:t>
      </w:r>
    </w:p>
    <w:p w:rsidR="00545D1B" w:rsidRPr="00742A04" w:rsidRDefault="00604011" w:rsidP="008F159B">
      <w:pPr>
        <w:pStyle w:val="SingleTxt"/>
        <w:ind w:firstLine="475"/>
      </w:pPr>
      <w:r w:rsidRPr="00742A04">
        <w:t>L</w:t>
      </w:r>
      <w:r w:rsidR="00064906" w:rsidRPr="00742A04">
        <w:t xml:space="preserve">a </w:t>
      </w:r>
      <w:r w:rsidR="004118CA" w:rsidRPr="00742A04">
        <w:t>demanda de</w:t>
      </w:r>
      <w:r w:rsidR="00545D1B" w:rsidRPr="00742A04">
        <w:t xml:space="preserve"> coopera</w:t>
      </w:r>
      <w:r w:rsidR="00C14BFF" w:rsidRPr="00742A04">
        <w:t xml:space="preserve">ción </w:t>
      </w:r>
      <w:r w:rsidR="007D66F2" w:rsidRPr="00742A04">
        <w:t>entre</w:t>
      </w:r>
      <w:r w:rsidR="00545D1B" w:rsidRPr="00742A04">
        <w:t xml:space="preserve"> </w:t>
      </w:r>
      <w:r w:rsidR="0081178E" w:rsidRPr="00742A04">
        <w:t>grupos</w:t>
      </w:r>
      <w:r w:rsidRPr="00742A04">
        <w:t xml:space="preserve"> más grandes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8085E" w:rsidRPr="00742A04">
        <w:t>investigadores</w:t>
      </w:r>
      <w:r w:rsidR="00545D1B" w:rsidRPr="00742A04">
        <w:t xml:space="preserve"> inte</w:t>
      </w:r>
      <w:r w:rsidR="00545D1B" w:rsidRPr="00742A04">
        <w:t>n</w:t>
      </w:r>
      <w:r w:rsidR="00545D1B" w:rsidRPr="00742A04">
        <w:t>sifi</w:t>
      </w:r>
      <w:r w:rsidRPr="00742A04">
        <w:t>ca</w:t>
      </w:r>
      <w:r w:rsidR="00545D1B" w:rsidRPr="00742A04">
        <w:t xml:space="preserve"> </w:t>
      </w:r>
      <w:r w:rsidR="00DD5E1A" w:rsidRPr="00742A04">
        <w:t>la necesidad de</w:t>
      </w:r>
      <w:r w:rsidR="00545D1B" w:rsidRPr="00742A04">
        <w:t xml:space="preserve"> </w:t>
      </w:r>
      <w:r w:rsidRPr="00742A04">
        <w:t xml:space="preserve">una gestión </w:t>
      </w:r>
      <w:r w:rsidR="003E4840" w:rsidRPr="00742A04">
        <w:t>profesional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 </w:t>
      </w:r>
      <w:r w:rsidR="008F0C8E" w:rsidRPr="00742A04">
        <w:t>experiencia</w:t>
      </w:r>
      <w:r w:rsidRPr="00742A04">
        <w:t xml:space="preserve"> en materia de gestión</w:t>
      </w:r>
      <w:r w:rsidR="00545D1B" w:rsidRPr="00742A04">
        <w:t xml:space="preserve"> </w:t>
      </w:r>
      <w:r w:rsidRPr="00742A04">
        <w:t>será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F43124" w:rsidRPr="00742A04">
        <w:t>para</w:t>
      </w:r>
      <w:r w:rsidRPr="00742A04">
        <w:t xml:space="preserve"> las</w:t>
      </w:r>
      <w:r w:rsidR="00545D1B" w:rsidRPr="00742A04">
        <w:t xml:space="preserve"> </w:t>
      </w:r>
      <w:r w:rsidRPr="00742A04">
        <w:t xml:space="preserve">carreras de </w:t>
      </w:r>
      <w:r w:rsidR="00E8085E" w:rsidRPr="00742A04">
        <w:t>los investigadores</w:t>
      </w:r>
      <w:r w:rsidR="00545D1B" w:rsidRPr="00742A04">
        <w:t xml:space="preserve">. </w:t>
      </w:r>
      <w:r w:rsidRPr="00742A04">
        <w:t>Por consiguiente, la</w:t>
      </w:r>
      <w:r w:rsidR="00545D1B" w:rsidRPr="00742A04">
        <w:t xml:space="preserve"> </w:t>
      </w:r>
      <w:r w:rsidR="002E5047" w:rsidRPr="00742A04">
        <w:t>contratación</w:t>
      </w:r>
      <w:r w:rsidR="00545D1B" w:rsidRPr="00742A04">
        <w:t xml:space="preserve"> </w:t>
      </w:r>
      <w:r w:rsidR="004D313C" w:rsidRPr="00742A04">
        <w:t>de mujeres</w:t>
      </w:r>
      <w:r w:rsidR="001E30D6" w:rsidRPr="00742A04">
        <w:t xml:space="preserve"> </w:t>
      </w:r>
      <w:r w:rsidRPr="00742A04">
        <w:t>par</w:t>
      </w:r>
      <w:r w:rsidR="001E30D6" w:rsidRPr="00742A04">
        <w:t xml:space="preserve">a </w:t>
      </w:r>
      <w:r w:rsidRPr="00742A04">
        <w:t>gestión de la investigación</w:t>
      </w:r>
      <w:r w:rsidR="00545D1B" w:rsidRPr="00742A04">
        <w:t xml:space="preserve"> </w:t>
      </w:r>
      <w:r w:rsidRPr="00742A04">
        <w:t>será</w:t>
      </w:r>
      <w:r w:rsidR="00545D1B" w:rsidRPr="00742A04">
        <w:t xml:space="preserve"> </w:t>
      </w:r>
      <w:r w:rsidRPr="00742A04">
        <w:t>un desafío especial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los</w:t>
      </w:r>
      <w:r w:rsidR="00545D1B" w:rsidRPr="00742A04">
        <w:t xml:space="preserve"> </w:t>
      </w:r>
      <w:r w:rsidR="00AD5494" w:rsidRPr="00742A04">
        <w:t>meses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Pr="00742A04">
        <w:t>venideros</w:t>
      </w:r>
      <w:r w:rsidR="00545D1B" w:rsidRPr="00742A04">
        <w:t>.</w:t>
      </w:r>
    </w:p>
    <w:p w:rsidR="000A08D8" w:rsidRPr="00742A04" w:rsidRDefault="00545D1B" w:rsidP="008F159B">
      <w:pPr>
        <w:pStyle w:val="SingleTxt"/>
        <w:ind w:firstLine="475"/>
      </w:pPr>
      <w:r w:rsidRPr="00742A04">
        <w:t>N</w:t>
      </w:r>
      <w:r w:rsidR="00604011" w:rsidRPr="00742A04">
        <w:t>inguno</w:t>
      </w:r>
      <w:r w:rsidRPr="00742A04">
        <w:t xml:space="preserve"> </w:t>
      </w:r>
      <w:r w:rsidR="00C076F2" w:rsidRPr="00742A04">
        <w:t xml:space="preserve">de los </w:t>
      </w:r>
      <w:r w:rsidR="00BC2FBE" w:rsidRPr="00742A04">
        <w:t>centros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604011" w:rsidRPr="00742A04">
        <w:t xml:space="preserve">excelencia en </w:t>
      </w:r>
      <w:r w:rsidR="00844FDB" w:rsidRPr="00742A04">
        <w:t>la investigación</w:t>
      </w:r>
      <w:r w:rsidRPr="00742A04">
        <w:t xml:space="preserve"> </w:t>
      </w:r>
      <w:r w:rsidR="00604011" w:rsidRPr="00742A04">
        <w:t>está encabezado</w:t>
      </w:r>
      <w:r w:rsidRPr="00742A04">
        <w:t xml:space="preserve"> </w:t>
      </w:r>
      <w:r w:rsidR="00DA461E" w:rsidRPr="00742A04">
        <w:t>a</w:t>
      </w:r>
      <w:r w:rsidR="00DA461E" w:rsidRPr="00742A04">
        <w:t>c</w:t>
      </w:r>
      <w:r w:rsidR="00DA461E" w:rsidRPr="00742A04">
        <w:t>tualmente</w:t>
      </w:r>
      <w:r w:rsidRPr="00742A04">
        <w:t xml:space="preserve"> </w:t>
      </w:r>
      <w:r w:rsidR="001167D2" w:rsidRPr="00742A04">
        <w:t>por</w:t>
      </w:r>
      <w:r w:rsidRPr="00742A04">
        <w:t xml:space="preserve"> </w:t>
      </w:r>
      <w:r w:rsidR="00604011" w:rsidRPr="00742A04">
        <w:t>una mujer</w:t>
      </w:r>
      <w:r w:rsidRPr="00742A04">
        <w:t xml:space="preserve">. </w:t>
      </w:r>
      <w:r w:rsidR="0058094F" w:rsidRPr="00742A04">
        <w:t>A fin de</w:t>
      </w:r>
      <w:r w:rsidRPr="00742A04">
        <w:t xml:space="preserve"> rectif</w:t>
      </w:r>
      <w:r w:rsidR="00604011" w:rsidRPr="00742A04">
        <w:t>icar esa</w:t>
      </w:r>
      <w:r w:rsidRPr="00742A04">
        <w:t xml:space="preserve"> situa</w:t>
      </w:r>
      <w:r w:rsidR="00935A90" w:rsidRPr="00742A04">
        <w:t>ción,</w:t>
      </w:r>
      <w:r w:rsidRPr="00742A04">
        <w:t xml:space="preserve"> </w:t>
      </w:r>
      <w:r w:rsidR="005E603B" w:rsidRPr="00742A04">
        <w:t>el Consejo</w:t>
      </w:r>
      <w:r w:rsidR="001A3EBF" w:rsidRPr="00742A04">
        <w:t xml:space="preserve"> de Investig</w:t>
      </w:r>
      <w:r w:rsidR="001A3EBF" w:rsidRPr="00742A04">
        <w:t>a</w:t>
      </w:r>
      <w:r w:rsidR="001A3EBF" w:rsidRPr="00742A04">
        <w:t>ciones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EA26AB" w:rsidRPr="00742A04">
        <w:t>Noruega</w:t>
      </w:r>
      <w:r w:rsidRPr="00742A04">
        <w:t xml:space="preserve"> ha</w:t>
      </w:r>
      <w:r w:rsidR="00604011" w:rsidRPr="00742A04">
        <w:t xml:space="preserve"> expresado la</w:t>
      </w:r>
      <w:r w:rsidRPr="00742A04">
        <w:t xml:space="preserve"> ambi</w:t>
      </w:r>
      <w:r w:rsidR="00C14BFF" w:rsidRPr="00742A04">
        <w:t xml:space="preserve">ción </w:t>
      </w:r>
      <w:r w:rsidR="004A0730" w:rsidRPr="00742A04">
        <w:t>de</w:t>
      </w:r>
      <w:r w:rsidRPr="00742A04">
        <w:t xml:space="preserve"> </w:t>
      </w:r>
      <w:r w:rsidR="005E6919" w:rsidRPr="00742A04">
        <w:t>lograr</w:t>
      </w:r>
      <w:r w:rsidRPr="00742A04">
        <w:t xml:space="preserve"> </w:t>
      </w:r>
      <w:r w:rsidR="00604011" w:rsidRPr="00742A04">
        <w:t xml:space="preserve">la </w:t>
      </w:r>
      <w:r w:rsidR="00A05847" w:rsidRPr="00742A04">
        <w:t>igualdad de género</w:t>
      </w:r>
      <w:r w:rsidRPr="00742A04">
        <w:t xml:space="preserve"> </w:t>
      </w:r>
      <w:r w:rsidR="00C14BFF" w:rsidRPr="00742A04">
        <w:t>en</w:t>
      </w:r>
      <w:r w:rsidRPr="00742A04">
        <w:t xml:space="preserve"> </w:t>
      </w:r>
      <w:r w:rsidR="00C27C42" w:rsidRPr="00742A04">
        <w:t>r</w:t>
      </w:r>
      <w:r w:rsidR="00C27C42" w:rsidRPr="00742A04">
        <w:t>e</w:t>
      </w:r>
      <w:r w:rsidR="00C27C42" w:rsidRPr="00742A04">
        <w:t>lación</w:t>
      </w:r>
      <w:r w:rsidRPr="00742A04">
        <w:t xml:space="preserve"> </w:t>
      </w:r>
      <w:r w:rsidR="004A0730" w:rsidRPr="00742A04">
        <w:t>con</w:t>
      </w:r>
      <w:r w:rsidRPr="00742A04">
        <w:t xml:space="preserve"> </w:t>
      </w:r>
      <w:r w:rsidR="00604011" w:rsidRPr="00742A04">
        <w:t>el anuncio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604011" w:rsidRPr="00742A04">
        <w:t xml:space="preserve">la </w:t>
      </w:r>
      <w:r w:rsidR="006B65CD" w:rsidRPr="00742A04">
        <w:t>financiación</w:t>
      </w:r>
      <w:r w:rsidRPr="00742A04">
        <w:t xml:space="preserve"> </w:t>
      </w:r>
      <w:r w:rsidR="00604011" w:rsidRPr="00742A04">
        <w:t>de</w:t>
      </w:r>
      <w:r w:rsidRPr="00742A04">
        <w:t xml:space="preserve"> </w:t>
      </w:r>
      <w:r w:rsidR="00894371">
        <w:t>nuevo</w:t>
      </w:r>
      <w:r w:rsidR="00894371" w:rsidRPr="00742A04">
        <w:t>s</w:t>
      </w:r>
      <w:r w:rsidRPr="00742A04">
        <w:t xml:space="preserve"> </w:t>
      </w:r>
      <w:r w:rsidR="00BC2FBE" w:rsidRPr="00742A04">
        <w:t>centros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604011" w:rsidRPr="00742A04">
        <w:t>excelencia en la inve</w:t>
      </w:r>
      <w:r w:rsidR="00604011" w:rsidRPr="00742A04">
        <w:t>s</w:t>
      </w:r>
      <w:r w:rsidR="00604011" w:rsidRPr="00742A04">
        <w:t xml:space="preserve">tigación </w:t>
      </w:r>
      <w:r w:rsidR="00F43124" w:rsidRPr="00742A04">
        <w:t>para</w:t>
      </w:r>
      <w:r w:rsidRPr="00742A04">
        <w:t xml:space="preserve"> 2006. </w:t>
      </w:r>
      <w:r w:rsidR="00154695" w:rsidRPr="00742A04">
        <w:t>Los solicitantes</w:t>
      </w:r>
      <w:r w:rsidRPr="00742A04">
        <w:t xml:space="preserve"> </w:t>
      </w:r>
      <w:r w:rsidR="007D4688" w:rsidRPr="00742A04">
        <w:t>debe</w:t>
      </w:r>
      <w:r w:rsidR="00D44BD7" w:rsidRPr="00742A04">
        <w:t>rán incorporar</w:t>
      </w:r>
      <w:r w:rsidRPr="00742A04">
        <w:t xml:space="preserve"> considera</w:t>
      </w:r>
      <w:r w:rsidR="008907B8" w:rsidRPr="00742A04">
        <w:t>ciones</w:t>
      </w:r>
      <w:r w:rsidR="00D44BD7" w:rsidRPr="00742A04">
        <w:t xml:space="preserve"> relacion</w:t>
      </w:r>
      <w:r w:rsidR="00D44BD7" w:rsidRPr="00742A04">
        <w:t>a</w:t>
      </w:r>
      <w:r w:rsidR="00D44BD7" w:rsidRPr="00742A04">
        <w:t>das con la</w:t>
      </w:r>
      <w:r w:rsidRPr="00742A04">
        <w:t xml:space="preserve"> </w:t>
      </w:r>
      <w:r w:rsidR="00D44BD7" w:rsidRPr="00742A04">
        <w:t>igualdad de género en la</w:t>
      </w:r>
      <w:r w:rsidRPr="00742A04">
        <w:t xml:space="preserve"> </w:t>
      </w:r>
      <w:r w:rsidR="005E2D7A" w:rsidRPr="00742A04">
        <w:t>planificación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7C65B3" w:rsidRPr="00742A04">
        <w:t>nuev</w:t>
      </w:r>
      <w:r w:rsidR="00D44BD7" w:rsidRPr="00742A04">
        <w:t>os</w:t>
      </w:r>
      <w:r w:rsidRPr="00742A04">
        <w:t xml:space="preserve"> </w:t>
      </w:r>
      <w:r w:rsidR="00BC2FBE" w:rsidRPr="00742A04">
        <w:t>centros</w:t>
      </w:r>
      <w:r w:rsidRPr="00742A04">
        <w:t xml:space="preserve"> </w:t>
      </w:r>
      <w:r w:rsidR="00877AA0" w:rsidRPr="00742A04">
        <w:t>y</w:t>
      </w:r>
      <w:r w:rsidRPr="00742A04">
        <w:t xml:space="preserve"> </w:t>
      </w:r>
      <w:r w:rsidR="00D44BD7" w:rsidRPr="00742A04">
        <w:t>cuantificar</w:t>
      </w:r>
      <w:r w:rsidRPr="00742A04">
        <w:t xml:space="preserve"> </w:t>
      </w:r>
      <w:r w:rsidR="00F97F41" w:rsidRPr="00742A04">
        <w:t>su</w:t>
      </w:r>
      <w:r w:rsidR="00D44BD7" w:rsidRPr="00742A04">
        <w:t>s metas en materia de</w:t>
      </w:r>
      <w:r w:rsidRPr="00742A04">
        <w:t xml:space="preserve"> </w:t>
      </w:r>
      <w:r w:rsidR="00A05847" w:rsidRPr="00742A04">
        <w:t>igualdad de género</w:t>
      </w:r>
      <w:r w:rsidRPr="00742A04">
        <w:t xml:space="preserve">. </w:t>
      </w:r>
      <w:r w:rsidR="00130F7F" w:rsidRPr="00742A04">
        <w:t>Además</w:t>
      </w:r>
      <w:r w:rsidRPr="00742A04">
        <w:t xml:space="preserve">, </w:t>
      </w:r>
      <w:r w:rsidR="005E603B" w:rsidRPr="00742A04">
        <w:t>el Consejo</w:t>
      </w:r>
      <w:r w:rsidR="001A3EBF" w:rsidRPr="00742A04">
        <w:t xml:space="preserve"> de Investigaciones</w:t>
      </w:r>
      <w:r w:rsidRPr="00742A04">
        <w:t xml:space="preserve"> </w:t>
      </w:r>
      <w:r w:rsidR="00D44BD7" w:rsidRPr="00742A04">
        <w:t>de</w:t>
      </w:r>
      <w:r w:rsidR="00D44BD7" w:rsidRPr="00742A04">
        <w:t>s</w:t>
      </w:r>
      <w:r w:rsidR="00D44BD7" w:rsidRPr="00742A04">
        <w:t>tinará</w:t>
      </w:r>
      <w:r w:rsidRPr="00742A04">
        <w:t xml:space="preserve"> </w:t>
      </w:r>
      <w:r w:rsidR="008F159B" w:rsidRPr="00742A04">
        <w:t>parte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D44BD7" w:rsidRPr="00742A04">
        <w:t>las asign</w:t>
      </w:r>
      <w:r w:rsidRPr="00742A04">
        <w:t>a</w:t>
      </w:r>
      <w:r w:rsidR="008907B8" w:rsidRPr="00742A04">
        <w:t>ciones</w:t>
      </w:r>
      <w:r w:rsidR="00D44BD7" w:rsidRPr="00742A04">
        <w:t xml:space="preserve"> anuales</w:t>
      </w:r>
      <w:r w:rsidRPr="00742A04">
        <w:t xml:space="preserve"> </w:t>
      </w:r>
      <w:r w:rsidR="00D44BD7" w:rsidRPr="00742A04">
        <w:t>de</w:t>
      </w:r>
      <w:r w:rsidRPr="00742A04">
        <w:t xml:space="preserve"> </w:t>
      </w:r>
      <w:r w:rsidR="00BC2FBE" w:rsidRPr="00742A04">
        <w:t>los centros</w:t>
      </w:r>
      <w:r w:rsidRPr="00742A04">
        <w:t xml:space="preserve"> </w:t>
      </w:r>
      <w:r w:rsidR="00D44BD7" w:rsidRPr="00742A04">
        <w:t>a medidas en materia de</w:t>
      </w:r>
      <w:r w:rsidRPr="00742A04">
        <w:t xml:space="preserve"> </w:t>
      </w:r>
      <w:r w:rsidR="00A05847" w:rsidRPr="00742A04">
        <w:t>igualdad de género</w:t>
      </w:r>
      <w:r w:rsidRPr="00742A04">
        <w:t xml:space="preserve">. </w:t>
      </w:r>
      <w:r w:rsidR="00495D7B" w:rsidRPr="00742A04">
        <w:t>Un</w:t>
      </w:r>
      <w:r w:rsidRPr="00742A04">
        <w:t xml:space="preserve"> </w:t>
      </w:r>
      <w:r w:rsidR="00A30B35" w:rsidRPr="00742A04">
        <w:t>ejemplo</w:t>
      </w:r>
      <w:r w:rsidR="00FD7D4E" w:rsidRPr="00742A04">
        <w:t xml:space="preserve"> de </w:t>
      </w:r>
      <w:r w:rsidRPr="00742A04">
        <w:t>me</w:t>
      </w:r>
      <w:r w:rsidR="00D44BD7" w:rsidRPr="00742A04">
        <w:t>didas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101B8C" w:rsidRPr="00742A04">
        <w:t>es</w:t>
      </w:r>
      <w:r w:rsidR="00D44BD7" w:rsidRPr="00742A04">
        <w:t>a</w:t>
      </w:r>
      <w:r w:rsidR="00101B8C" w:rsidRPr="00742A04">
        <w:t xml:space="preserve"> </w:t>
      </w:r>
      <w:r w:rsidR="00615664" w:rsidRPr="00742A04">
        <w:t>naturaleza</w:t>
      </w:r>
      <w:r w:rsidRPr="00742A04">
        <w:t xml:space="preserve"> </w:t>
      </w:r>
      <w:r w:rsidR="00BB4DB1" w:rsidRPr="00742A04">
        <w:t>es</w:t>
      </w:r>
      <w:r w:rsidRPr="00742A04">
        <w:t xml:space="preserve"> </w:t>
      </w:r>
      <w:r w:rsidR="00D44BD7" w:rsidRPr="00742A04">
        <w:t>la designación</w:t>
      </w:r>
      <w:r w:rsidRPr="00742A04">
        <w:t xml:space="preserve"> </w:t>
      </w:r>
      <w:r w:rsidR="004D313C" w:rsidRPr="00742A04">
        <w:t>de mujeres</w:t>
      </w:r>
      <w:r w:rsidRPr="00742A04">
        <w:t xml:space="preserve"> </w:t>
      </w:r>
      <w:r w:rsidR="00F43124" w:rsidRPr="00742A04">
        <w:t>para</w:t>
      </w:r>
      <w:r w:rsidRPr="00742A04">
        <w:t xml:space="preserve">** </w:t>
      </w:r>
      <w:r w:rsidR="00D44BD7" w:rsidRPr="00742A04">
        <w:t>puestos de</w:t>
      </w:r>
      <w:r w:rsidR="005B2FE4" w:rsidRPr="00742A04">
        <w:t xml:space="preserve"> profesor</w:t>
      </w:r>
      <w:r w:rsidRPr="00742A04">
        <w:t xml:space="preserve"> II</w:t>
      </w:r>
      <w:r w:rsidR="00D44BD7" w:rsidRPr="00742A04">
        <w:t xml:space="preserve"> o el estímulo para que se presenten mujeres para ocupar tales puestos</w:t>
      </w:r>
      <w:r w:rsidR="000A08D8" w:rsidRPr="00742A04">
        <w:t>.</w:t>
      </w:r>
    </w:p>
    <w:p w:rsidR="00545D1B" w:rsidRPr="00742A04" w:rsidRDefault="00CE1CFC" w:rsidP="002C4922">
      <w:pPr>
        <w:pStyle w:val="SingleTxt"/>
        <w:rPr>
          <w:i/>
        </w:rPr>
      </w:pPr>
      <w:r w:rsidRPr="00742A04">
        <w:rPr>
          <w:i/>
        </w:rPr>
        <w:t>El Comité</w:t>
      </w:r>
      <w:r w:rsidR="00545D1B" w:rsidRPr="00742A04">
        <w:rPr>
          <w:i/>
        </w:rPr>
        <w:t xml:space="preserve"> </w:t>
      </w:r>
      <w:r w:rsidR="00D44BD7" w:rsidRPr="00742A04">
        <w:rPr>
          <w:i/>
        </w:rPr>
        <w:t xml:space="preserve">de </w:t>
      </w:r>
      <w:r w:rsidR="00DC0DB8" w:rsidRPr="00742A04">
        <w:rPr>
          <w:i/>
        </w:rPr>
        <w:t>Medidas</w:t>
      </w:r>
      <w:r w:rsidR="00545D1B" w:rsidRPr="00742A04">
        <w:rPr>
          <w:i/>
        </w:rPr>
        <w:t xml:space="preserve"> </w:t>
      </w:r>
      <w:r w:rsidR="00D44BD7" w:rsidRPr="00742A04">
        <w:rPr>
          <w:i/>
        </w:rPr>
        <w:t xml:space="preserve">de Integración </w:t>
      </w:r>
      <w:r w:rsidR="00545D1B" w:rsidRPr="00742A04">
        <w:rPr>
          <w:i/>
        </w:rPr>
        <w:t xml:space="preserve">– </w:t>
      </w:r>
      <w:r w:rsidR="00D44BD7" w:rsidRPr="00742A04">
        <w:rPr>
          <w:i/>
        </w:rPr>
        <w:t>Las m</w:t>
      </w:r>
      <w:r w:rsidR="00072AD7" w:rsidRPr="00742A04">
        <w:rPr>
          <w:i/>
        </w:rPr>
        <w:t>ujeres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="006F111E" w:rsidRPr="00742A04">
        <w:rPr>
          <w:i/>
        </w:rPr>
        <w:t>la i</w:t>
      </w:r>
      <w:r w:rsidR="001902F8" w:rsidRPr="00742A04">
        <w:rPr>
          <w:i/>
        </w:rPr>
        <w:t>nvestigación</w:t>
      </w:r>
    </w:p>
    <w:p w:rsidR="00545D1B" w:rsidRPr="00742A04" w:rsidRDefault="0058094F" w:rsidP="008F159B">
      <w:pPr>
        <w:pStyle w:val="SingleTxt"/>
        <w:ind w:firstLine="475"/>
      </w:pPr>
      <w:r w:rsidRPr="00742A04">
        <w:t>A fin de</w:t>
      </w:r>
      <w:r w:rsidR="00545D1B" w:rsidRPr="00742A04">
        <w:t xml:space="preserve"> </w:t>
      </w:r>
      <w:r w:rsidR="00B31D97" w:rsidRPr="00742A04">
        <w:t>intensificar</w:t>
      </w:r>
      <w:r w:rsidR="00545D1B" w:rsidRPr="00742A04">
        <w:t xml:space="preserve"> </w:t>
      </w:r>
      <w:r w:rsidR="00D44BD7" w:rsidRPr="00742A04">
        <w:t xml:space="preserve">las </w:t>
      </w:r>
      <w:r w:rsidR="00DC0DB8" w:rsidRPr="00742A04">
        <w:t>medidas</w:t>
      </w:r>
      <w:r w:rsidR="00EA6AC2" w:rsidRPr="00742A04">
        <w:t xml:space="preserve"> </w:t>
      </w:r>
      <w:r w:rsidR="00D44BD7" w:rsidRPr="00742A04">
        <w:t>encaminadas a</w:t>
      </w:r>
      <w:r w:rsidR="00EA6AC2" w:rsidRPr="00742A04">
        <w:t xml:space="preserve"> </w:t>
      </w:r>
      <w:r w:rsidR="00B146CA" w:rsidRPr="00742A04">
        <w:t>promover la igualdad</w:t>
      </w:r>
      <w:r w:rsidR="00A05847" w:rsidRPr="00742A04">
        <w:t xml:space="preserve"> de gén</w:t>
      </w:r>
      <w:r w:rsidR="00A05847" w:rsidRPr="00742A04">
        <w:t>e</w:t>
      </w:r>
      <w:r w:rsidR="00A05847" w:rsidRPr="00742A04">
        <w:t>ro</w:t>
      </w:r>
      <w:r w:rsidR="00545D1B" w:rsidRPr="00742A04">
        <w:t xml:space="preserve"> </w:t>
      </w:r>
      <w:r w:rsidR="00D44BD7" w:rsidRPr="00742A04">
        <w:t>en las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44FDB" w:rsidRPr="00742A04">
        <w:t>educación superior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enero de</w:t>
      </w:r>
      <w:r w:rsidR="00545D1B" w:rsidRPr="00742A04">
        <w:t xml:space="preserve"> 2004 </w:t>
      </w:r>
      <w:r w:rsidR="008F0C8E" w:rsidRPr="00742A04">
        <w:t>el Gobierno</w:t>
      </w:r>
      <w:r w:rsidR="00545D1B" w:rsidRPr="00742A04">
        <w:t xml:space="preserve"> establ</w:t>
      </w:r>
      <w:r w:rsidR="00D44BD7" w:rsidRPr="00742A04">
        <w:t>e</w:t>
      </w:r>
      <w:r w:rsidR="00D44BD7" w:rsidRPr="00742A04">
        <w:t>ció</w:t>
      </w:r>
      <w:r w:rsidR="00545D1B" w:rsidRPr="00742A04">
        <w:t xml:space="preserve"> (</w:t>
      </w:r>
      <w:r w:rsidR="00F43124" w:rsidRPr="00742A04">
        <w:t>para</w:t>
      </w:r>
      <w:r w:rsidR="00545D1B" w:rsidRPr="00742A04">
        <w:t xml:space="preserve"> </w:t>
      </w:r>
      <w:r w:rsidR="00D44BD7" w:rsidRPr="00742A04">
        <w:t>un período inicial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) </w:t>
      </w:r>
      <w:r w:rsidR="00657260" w:rsidRPr="00742A04">
        <w:t>un comité</w:t>
      </w:r>
      <w:r w:rsidR="00EA6AC2" w:rsidRPr="00742A04">
        <w:t xml:space="preserve"> </w:t>
      </w:r>
      <w:r w:rsidR="00D44BD7" w:rsidRPr="00742A04">
        <w:t>encargado de</w:t>
      </w:r>
      <w:r w:rsidR="00EA6AC2" w:rsidRPr="00742A04">
        <w:t xml:space="preserve"> promover</w:t>
      </w:r>
      <w:r w:rsidR="00D44BD7" w:rsidRPr="00742A04">
        <w:t xml:space="preserve"> la</w:t>
      </w:r>
      <w:r w:rsidR="00EA6AC2" w:rsidRPr="00742A04">
        <w:t xml:space="preserve"> </w:t>
      </w:r>
      <w:r w:rsidR="00552048" w:rsidRPr="00742A04">
        <w:t>inco</w:t>
      </w:r>
      <w:r w:rsidR="00552048" w:rsidRPr="00742A04">
        <w:t>r</w:t>
      </w:r>
      <w:r w:rsidR="00552048" w:rsidRPr="00742A04">
        <w:t xml:space="preserve">poración </w:t>
      </w:r>
      <w:r w:rsidR="00F43124" w:rsidRPr="00742A04">
        <w:t xml:space="preserve">de la </w:t>
      </w:r>
      <w:r w:rsidR="00552048" w:rsidRPr="00742A04">
        <w:t>perspectiva de género</w:t>
      </w:r>
      <w:r w:rsidR="00545D1B" w:rsidRPr="00742A04">
        <w:t xml:space="preserve"> </w:t>
      </w:r>
      <w:r w:rsidR="004D2A67" w:rsidRPr="00742A04">
        <w:t>en las universidades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32F7B" w:rsidRPr="00742A04">
        <w:t>colegio</w:t>
      </w:r>
      <w:r w:rsidR="00545D1B" w:rsidRPr="00742A04">
        <w:t xml:space="preserve">s. </w:t>
      </w:r>
      <w:r w:rsidR="00D44BD7" w:rsidRPr="00742A04">
        <w:t>El cometido</w:t>
      </w:r>
      <w:r w:rsidR="00C07ED9" w:rsidRPr="00742A04">
        <w:t xml:space="preserve"> del </w:t>
      </w:r>
      <w:r w:rsidR="00CE1CFC" w:rsidRPr="00742A04">
        <w:t>comité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935A90" w:rsidRPr="00742A04">
        <w:t>apoy</w:t>
      </w:r>
      <w:r w:rsidR="00D44BD7" w:rsidRPr="00742A04">
        <w:t>ar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44BD7" w:rsidRPr="00742A04">
        <w:t>formular</w:t>
      </w:r>
      <w:r w:rsidR="00545D1B" w:rsidRPr="00742A04">
        <w:t xml:space="preserve"> </w:t>
      </w:r>
      <w:r w:rsidR="00CE1CFC" w:rsidRPr="00742A04">
        <w:t>recom</w:t>
      </w:r>
      <w:r w:rsidR="00545D1B" w:rsidRPr="00742A04">
        <w:t>enda</w:t>
      </w:r>
      <w:r w:rsidR="008907B8" w:rsidRPr="00742A04">
        <w:t>cion</w:t>
      </w:r>
      <w:r w:rsidR="0081178E" w:rsidRPr="00742A04">
        <w:t>es que</w:t>
      </w:r>
      <w:r w:rsidR="00545D1B" w:rsidRPr="00742A04">
        <w:t xml:space="preserve"> </w:t>
      </w:r>
      <w:r w:rsidR="00CE7870" w:rsidRPr="00742A04">
        <w:t>contribu</w:t>
      </w:r>
      <w:r w:rsidR="00D44BD7" w:rsidRPr="00742A04">
        <w:t xml:space="preserve">yan a lograr una mayor </w:t>
      </w:r>
      <w:r w:rsidR="00545D1B" w:rsidRPr="00742A04">
        <w:t>integra</w:t>
      </w:r>
      <w:r w:rsidR="00D44BD7" w:rsidRPr="00742A04">
        <w:t xml:space="preserve">ción de </w:t>
      </w:r>
      <w:r w:rsidR="00614C7D" w:rsidRPr="00742A04">
        <w:t>actividades</w:t>
      </w:r>
      <w:r w:rsidR="00545D1B" w:rsidRPr="00742A04">
        <w:t xml:space="preserve"> </w:t>
      </w:r>
      <w:r w:rsidR="00D44BD7" w:rsidRPr="00742A04">
        <w:t xml:space="preserve">en pro de la igualdad de género </w:t>
      </w:r>
      <w:r w:rsidR="00C14BFF" w:rsidRPr="00742A04">
        <w:t>en</w:t>
      </w:r>
      <w:r w:rsidR="00545D1B" w:rsidRPr="00742A04">
        <w:t xml:space="preserve"> </w:t>
      </w:r>
      <w:r w:rsidR="00D44BD7" w:rsidRPr="00742A04">
        <w:t>este</w:t>
      </w:r>
      <w:r w:rsidR="00545D1B" w:rsidRPr="00742A04">
        <w:t xml:space="preserve"> sector. </w:t>
      </w:r>
      <w:r w:rsidR="00502E16" w:rsidRPr="00742A04">
        <w:t>Tal</w:t>
      </w:r>
      <w:r w:rsidR="00D44BD7" w:rsidRPr="00742A04">
        <w:t>es</w:t>
      </w:r>
      <w:r w:rsidR="00545D1B" w:rsidRPr="00742A04">
        <w:t xml:space="preserve"> </w:t>
      </w:r>
      <w:r w:rsidR="00CE1CFC" w:rsidRPr="00742A04">
        <w:t>recom</w:t>
      </w:r>
      <w:r w:rsidR="00545D1B" w:rsidRPr="00742A04">
        <w:t>enda</w:t>
      </w:r>
      <w:r w:rsidR="008907B8" w:rsidRPr="00742A04">
        <w:t>ciones</w:t>
      </w:r>
      <w:r w:rsidR="00545D1B" w:rsidRPr="00742A04">
        <w:t xml:space="preserve"> </w:t>
      </w:r>
      <w:r w:rsidR="00604011" w:rsidRPr="00742A04">
        <w:t>será</w:t>
      </w:r>
      <w:r w:rsidR="00D44BD7" w:rsidRPr="00742A04">
        <w:t>n</w:t>
      </w:r>
      <w:r w:rsidR="00545D1B" w:rsidRPr="00742A04">
        <w:t xml:space="preserve"> </w:t>
      </w:r>
      <w:r w:rsidR="00D44BD7" w:rsidRPr="00742A04">
        <w:t>útiles</w:t>
      </w:r>
      <w:r w:rsidR="00545D1B" w:rsidRPr="00742A04">
        <w:t xml:space="preserve"> </w:t>
      </w:r>
      <w:r w:rsidR="00F43124" w:rsidRPr="00742A04">
        <w:t>para</w:t>
      </w:r>
      <w:r w:rsidR="00D44BD7" w:rsidRPr="00742A04">
        <w:t xml:space="preserve"> las</w:t>
      </w:r>
      <w:r w:rsidR="00545D1B" w:rsidRPr="00742A04">
        <w:t xml:space="preserve"> </w:t>
      </w:r>
      <w:r w:rsidR="00BD7DD0" w:rsidRPr="00742A04">
        <w:t>universidades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44BD7" w:rsidRPr="00742A04">
        <w:t xml:space="preserve">los </w:t>
      </w:r>
      <w:r w:rsidR="00032F7B" w:rsidRPr="00742A04">
        <w:t>colegio</w:t>
      </w:r>
      <w:r w:rsidR="00545D1B" w:rsidRPr="00742A04">
        <w:t xml:space="preserve">s, </w:t>
      </w:r>
      <w:r w:rsidR="005E603B" w:rsidRPr="00742A04">
        <w:t>el Consejo</w:t>
      </w:r>
      <w:r w:rsidR="001A3EBF" w:rsidRPr="00742A04">
        <w:t xml:space="preserve"> de Investigaciones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BB4DB1" w:rsidRPr="00742A04">
        <w:t xml:space="preserve">y el </w:t>
      </w:r>
      <w:r w:rsidR="004A0730" w:rsidRPr="00742A04">
        <w:t>Mini</w:t>
      </w:r>
      <w:r w:rsidR="004A0730" w:rsidRPr="00742A04">
        <w:t>s</w:t>
      </w:r>
      <w:r w:rsidR="004A0730" w:rsidRPr="00742A04">
        <w:t>terio</w:t>
      </w:r>
      <w:r w:rsidR="00545D1B" w:rsidRPr="00742A04">
        <w:t>.</w:t>
      </w:r>
    </w:p>
    <w:p w:rsidR="00545D1B" w:rsidRPr="00742A04" w:rsidRDefault="004A0730" w:rsidP="008F159B">
      <w:pPr>
        <w:pStyle w:val="SingleTxt"/>
        <w:ind w:firstLine="475"/>
      </w:pPr>
      <w:r w:rsidRPr="00742A04">
        <w:t>En</w:t>
      </w:r>
      <w:r w:rsidR="00545D1B" w:rsidRPr="00742A04">
        <w:t xml:space="preserve"> 2004 </w:t>
      </w:r>
      <w:r w:rsidR="00877AA0" w:rsidRPr="00742A04">
        <w:t>y</w:t>
      </w:r>
      <w:r w:rsidR="00545D1B" w:rsidRPr="00742A04">
        <w:t xml:space="preserve"> 2005, </w:t>
      </w:r>
      <w:r w:rsidR="00CE1CFC" w:rsidRPr="00742A04">
        <w:t>el Comité</w:t>
      </w:r>
      <w:r w:rsidR="00545D1B" w:rsidRPr="00742A04">
        <w:t xml:space="preserve"> </w:t>
      </w:r>
      <w:r w:rsidR="006F111E" w:rsidRPr="00742A04">
        <w:t>de Medidas de</w:t>
      </w:r>
      <w:r w:rsidR="00545D1B" w:rsidRPr="00742A04">
        <w:t xml:space="preserve"> Integra</w:t>
      </w:r>
      <w:r w:rsidR="00C14BFF" w:rsidRPr="00742A04">
        <w:t xml:space="preserve">ción </w:t>
      </w:r>
      <w:r w:rsidR="00545D1B" w:rsidRPr="00742A04">
        <w:t xml:space="preserve">– </w:t>
      </w:r>
      <w:r w:rsidR="006F111E" w:rsidRPr="00742A04">
        <w:t>Las mujeres en la i</w:t>
      </w:r>
      <w:r w:rsidR="006F111E" w:rsidRPr="00742A04">
        <w:t>n</w:t>
      </w:r>
      <w:r w:rsidR="006F111E" w:rsidRPr="00742A04">
        <w:t>vestigación asignó</w:t>
      </w:r>
      <w:r w:rsidR="00545D1B" w:rsidRPr="00742A04">
        <w:t xml:space="preserve"> prior</w:t>
      </w:r>
      <w:r w:rsidR="00502E16" w:rsidRPr="00742A04">
        <w:t>idad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6F111E" w:rsidRPr="00742A04">
        <w:t>la</w:t>
      </w:r>
      <w:r w:rsidR="00AC2465" w:rsidRPr="00742A04">
        <w:t>s tareas de</w:t>
      </w:r>
      <w:r w:rsidR="006F111E" w:rsidRPr="00742A04">
        <w:t xml:space="preserve"> reuni</w:t>
      </w:r>
      <w:r w:rsidR="00AC2465" w:rsidRPr="00742A04">
        <w:t>r</w:t>
      </w:r>
      <w:r w:rsidR="00545D1B" w:rsidRPr="00742A04">
        <w:t xml:space="preserve"> informa</w:t>
      </w:r>
      <w:r w:rsidR="00935A90" w:rsidRPr="00742A04">
        <w:t>ción,</w:t>
      </w:r>
      <w:r w:rsidR="00545D1B" w:rsidRPr="00742A04">
        <w:t xml:space="preserve"> </w:t>
      </w:r>
      <w:r w:rsidR="006F111E" w:rsidRPr="00742A04">
        <w:t>forma</w:t>
      </w:r>
      <w:r w:rsidR="00AC2465" w:rsidRPr="00742A04">
        <w:t>r</w:t>
      </w:r>
      <w:r w:rsidR="006F111E" w:rsidRPr="00742A04">
        <w:t xml:space="preserve"> r</w:t>
      </w:r>
      <w:r w:rsidR="00FB34C1" w:rsidRPr="00742A04">
        <w:t>e</w:t>
      </w:r>
      <w:r w:rsidR="00FB34C1" w:rsidRPr="00742A04">
        <w:t>d</w:t>
      </w:r>
      <w:r w:rsidR="006F111E" w:rsidRPr="00742A04">
        <w:t>e</w:t>
      </w:r>
      <w:r w:rsidR="00545D1B" w:rsidRPr="00742A04">
        <w:t xml:space="preserve">s </w:t>
      </w:r>
      <w:r w:rsidR="00AC2465" w:rsidRPr="00742A04">
        <w:t>e instar a los medios de comunicación a que centraran la atención</w:t>
      </w:r>
      <w:r w:rsidR="00545D1B" w:rsidRPr="00742A04">
        <w:t xml:space="preserve"> </w:t>
      </w:r>
      <w:r w:rsidR="0077058E" w:rsidRPr="00742A04">
        <w:t>en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44FDB" w:rsidRPr="00742A04">
        <w:t>la investigación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C2465" w:rsidRPr="00742A04">
        <w:t xml:space="preserve">el ambiente </w:t>
      </w:r>
      <w:r w:rsidR="00545D1B" w:rsidRPr="00742A04">
        <w:t>acad</w:t>
      </w:r>
      <w:r w:rsidR="00AC2465" w:rsidRPr="00742A04">
        <w:t>émico</w:t>
      </w:r>
      <w:r w:rsidR="00545D1B" w:rsidRPr="00742A04">
        <w:t xml:space="preserve">. </w:t>
      </w:r>
      <w:r w:rsidR="005F54EF" w:rsidRPr="00742A04">
        <w:t>Se considera que esto es fundament</w:t>
      </w:r>
      <w:r w:rsidR="00545D1B" w:rsidRPr="00742A04">
        <w:t xml:space="preserve">al </w:t>
      </w:r>
      <w:r w:rsidR="00F43124" w:rsidRPr="00742A04">
        <w:t>para</w:t>
      </w:r>
      <w:r w:rsidR="00545D1B" w:rsidRPr="00742A04">
        <w:t xml:space="preserve"> </w:t>
      </w:r>
      <w:r w:rsidR="005F54EF" w:rsidRPr="00742A04">
        <w:t>las ulteriores</w:t>
      </w:r>
      <w:r w:rsidR="00545D1B" w:rsidRPr="00742A04">
        <w:t xml:space="preserve"> </w:t>
      </w:r>
      <w:r w:rsidR="00614C7D" w:rsidRPr="00742A04">
        <w:t>actividades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2006. </w:t>
      </w:r>
      <w:r w:rsidR="0020526A" w:rsidRPr="00742A04">
        <w:t>Durante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6D7D2F" w:rsidRPr="00742A04">
        <w:t xml:space="preserve">ha </w:t>
      </w:r>
      <w:r w:rsidR="005F54EF" w:rsidRPr="00742A04">
        <w:t>estado en</w:t>
      </w:r>
      <w:r w:rsidR="00545D1B" w:rsidRPr="00742A04">
        <w:t xml:space="preserve"> </w:t>
      </w:r>
      <w:r w:rsidR="005D2D07" w:rsidRPr="00742A04">
        <w:t>fu</w:t>
      </w:r>
      <w:r w:rsidR="005D2D07" w:rsidRPr="00742A04">
        <w:t>n</w:t>
      </w:r>
      <w:r w:rsidR="005D2D07" w:rsidRPr="00742A04">
        <w:t>cionamiento</w:t>
      </w:r>
      <w:r w:rsidR="00545D1B" w:rsidRPr="00742A04">
        <w:t xml:space="preserve">, </w:t>
      </w:r>
      <w:r w:rsidR="005F54EF" w:rsidRPr="00742A04">
        <w:t>el C</w:t>
      </w:r>
      <w:r w:rsidR="00CE1CFC" w:rsidRPr="00742A04">
        <w:t>omité</w:t>
      </w:r>
      <w:r w:rsidR="00545D1B" w:rsidRPr="00742A04">
        <w:t xml:space="preserve"> ha</w:t>
      </w:r>
      <w:r w:rsidR="005F54EF" w:rsidRPr="00742A04">
        <w:t xml:space="preserve"> mantenido reuniones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5F54EF" w:rsidRPr="00742A04">
        <w:t>los dirigentes</w:t>
      </w:r>
      <w:r w:rsidR="00545D1B" w:rsidRPr="00742A04">
        <w:t xml:space="preserve"> </w:t>
      </w:r>
      <w:r w:rsidR="005E2D7A" w:rsidRPr="00742A04">
        <w:t>polí</w:t>
      </w:r>
      <w:r w:rsidR="005F54EF" w:rsidRPr="00742A04">
        <w:t>ticos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adm</w:t>
      </w:r>
      <w:r w:rsidR="00545D1B" w:rsidRPr="00742A04">
        <w:t>i</w:t>
      </w:r>
      <w:r w:rsidR="00545D1B" w:rsidRPr="00742A04">
        <w:t>nistrativ</w:t>
      </w:r>
      <w:r w:rsidR="005F54EF" w:rsidRPr="00742A04">
        <w:t>os</w:t>
      </w:r>
      <w:r w:rsidR="0030626A" w:rsidRPr="00742A04">
        <w:t xml:space="preserve"> del </w:t>
      </w:r>
      <w:r w:rsidRPr="00742A04">
        <w:t>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6C0744" w:rsidRPr="00742A04">
        <w:t>e Investigación</w:t>
      </w:r>
      <w:r w:rsidR="00545D1B" w:rsidRPr="00742A04">
        <w:t xml:space="preserve">, </w:t>
      </w:r>
      <w:r w:rsidR="005F54EF" w:rsidRPr="00742A04">
        <w:t>los dirigentes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F54EF" w:rsidRPr="00742A04">
        <w:t xml:space="preserve">las </w:t>
      </w:r>
      <w:r w:rsidR="00BD7DD0" w:rsidRPr="00742A04">
        <w:t>unive</w:t>
      </w:r>
      <w:r w:rsidR="00BD7DD0" w:rsidRPr="00742A04">
        <w:t>r</w:t>
      </w:r>
      <w:r w:rsidR="00BD7DD0" w:rsidRPr="00742A04">
        <w:t>sidades</w:t>
      </w:r>
      <w:r w:rsidR="002E5047" w:rsidRPr="00742A04">
        <w:t xml:space="preserve"> </w:t>
      </w:r>
      <w:r w:rsidR="005F54EF" w:rsidRPr="00742A04">
        <w:t>del país y los asesores en materia d</w:t>
      </w:r>
      <w:r w:rsidR="002E5047" w:rsidRPr="00742A04">
        <w:t>e i</w:t>
      </w:r>
      <w:r w:rsidR="00A05847" w:rsidRPr="00742A04">
        <w:t>gualdad de género</w:t>
      </w:r>
      <w:r w:rsidR="00545D1B" w:rsidRPr="00742A04">
        <w:t xml:space="preserve"> </w:t>
      </w:r>
      <w:r w:rsidR="005F54EF" w:rsidRPr="00742A04">
        <w:t>de las</w:t>
      </w:r>
      <w:r w:rsidR="00545D1B" w:rsidRPr="00742A04">
        <w:t xml:space="preserve"> </w:t>
      </w:r>
      <w:r w:rsidR="00BD7DD0" w:rsidRPr="00742A04">
        <w:t>universid</w:t>
      </w:r>
      <w:r w:rsidR="00BD7DD0" w:rsidRPr="00742A04">
        <w:t>a</w:t>
      </w:r>
      <w:r w:rsidR="00BD7DD0" w:rsidRPr="00742A04">
        <w:t>des</w:t>
      </w:r>
      <w:r w:rsidR="00545D1B" w:rsidRPr="00742A04">
        <w:t xml:space="preserve">. </w:t>
      </w:r>
      <w:r w:rsidR="005F54EF" w:rsidRPr="00742A04">
        <w:t>E</w:t>
      </w:r>
      <w:r w:rsidR="00CE1CFC" w:rsidRPr="00742A04">
        <w:t>l comité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ha</w:t>
      </w:r>
      <w:r w:rsidR="005F54EF" w:rsidRPr="00742A04">
        <w:t xml:space="preserve"> mantenido</w:t>
      </w:r>
      <w:r w:rsidR="00545D1B" w:rsidRPr="00742A04">
        <w:t xml:space="preserve"> </w:t>
      </w:r>
      <w:r w:rsidR="007A4A10" w:rsidRPr="00742A04">
        <w:t>contactos</w:t>
      </w:r>
      <w:r w:rsidR="00545D1B" w:rsidRPr="00742A04">
        <w:t xml:space="preserve"> </w:t>
      </w:r>
      <w:r w:rsidRPr="00742A04">
        <w:t>con</w:t>
      </w:r>
      <w:r w:rsidR="005F54EF" w:rsidRPr="00742A04">
        <w:t xml:space="preserve"> toda</w:t>
      </w:r>
      <w:r w:rsidR="009D1A12" w:rsidRPr="00742A04">
        <w:t>s l</w:t>
      </w:r>
      <w:r w:rsidR="005F54EF" w:rsidRPr="00742A04">
        <w:t>a</w:t>
      </w:r>
      <w:r w:rsidR="009D1A12" w:rsidRPr="00742A04">
        <w:t xml:space="preserve">s </w:t>
      </w:r>
      <w:r w:rsidR="005F54EF" w:rsidRPr="00742A04">
        <w:t>demás</w:t>
      </w:r>
      <w:r w:rsidR="00545D1B" w:rsidRPr="00742A04">
        <w:t xml:space="preserve"> </w:t>
      </w:r>
      <w:r w:rsidR="005F54EF" w:rsidRPr="00742A04">
        <w:t>instituciones e</w:t>
      </w:r>
      <w:r w:rsidR="00545D1B" w:rsidRPr="00742A04">
        <w:t>s</w:t>
      </w:r>
      <w:r w:rsidR="00545D1B" w:rsidRPr="00742A04">
        <w:t>tat</w:t>
      </w:r>
      <w:r w:rsidR="005F54EF" w:rsidRPr="00742A04">
        <w:t>al</w:t>
      </w:r>
      <w:r w:rsidR="00545D1B" w:rsidRPr="00742A04">
        <w:t>e</w:t>
      </w:r>
      <w:r w:rsidR="005F54EF" w:rsidRPr="00742A04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priva</w:t>
      </w:r>
      <w:r w:rsidR="005F54EF" w:rsidRPr="00742A04">
        <w:t>das de</w:t>
      </w:r>
      <w:r w:rsidR="00844FDB" w:rsidRPr="00742A04">
        <w:t xml:space="preserve"> educación superior</w:t>
      </w:r>
      <w:r w:rsidR="00545D1B" w:rsidRPr="00742A04">
        <w:t xml:space="preserve">, </w:t>
      </w:r>
      <w:r w:rsidR="005F54EF" w:rsidRPr="00742A04">
        <w:t>el Consejo Nac</w:t>
      </w:r>
      <w:r w:rsidR="00545D1B" w:rsidRPr="00742A04">
        <w:t xml:space="preserve">ional </w:t>
      </w:r>
      <w:r w:rsidR="00F43124" w:rsidRPr="00742A04">
        <w:t>para</w:t>
      </w:r>
      <w:r w:rsidR="005F54EF" w:rsidRPr="00742A04">
        <w:t xml:space="preserve"> la</w:t>
      </w:r>
      <w:r w:rsidR="00545D1B" w:rsidRPr="00742A04">
        <w:t xml:space="preserve"> </w:t>
      </w:r>
      <w:r w:rsidR="004B0EC3" w:rsidRPr="00742A04">
        <w:t>Cali</w:t>
      </w:r>
      <w:r w:rsidR="00502E16" w:rsidRPr="00742A04">
        <w:t>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4371" w:rsidRPr="00742A04">
        <w:t>la</w:t>
      </w:r>
      <w:r w:rsidR="00894371">
        <w:t xml:space="preserve"> </w:t>
      </w:r>
      <w:r w:rsidR="00894371" w:rsidRPr="00742A04">
        <w:t>Educación</w:t>
      </w:r>
      <w:r w:rsidR="00545D1B" w:rsidRPr="00742A04">
        <w:t xml:space="preserve">, </w:t>
      </w:r>
      <w:r w:rsidR="005E603B" w:rsidRPr="00742A04">
        <w:t>el Consejo</w:t>
      </w:r>
      <w:r w:rsidR="001A3EBF" w:rsidRPr="00742A04">
        <w:t xml:space="preserve"> de Investigaciones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6412" w:rsidRPr="00742A04">
        <w:t xml:space="preserve">otros </w:t>
      </w:r>
      <w:r w:rsidR="00935A90" w:rsidRPr="00742A04">
        <w:t>actores pertinentes</w:t>
      </w:r>
      <w:r w:rsidR="00545D1B" w:rsidRPr="00742A04">
        <w:t xml:space="preserve">. </w:t>
      </w:r>
      <w:r w:rsidR="005F54EF" w:rsidRPr="00742A04">
        <w:t>E</w:t>
      </w:r>
      <w:r w:rsidR="00CE1CFC" w:rsidRPr="00742A04">
        <w:t>l</w:t>
      </w:r>
      <w:r w:rsidR="005F54EF" w:rsidRPr="00742A04">
        <w:t xml:space="preserve"> </w:t>
      </w:r>
      <w:r w:rsidR="00CE1CFC" w:rsidRPr="00742A04">
        <w:t>comité</w:t>
      </w:r>
      <w:r w:rsidR="00256979">
        <w:t xml:space="preserve"> ha </w:t>
      </w:r>
      <w:r w:rsidR="005F54EF" w:rsidRPr="00742A04">
        <w:t>organizado</w:t>
      </w:r>
      <w:r w:rsidR="00545D1B" w:rsidRPr="00742A04">
        <w:t xml:space="preserve"> </w:t>
      </w:r>
      <w:r w:rsidR="005F54EF" w:rsidRPr="00742A04">
        <w:t>seminarios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13355" w:rsidRPr="00742A04">
        <w:t>conferencia</w:t>
      </w:r>
      <w:r w:rsidR="00545D1B" w:rsidRPr="00742A04">
        <w:t xml:space="preserve">s </w:t>
      </w:r>
      <w:r w:rsidR="005F54EF" w:rsidRPr="00742A04">
        <w:t>sobre</w:t>
      </w:r>
      <w:r w:rsidR="00545D1B" w:rsidRPr="00742A04">
        <w:t xml:space="preserve"> </w:t>
      </w:r>
      <w:r w:rsidR="0079108A" w:rsidRPr="00742A04">
        <w:t>este tema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5F54EF" w:rsidRPr="00742A04">
        <w:t>ha bri</w:t>
      </w:r>
      <w:r w:rsidR="005F54EF" w:rsidRPr="00742A04">
        <w:t>n</w:t>
      </w:r>
      <w:r w:rsidR="005F54EF" w:rsidRPr="00742A04">
        <w:t>dado</w:t>
      </w:r>
      <w:r w:rsidR="00545D1B" w:rsidRPr="00742A04">
        <w:t xml:space="preserve"> </w:t>
      </w:r>
      <w:r w:rsidR="00CD2FF0" w:rsidRPr="00742A04">
        <w:t>apoyo financiero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F54EF" w:rsidRPr="00742A04">
        <w:t>otorgar subvenciones</w:t>
      </w:r>
      <w:r w:rsidR="00545D1B" w:rsidRPr="00742A04">
        <w:t xml:space="preserve"> </w:t>
      </w:r>
      <w:r w:rsidR="00F43124" w:rsidRPr="00742A04">
        <w:t>para</w:t>
      </w:r>
      <w:r w:rsidR="005F54EF" w:rsidRPr="00742A04">
        <w:t xml:space="preserve"> estudios de</w:t>
      </w:r>
      <w:r w:rsidR="00545D1B" w:rsidRPr="00742A04">
        <w:t xml:space="preserve"> ma</w:t>
      </w:r>
      <w:r w:rsidR="005F54EF" w:rsidRPr="00742A04">
        <w:t>e</w:t>
      </w:r>
      <w:r w:rsidR="00545D1B" w:rsidRPr="00742A04">
        <w:t>str</w:t>
      </w:r>
      <w:r w:rsidR="005F54EF" w:rsidRPr="00742A04">
        <w:t>ía en las</w:t>
      </w:r>
      <w:r w:rsidR="00545D1B" w:rsidRPr="00742A04">
        <w:t xml:space="preserve"> </w:t>
      </w:r>
      <w:r w:rsidR="00C55B39" w:rsidRPr="00742A04">
        <w:t>disciplinas</w:t>
      </w:r>
      <w:r w:rsidR="005F54EF" w:rsidRPr="00742A04">
        <w:t xml:space="preserve"> pertinentes</w:t>
      </w:r>
      <w:r w:rsidR="00545D1B" w:rsidRPr="00742A04">
        <w:t>.</w:t>
      </w:r>
    </w:p>
    <w:p w:rsidR="00545D1B" w:rsidRPr="00742A04" w:rsidRDefault="00CE1CFC" w:rsidP="008F159B">
      <w:pPr>
        <w:pStyle w:val="SingleTxt"/>
        <w:ind w:firstLine="475"/>
      </w:pPr>
      <w:r w:rsidRPr="00742A04">
        <w:t>El Comité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502088" w:rsidRPr="00742A04">
        <w:t>elaboró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="00502088" w:rsidRPr="00742A04">
        <w:t xml:space="preserve">titulado </w:t>
      </w:r>
      <w:r w:rsidR="00545D1B" w:rsidRPr="00742A04">
        <w:rPr>
          <w:i/>
        </w:rPr>
        <w:t xml:space="preserve">Status og planer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likest</w:t>
      </w:r>
      <w:r w:rsidR="00545D1B" w:rsidRPr="00742A04">
        <w:rPr>
          <w:i/>
        </w:rPr>
        <w:t>i</w:t>
      </w:r>
      <w:r w:rsidR="00545D1B" w:rsidRPr="00742A04">
        <w:rPr>
          <w:i/>
        </w:rPr>
        <w:t>lling i universitets- og høgskolesektoren – 2004</w:t>
      </w:r>
      <w:r w:rsidR="00545D1B" w:rsidRPr="00742A04">
        <w:t xml:space="preserve"> (</w:t>
      </w:r>
      <w:r w:rsidR="00502088" w:rsidRPr="00742A04">
        <w:t>“</w:t>
      </w:r>
      <w:r w:rsidR="00545D1B" w:rsidRPr="00742A04">
        <w:t>S</w:t>
      </w:r>
      <w:r w:rsidR="00502088" w:rsidRPr="00742A04">
        <w:t>i</w:t>
      </w:r>
      <w:r w:rsidR="00545D1B" w:rsidRPr="00742A04">
        <w:t>t</w:t>
      </w:r>
      <w:r w:rsidR="00502088" w:rsidRPr="00742A04">
        <w:t>uación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42371" w:rsidRPr="00742A04">
        <w:t>planes</w:t>
      </w:r>
      <w:r w:rsidR="00545D1B" w:rsidRPr="00742A04">
        <w:t xml:space="preserve"> </w:t>
      </w:r>
      <w:r w:rsidR="00502088" w:rsidRPr="00742A04">
        <w:t>en materia de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52339" w:rsidRPr="00742A04">
        <w:t>el sector de universidades y colegios</w:t>
      </w:r>
      <w:r w:rsidR="00545D1B" w:rsidRPr="00742A04">
        <w:t xml:space="preserve"> – 2004</w:t>
      </w:r>
      <w:r w:rsidR="00502088" w:rsidRPr="00742A04">
        <w:t>”</w:t>
      </w:r>
      <w:r w:rsidR="00545D1B" w:rsidRPr="00742A04">
        <w:t>).</w:t>
      </w:r>
      <w:r w:rsidR="001167D2" w:rsidRPr="00742A04">
        <w:t xml:space="preserve"> </w:t>
      </w:r>
      <w:r w:rsidR="00502088" w:rsidRPr="00742A04">
        <w:t>E</w:t>
      </w:r>
      <w:r w:rsidR="001167D2" w:rsidRPr="00742A04">
        <w:t>l</w:t>
      </w:r>
      <w:r w:rsidR="00502088"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="00502088" w:rsidRPr="00742A04">
        <w:t>e</w:t>
      </w:r>
      <w:r w:rsidR="00502088" w:rsidRPr="00742A04">
        <w:t>s</w:t>
      </w:r>
      <w:r w:rsidR="00502088" w:rsidRPr="00742A04">
        <w:t>tá basado</w:t>
      </w:r>
      <w:r w:rsidR="00256979">
        <w:t xml:space="preserve"> en</w:t>
      </w:r>
      <w:r w:rsidR="00502088" w:rsidRPr="00742A04">
        <w:t xml:space="preserve"> la información proporcionada por</w:t>
      </w:r>
      <w:r w:rsidR="00545D1B" w:rsidRPr="00742A04">
        <w:t xml:space="preserve"> </w:t>
      </w:r>
      <w:r w:rsidR="00502088" w:rsidRPr="00742A04">
        <w:t>todas las instituciones estatales y pr</w:t>
      </w:r>
      <w:r w:rsidR="00502088" w:rsidRPr="00742A04">
        <w:t>i</w:t>
      </w:r>
      <w:r w:rsidR="00502088" w:rsidRPr="00742A04">
        <w:t>vadas de educación superior acerca de su situación actual</w:t>
      </w:r>
      <w:r w:rsidR="00545D1B" w:rsidRPr="00742A04">
        <w:t xml:space="preserve"> </w:t>
      </w:r>
      <w:r w:rsidR="00502088" w:rsidRPr="00742A04">
        <w:t xml:space="preserve">en materia de </w:t>
      </w:r>
      <w:r w:rsidR="00552048" w:rsidRPr="00742A04">
        <w:t>incorpor</w:t>
      </w:r>
      <w:r w:rsidR="00552048" w:rsidRPr="00742A04">
        <w:t>a</w:t>
      </w:r>
      <w:r w:rsidR="00552048" w:rsidRPr="00742A04">
        <w:t xml:space="preserve">ción </w:t>
      </w:r>
      <w:r w:rsidR="00F43124" w:rsidRPr="00742A04">
        <w:t xml:space="preserve">de la </w:t>
      </w:r>
      <w:r w:rsidR="00552048" w:rsidRPr="00742A04">
        <w:t>perspectiva de género</w:t>
      </w:r>
      <w:r w:rsidR="00502088" w:rsidRPr="00742A04">
        <w:t xml:space="preserve"> y sus planes para </w:t>
      </w:r>
      <w:r w:rsidR="00894371" w:rsidRPr="00742A04">
        <w:t>promoverla</w:t>
      </w:r>
      <w:r w:rsidR="00545D1B" w:rsidRPr="00742A04">
        <w:t xml:space="preserve">. </w:t>
      </w:r>
      <w:r w:rsidR="00502088" w:rsidRPr="00742A04">
        <w:t>El</w:t>
      </w:r>
      <w:r w:rsidR="00545D1B" w:rsidRPr="00742A04">
        <w:t xml:space="preserve"> material </w:t>
      </w:r>
      <w:r w:rsidR="00502088" w:rsidRPr="00742A04">
        <w:t xml:space="preserve">contenido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="00502088" w:rsidRPr="00742A04">
        <w:t>consiste en una auto</w:t>
      </w:r>
      <w:r w:rsidR="005E2D7A" w:rsidRPr="00742A04">
        <w:t>presentación de informes</w:t>
      </w:r>
      <w:r w:rsidR="00502088" w:rsidRPr="00742A04">
        <w:t>,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, </w:t>
      </w:r>
      <w:r w:rsidR="00F05119" w:rsidRPr="00742A04">
        <w:t>por consiguiente</w:t>
      </w:r>
      <w:r w:rsidR="00545D1B" w:rsidRPr="00742A04">
        <w:t xml:space="preserve">, </w:t>
      </w:r>
      <w:r w:rsidR="00502088" w:rsidRPr="00742A04">
        <w:t xml:space="preserve">no constituye </w:t>
      </w:r>
      <w:r w:rsidR="00894371" w:rsidRPr="00742A04">
        <w:t>un examen sistemático o profundo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472FC" w:rsidRPr="00742A04">
        <w:t>la situación</w:t>
      </w:r>
      <w:r w:rsidR="00C14BFF" w:rsidRPr="00742A04">
        <w:t xml:space="preserve"> en</w:t>
      </w:r>
      <w:r w:rsidR="00545D1B" w:rsidRPr="00742A04">
        <w:t xml:space="preserve"> </w:t>
      </w:r>
      <w:r w:rsidR="00502088" w:rsidRPr="00742A04">
        <w:t>este</w:t>
      </w:r>
      <w:r w:rsidR="00545D1B" w:rsidRPr="00742A04">
        <w:t xml:space="preserve"> sector. </w:t>
      </w:r>
      <w:r w:rsidR="00502088" w:rsidRPr="00742A04">
        <w:t>Las</w:t>
      </w:r>
      <w:r w:rsidR="00545D1B" w:rsidRPr="00742A04">
        <w:t xml:space="preserve"> in</w:t>
      </w:r>
      <w:r w:rsidR="00545D1B" w:rsidRPr="00742A04">
        <w:t>s</w:t>
      </w:r>
      <w:r w:rsidR="00545D1B" w:rsidRPr="00742A04">
        <w:t>titu</w:t>
      </w:r>
      <w:r w:rsidR="008907B8" w:rsidRPr="00742A04">
        <w:t>ciones</w:t>
      </w:r>
      <w:r w:rsidR="00545D1B" w:rsidRPr="00742A04">
        <w:t xml:space="preserve"> </w:t>
      </w:r>
      <w:r w:rsidR="00502088" w:rsidRPr="00742A04">
        <w:t>adoptaron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c</w:t>
      </w:r>
      <w:r w:rsidR="00502088" w:rsidRPr="00742A04">
        <w:t>riterios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02088" w:rsidRPr="00742A04">
        <w:t xml:space="preserve">la </w:t>
      </w:r>
      <w:r w:rsidR="00552048" w:rsidRPr="00742A04">
        <w:t xml:space="preserve">incorporación </w:t>
      </w:r>
      <w:r w:rsidR="00F43124" w:rsidRPr="00742A04">
        <w:t xml:space="preserve">de la </w:t>
      </w:r>
      <w:r w:rsidR="00552048" w:rsidRPr="00742A04">
        <w:t>perspectiva de gén</w:t>
      </w:r>
      <w:r w:rsidR="00552048" w:rsidRPr="00742A04">
        <w:t>e</w:t>
      </w:r>
      <w:r w:rsidR="00552048" w:rsidRPr="00742A04">
        <w:t>ro</w:t>
      </w:r>
      <w:r w:rsidR="00545D1B" w:rsidRPr="00742A04">
        <w:t>:</w:t>
      </w:r>
    </w:p>
    <w:p w:rsidR="00545D1B" w:rsidRPr="00742A04" w:rsidRDefault="00502088" w:rsidP="008B0B1F">
      <w:pPr>
        <w:pStyle w:val="SingleTxt"/>
        <w:numPr>
          <w:ilvl w:val="0"/>
          <w:numId w:val="44"/>
        </w:numPr>
        <w:tabs>
          <w:tab w:val="clear" w:pos="1742"/>
        </w:tabs>
      </w:pPr>
      <w:r w:rsidRPr="00742A04">
        <w:t>Examen de</w:t>
      </w:r>
      <w:r w:rsidR="00242371" w:rsidRPr="00742A04">
        <w:t xml:space="preserve">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los p</w:t>
      </w:r>
      <w:r w:rsidR="008015F1" w:rsidRPr="00742A04">
        <w:t>lan</w:t>
      </w:r>
      <w:r w:rsidRPr="00742A04">
        <w:t>es e</w:t>
      </w:r>
      <w:r w:rsidR="008015F1" w:rsidRPr="00742A04">
        <w:t>stratégico</w:t>
      </w:r>
      <w:r w:rsidR="00242371" w:rsidRPr="00742A04">
        <w:t>s</w:t>
      </w:r>
    </w:p>
    <w:p w:rsidR="00545D1B" w:rsidRPr="00742A04" w:rsidRDefault="004D313C" w:rsidP="008B0B1F">
      <w:pPr>
        <w:pStyle w:val="SingleTxt"/>
        <w:numPr>
          <w:ilvl w:val="0"/>
          <w:numId w:val="44"/>
        </w:numPr>
        <w:tabs>
          <w:tab w:val="clear" w:pos="1742"/>
        </w:tabs>
      </w:pPr>
      <w:r w:rsidRPr="00742A04">
        <w:t>Planes de acción</w:t>
      </w:r>
      <w:r w:rsidR="00545D1B" w:rsidRPr="00742A04">
        <w:t xml:space="preserve"> </w:t>
      </w:r>
      <w:r w:rsidR="00CC4794" w:rsidRPr="00742A04">
        <w:t>para la igualdad</w:t>
      </w:r>
      <w:r w:rsidR="00A05847" w:rsidRPr="00742A04">
        <w:t xml:space="preserve"> de género</w:t>
      </w:r>
      <w:r w:rsidR="00545D1B" w:rsidRPr="00742A04">
        <w:t xml:space="preserve"> – </w:t>
      </w:r>
      <w:r w:rsidR="00615664" w:rsidRPr="00742A04">
        <w:t>comprensión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 cuestión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C0DB8" w:rsidRPr="00742A04">
        <w:t>medidas</w:t>
      </w:r>
    </w:p>
    <w:p w:rsidR="00545D1B" w:rsidRPr="00742A04" w:rsidRDefault="00502088" w:rsidP="008B0B1F">
      <w:pPr>
        <w:pStyle w:val="SingleTxt"/>
        <w:numPr>
          <w:ilvl w:val="0"/>
          <w:numId w:val="44"/>
        </w:numPr>
        <w:tabs>
          <w:tab w:val="clear" w:pos="1742"/>
        </w:tabs>
      </w:pPr>
      <w:r w:rsidRPr="00742A04">
        <w:t>Informes presentados por las</w:t>
      </w:r>
      <w:r w:rsidR="00545D1B" w:rsidRPr="00742A04">
        <w:t xml:space="preserve"> institu</w:t>
      </w:r>
      <w:r w:rsidR="008907B8" w:rsidRPr="00742A04">
        <w:t>ciones</w:t>
      </w:r>
      <w:r w:rsidR="00E575DB" w:rsidRPr="00742A04">
        <w:t xml:space="preserve"> al </w:t>
      </w:r>
      <w:r w:rsidR="00CE1CFC" w:rsidRPr="00742A04">
        <w:t>Comité</w:t>
      </w:r>
      <w:r w:rsidR="003E5775" w:rsidRPr="00742A04">
        <w:t xml:space="preserve"> </w:t>
      </w:r>
      <w:r w:rsidRPr="00742A04">
        <w:t>hasta</w:t>
      </w:r>
      <w:r w:rsidR="003E5775" w:rsidRPr="00742A04">
        <w:t xml:space="preserve"> </w:t>
      </w:r>
      <w:r w:rsidR="00545D1B" w:rsidRPr="00742A04">
        <w:t xml:space="preserve">2004 – </w:t>
      </w:r>
      <w:r w:rsidRPr="00742A04">
        <w:t>situación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923A8" w:rsidRPr="00742A04">
        <w:t>estrategia</w:t>
      </w:r>
    </w:p>
    <w:p w:rsidR="00545D1B" w:rsidRPr="00742A04" w:rsidRDefault="0017038C" w:rsidP="00B2734A">
      <w:pPr>
        <w:pStyle w:val="SingleTxt"/>
        <w:ind w:firstLine="475"/>
      </w:pPr>
      <w:r w:rsidRPr="00742A04">
        <w:t>Con respecto a</w:t>
      </w:r>
      <w:r w:rsidR="00B2334F" w:rsidRPr="00742A04">
        <w:t xml:space="preserve"> l</w:t>
      </w:r>
      <w:r w:rsidR="001E30D6" w:rsidRPr="00742A04">
        <w:t xml:space="preserve">a </w:t>
      </w:r>
      <w:r w:rsidR="00072AD7" w:rsidRPr="00742A04">
        <w:t>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81187" w:rsidRPr="00742A04">
        <w:t>la planificación estratégica</w:t>
      </w:r>
      <w:r w:rsidR="00545D1B" w:rsidRPr="00742A04">
        <w:t xml:space="preserve">, </w:t>
      </w:r>
      <w:r w:rsidR="00B2334F" w:rsidRPr="00742A04">
        <w:t>el</w:t>
      </w:r>
      <w:r w:rsidR="00545D1B" w:rsidRPr="00742A04">
        <w:t xml:space="preserve"> mat</w:t>
      </w:r>
      <w:r w:rsidR="00545D1B" w:rsidRPr="00742A04">
        <w:t>e</w:t>
      </w:r>
      <w:r w:rsidR="00545D1B" w:rsidRPr="00742A04">
        <w:t xml:space="preserve">rial </w:t>
      </w:r>
      <w:r w:rsidR="00B2334F" w:rsidRPr="00742A04">
        <w:t>ilustra sobre</w:t>
      </w:r>
      <w:r w:rsidR="00545D1B" w:rsidRPr="00742A04">
        <w:t xml:space="preserve"> varia</w:t>
      </w:r>
      <w:r w:rsidR="008907B8" w:rsidRPr="00742A04">
        <w:t>ciones</w:t>
      </w:r>
      <w:r w:rsidR="00B2334F" w:rsidRPr="00742A04">
        <w:t xml:space="preserve"> significativas</w:t>
      </w:r>
      <w:r w:rsidR="00545D1B" w:rsidRPr="00742A04">
        <w:t xml:space="preserve">. </w:t>
      </w:r>
      <w:r w:rsidR="00232DF9" w:rsidRPr="00742A04">
        <w:t>Si</w:t>
      </w:r>
      <w:r w:rsidR="00545D1B" w:rsidRPr="00742A04">
        <w:t xml:space="preserve"> distingui</w:t>
      </w:r>
      <w:r w:rsidR="00B2334F" w:rsidRPr="00742A04">
        <w:t>mos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BD7DD0" w:rsidRPr="00742A04">
        <w:t>universidades</w:t>
      </w:r>
      <w:r w:rsidR="00545D1B" w:rsidRPr="00742A04">
        <w:t xml:space="preserve">, </w:t>
      </w:r>
      <w:r w:rsidR="00B2334F" w:rsidRPr="00742A04">
        <w:t>c</w:t>
      </w:r>
      <w:r w:rsidR="00B2334F" w:rsidRPr="00742A04">
        <w:t>o</w:t>
      </w:r>
      <w:r w:rsidR="00B2334F" w:rsidRPr="00742A04">
        <w:t>legios científicos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2334F" w:rsidRPr="00742A04">
        <w:t>colegios estatales</w:t>
      </w:r>
      <w:r w:rsidR="00545D1B" w:rsidRPr="00742A04">
        <w:t xml:space="preserve">, </w:t>
      </w:r>
      <w:r w:rsidR="00B2334F" w:rsidRPr="00742A04">
        <w:t>los colegios estatales</w:t>
      </w:r>
      <w:r w:rsidR="00545D1B" w:rsidRPr="00742A04">
        <w:t xml:space="preserve"> </w:t>
      </w:r>
      <w:r w:rsidR="00B2334F" w:rsidRPr="00742A04">
        <w:t>aparecen en la</w:t>
      </w:r>
      <w:r w:rsidR="00545D1B" w:rsidRPr="00742A04">
        <w:t xml:space="preserve"> </w:t>
      </w:r>
      <w:r w:rsidR="00B2334F" w:rsidRPr="00742A04">
        <w:t>peor s</w:t>
      </w:r>
      <w:r w:rsidR="00B2334F" w:rsidRPr="00742A04">
        <w:t>i</w:t>
      </w:r>
      <w:r w:rsidR="00B2334F" w:rsidRPr="00742A04">
        <w:t>tuación</w:t>
      </w:r>
      <w:r w:rsidR="00545D1B" w:rsidRPr="00742A04">
        <w:t xml:space="preserve">. </w:t>
      </w:r>
      <w:r w:rsidR="00A836A1" w:rsidRPr="00742A04">
        <w:t>Sólo</w:t>
      </w:r>
      <w:r w:rsidR="00545D1B" w:rsidRPr="00742A04">
        <w:t xml:space="preserve"> </w:t>
      </w:r>
      <w:r w:rsidR="00B2334F" w:rsidRPr="00742A04">
        <w:t>una pequeña</w:t>
      </w:r>
      <w:r w:rsidR="00545D1B" w:rsidRPr="00742A04">
        <w:t xml:space="preserve"> </w:t>
      </w:r>
      <w:r w:rsidR="00B2334F" w:rsidRPr="00742A04">
        <w:t>minoría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2334F" w:rsidRPr="00742A04">
        <w:t>ellos</w:t>
      </w:r>
      <w:r w:rsidR="00545D1B" w:rsidRPr="00742A04">
        <w:t xml:space="preserve"> men</w:t>
      </w:r>
      <w:r w:rsidR="00B2334F" w:rsidRPr="00742A04">
        <w:t>ciona a la</w:t>
      </w:r>
      <w:r w:rsidR="00C14BFF" w:rsidRPr="00742A04">
        <w:t xml:space="preserve"> </w:t>
      </w:r>
      <w:r w:rsidR="00A05847" w:rsidRPr="00742A04">
        <w:t>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97F41" w:rsidRPr="00742A04">
        <w:t>su</w:t>
      </w:r>
      <w:r w:rsidR="00B2334F" w:rsidRPr="00742A04">
        <w:t>s</w:t>
      </w:r>
      <w:r w:rsidR="00545D1B" w:rsidRPr="00742A04">
        <w:t xml:space="preserve"> </w:t>
      </w:r>
      <w:r w:rsidR="00256979">
        <w:t>p</w:t>
      </w:r>
      <w:r w:rsidR="00B2334F" w:rsidRPr="00742A04">
        <w:t>lanes estratégicos</w:t>
      </w:r>
      <w:r w:rsidR="00545D1B" w:rsidRPr="00742A04">
        <w:t xml:space="preserve">. </w:t>
      </w:r>
      <w:r w:rsidR="003C25BF" w:rsidRPr="00742A04">
        <w:t>Cuando</w:t>
      </w:r>
      <w:r w:rsidR="00545D1B" w:rsidRPr="00742A04">
        <w:t xml:space="preserve"> </w:t>
      </w:r>
      <w:r w:rsidR="00B2334F" w:rsidRPr="00742A04">
        <w:t xml:space="preserve">se menciona a la </w:t>
      </w:r>
      <w:r w:rsidR="00A05847" w:rsidRPr="00742A04">
        <w:t>igualdad de género</w:t>
      </w:r>
      <w:r w:rsidR="00545D1B" w:rsidRPr="00742A04">
        <w:t xml:space="preserve">, </w:t>
      </w:r>
      <w:r w:rsidR="00BD47D3" w:rsidRPr="00742A04">
        <w:t>es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1C6426" w:rsidRPr="00742A04">
        <w:t xml:space="preserve">como parte </w:t>
      </w:r>
      <w:r w:rsidR="004A0730" w:rsidRPr="00742A04">
        <w:t>de</w:t>
      </w:r>
      <w:r w:rsidR="00545D1B" w:rsidRPr="00742A04">
        <w:t xml:space="preserve"> </w:t>
      </w:r>
      <w:r w:rsidR="00B2334F" w:rsidRPr="00742A04">
        <w:t>las estrategias de política de personal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05119" w:rsidRPr="00742A04">
        <w:t>por consiguiente</w:t>
      </w:r>
      <w:r w:rsidR="00545D1B" w:rsidRPr="00742A04">
        <w:t xml:space="preserve"> </w:t>
      </w:r>
      <w:r w:rsidR="00B2334F" w:rsidRPr="00742A04">
        <w:t>dista de formar</w:t>
      </w:r>
      <w:r w:rsidR="00545D1B" w:rsidRPr="00742A04">
        <w:t xml:space="preserve"> </w:t>
      </w:r>
      <w:r w:rsidR="001633F4" w:rsidRPr="00742A04">
        <w:t>parte i</w:t>
      </w:r>
      <w:r w:rsidR="001633F4" w:rsidRPr="00742A04">
        <w:t>n</w:t>
      </w:r>
      <w:r w:rsidR="001633F4" w:rsidRPr="00742A04">
        <w:t>tegrante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1187" w:rsidRPr="00742A04">
        <w:t>la planificación estratégica</w:t>
      </w:r>
      <w:r w:rsidR="00B2334F" w:rsidRPr="00742A04">
        <w:t xml:space="preserve"> global</w:t>
      </w:r>
      <w:r w:rsidR="00545D1B" w:rsidRPr="00742A04">
        <w:t xml:space="preserve">. </w:t>
      </w:r>
      <w:r w:rsidR="00B2334F" w:rsidRPr="00742A04">
        <w:t>En suma</w:t>
      </w:r>
      <w:r w:rsidR="00545D1B" w:rsidRPr="00742A04">
        <w:t xml:space="preserve">, </w:t>
      </w:r>
      <w:r w:rsidR="00B2334F" w:rsidRPr="00742A04">
        <w:t xml:space="preserve">el sector de </w:t>
      </w:r>
      <w:r w:rsidR="00D66FC2" w:rsidRPr="00742A04">
        <w:t>la</w:t>
      </w:r>
      <w:r w:rsidR="00B2334F" w:rsidRPr="00742A04">
        <w:t>s</w:t>
      </w:r>
      <w:r w:rsidR="00D66FC2" w:rsidRPr="00742A04">
        <w:t xml:space="preserve"> </w:t>
      </w:r>
      <w:r w:rsidR="00B2334F" w:rsidRPr="00742A04">
        <w:t>u</w:t>
      </w:r>
      <w:r w:rsidR="00D66FC2" w:rsidRPr="00742A04">
        <w:t>niversid</w:t>
      </w:r>
      <w:r w:rsidR="00D66FC2" w:rsidRPr="00742A04">
        <w:t>a</w:t>
      </w:r>
      <w:r w:rsidR="00D66FC2" w:rsidRPr="00742A04">
        <w:t>d</w:t>
      </w:r>
      <w:r w:rsidR="00B2334F" w:rsidRPr="00742A04">
        <w:t>es</w:t>
      </w:r>
      <w:r w:rsidR="00545D1B" w:rsidRPr="00742A04">
        <w:t xml:space="preserve"> </w:t>
      </w:r>
      <w:r w:rsidR="00B2334F" w:rsidRPr="00742A04">
        <w:t>parece ser el que ha logrado</w:t>
      </w:r>
      <w:r w:rsidR="00545D1B" w:rsidRPr="00742A04">
        <w:t xml:space="preserve"> </w:t>
      </w:r>
      <w:r w:rsidR="00507A11" w:rsidRPr="00742A04">
        <w:t>más</w:t>
      </w:r>
      <w:r w:rsidR="00545D1B" w:rsidRPr="00742A04">
        <w:t xml:space="preserve"> progres</w:t>
      </w:r>
      <w:r w:rsidR="00B2334F" w:rsidRPr="00742A04">
        <w:t>o</w:t>
      </w:r>
      <w:r w:rsidR="00545D1B" w:rsidRPr="00742A04">
        <w:t xml:space="preserve">s </w:t>
      </w:r>
      <w:r w:rsidR="00C14BFF" w:rsidRPr="00742A04">
        <w:t>en</w:t>
      </w:r>
      <w:r w:rsidR="00545D1B" w:rsidRPr="00742A04">
        <w:t xml:space="preserve"> </w:t>
      </w:r>
      <w:r w:rsidR="00B2334F" w:rsidRPr="00742A04">
        <w:t xml:space="preserve">la </w:t>
      </w:r>
      <w:r w:rsidR="00545D1B" w:rsidRPr="00742A04">
        <w:t>integra</w:t>
      </w:r>
      <w:r w:rsidR="00B2334F" w:rsidRPr="00742A04">
        <w:t>ción de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 </w:t>
      </w:r>
      <w:r w:rsidR="00B2334F" w:rsidRPr="00742A04">
        <w:t>en los documentos de</w:t>
      </w:r>
      <w:r w:rsidR="00B81187" w:rsidRPr="00742A04">
        <w:t xml:space="preserve"> planificación estrat</w:t>
      </w:r>
      <w:r w:rsidR="00B81187" w:rsidRPr="00742A04">
        <w:t>é</w:t>
      </w:r>
      <w:r w:rsidR="00B81187" w:rsidRPr="00742A04">
        <w:t>gica</w:t>
      </w:r>
      <w:r w:rsidR="00545D1B" w:rsidRPr="00742A04">
        <w:t>.</w:t>
      </w:r>
    </w:p>
    <w:p w:rsidR="000A08D8" w:rsidRPr="00742A04" w:rsidRDefault="00B2334F" w:rsidP="00B2734A">
      <w:pPr>
        <w:pStyle w:val="SingleTxt"/>
        <w:ind w:firstLine="475"/>
      </w:pPr>
      <w:r w:rsidRPr="00742A04">
        <w:t>Una gran</w:t>
      </w:r>
      <w:r w:rsidR="00545D1B" w:rsidRPr="00742A04">
        <w:t xml:space="preserve"> </w:t>
      </w:r>
      <w:r w:rsidR="00B0197C" w:rsidRPr="00742A04">
        <w:t>mayoría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las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 </w:t>
      </w:r>
      <w:r w:rsidRPr="00742A04">
        <w:t>tienen en vigor</w:t>
      </w:r>
      <w:r w:rsidR="00545D1B" w:rsidRPr="00742A04">
        <w:t xml:space="preserve"> </w:t>
      </w:r>
      <w:r w:rsidR="003E4840" w:rsidRPr="00742A04">
        <w:t>un plan de acción</w:t>
      </w:r>
      <w:r w:rsidR="00545D1B" w:rsidRPr="00742A04">
        <w:t xml:space="preserve"> </w:t>
      </w:r>
      <w:r w:rsidR="00F43124" w:rsidRPr="00742A04">
        <w:t>para</w:t>
      </w:r>
      <w:r w:rsidRPr="00742A04">
        <w:t xml:space="preserve">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4F2F8A" w:rsidRPr="00742A04">
        <w:t>la implementación</w:t>
      </w:r>
      <w:r w:rsidR="00C14BFF" w:rsidRPr="00742A04">
        <w:t xml:space="preserve"> </w:t>
      </w:r>
      <w:r w:rsidRPr="00742A04">
        <w:t>de los planes</w:t>
      </w:r>
      <w:r w:rsidR="00545D1B" w:rsidRPr="00742A04">
        <w:t xml:space="preserve"> depend</w:t>
      </w:r>
      <w:r w:rsidRPr="00742A04">
        <w:t>e</w:t>
      </w:r>
      <w:r w:rsidR="00545D1B" w:rsidRPr="00742A04">
        <w:t xml:space="preserve">, </w:t>
      </w:r>
      <w:r w:rsidR="00232DF9" w:rsidRPr="00742A04">
        <w:t>entre otras cosas</w:t>
      </w:r>
      <w:r w:rsidR="00545D1B" w:rsidRPr="00742A04">
        <w:t xml:space="preserve">, </w:t>
      </w:r>
      <w:r w:rsidRPr="00742A04">
        <w:t>de</w:t>
      </w:r>
      <w:r w:rsidR="00545D1B" w:rsidRPr="00742A04">
        <w:t xml:space="preserve"> </w:t>
      </w:r>
      <w:r w:rsidRPr="00742A04">
        <w:t>la forma en que</w:t>
      </w:r>
      <w:r w:rsidR="00545D1B" w:rsidRPr="00742A04">
        <w:t xml:space="preserve"> </w:t>
      </w:r>
      <w:r w:rsidRPr="00742A04">
        <w:t>s</w:t>
      </w:r>
      <w:r w:rsidR="00BB4DB1" w:rsidRPr="00742A04">
        <w:t>e</w:t>
      </w:r>
      <w:r w:rsidR="00545D1B" w:rsidRPr="00742A04">
        <w:t xml:space="preserve"> </w:t>
      </w:r>
      <w:r w:rsidRPr="00742A04">
        <w:t>entienda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defin</w:t>
      </w:r>
      <w:r w:rsidRPr="00742A04">
        <w:t>a la igualdad</w:t>
      </w:r>
      <w:r w:rsidR="00545D1B" w:rsidRPr="00742A04">
        <w:t xml:space="preserve">, </w:t>
      </w:r>
      <w:r w:rsidRPr="00742A04">
        <w:t>del lugar en que e</w:t>
      </w:r>
      <w:r w:rsidRPr="00742A04">
        <w:t>s</w:t>
      </w:r>
      <w:r w:rsidRPr="00742A04">
        <w:t>tén ubicadas las medidas para la</w:t>
      </w:r>
      <w:r w:rsidR="00545D1B" w:rsidRPr="00742A04">
        <w:t xml:space="preserve"> </w:t>
      </w:r>
      <w:r w:rsidR="00552048" w:rsidRPr="00742A04">
        <w:t xml:space="preserve">incorporación </w:t>
      </w:r>
      <w:r w:rsidR="00F43124" w:rsidRPr="00742A04">
        <w:t xml:space="preserve">de la </w:t>
      </w:r>
      <w:r w:rsidR="00552048" w:rsidRPr="00742A04">
        <w:t>perspectiva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de la amplitud con que se</w:t>
      </w:r>
      <w:r w:rsidR="00545D1B" w:rsidRPr="00742A04">
        <w:t xml:space="preserve"> defin</w:t>
      </w:r>
      <w:r w:rsidRPr="00742A04">
        <w:t>an</w:t>
      </w:r>
      <w:r w:rsidR="00545D1B" w:rsidRPr="00742A04">
        <w:t xml:space="preserve"> </w:t>
      </w:r>
      <w:r w:rsidR="00877AA0" w:rsidRPr="00742A04">
        <w:t>y</w:t>
      </w:r>
      <w:r w:rsidRPr="00742A04">
        <w:t xml:space="preserve"> la</w:t>
      </w:r>
      <w:r w:rsidR="00545D1B" w:rsidRPr="00742A04">
        <w:t xml:space="preserve"> re</w:t>
      </w:r>
      <w:r w:rsidRPr="00742A04">
        <w:t>levancia que efectivamente tengan</w:t>
      </w:r>
      <w:r w:rsidR="00545D1B" w:rsidRPr="00742A04">
        <w:t xml:space="preserve"> </w:t>
      </w:r>
      <w:r w:rsidR="005C39D4" w:rsidRPr="00742A04">
        <w:t>las medidas</w:t>
      </w:r>
      <w:r w:rsidR="00545D1B" w:rsidRPr="00742A04">
        <w:t xml:space="preserve">. </w:t>
      </w:r>
      <w:r w:rsidRPr="00742A04">
        <w:t>También son importantes a este respecto las c</w:t>
      </w:r>
      <w:r w:rsidR="00545D1B" w:rsidRPr="00742A04">
        <w:t>ues</w:t>
      </w:r>
      <w:r w:rsidRPr="00742A04">
        <w:t>t</w:t>
      </w:r>
      <w:r w:rsidR="008907B8" w:rsidRPr="00742A04">
        <w:t>iones</w:t>
      </w:r>
      <w:r w:rsidR="00545D1B" w:rsidRPr="00742A04">
        <w:t xml:space="preserve"> </w:t>
      </w:r>
      <w:r w:rsidR="00072AD7" w:rsidRPr="00742A04">
        <w:t>relativa</w:t>
      </w:r>
      <w:r w:rsidRPr="00742A04">
        <w:t>s</w:t>
      </w:r>
      <w:r w:rsidR="00072AD7" w:rsidRPr="00742A04">
        <w:t xml:space="preserve"> a</w:t>
      </w:r>
      <w:r w:rsidR="00545D1B" w:rsidRPr="00742A04">
        <w:t xml:space="preserve"> </w:t>
      </w:r>
      <w:r w:rsidR="00ED6A69" w:rsidRPr="00742A04">
        <w:t>las cifras</w:t>
      </w:r>
      <w:r w:rsidRPr="00742A04">
        <w:t xml:space="preserve"> fijadas como metas</w:t>
      </w:r>
      <w:r w:rsidR="00545D1B" w:rsidRPr="00742A04">
        <w:t xml:space="preserve">, </w:t>
      </w:r>
      <w:r w:rsidRPr="00742A04">
        <w:t xml:space="preserve">a los planes de </w:t>
      </w:r>
      <w:r w:rsidR="002E5047" w:rsidRPr="00742A04">
        <w:t>contratación</w:t>
      </w:r>
      <w:r w:rsidRPr="00742A04">
        <w:t xml:space="preserve"> local</w:t>
      </w:r>
      <w:r w:rsidR="00545D1B" w:rsidRPr="00742A04">
        <w:t xml:space="preserve">, </w:t>
      </w:r>
      <w:r w:rsidRPr="00742A04">
        <w:t xml:space="preserve">a </w:t>
      </w:r>
      <w:r w:rsidR="00F97F41" w:rsidRPr="00742A04">
        <w:t>su</w:t>
      </w:r>
      <w:r w:rsidR="00545D1B" w:rsidRPr="00742A04">
        <w:t xml:space="preserve"> </w:t>
      </w:r>
      <w:r w:rsidR="007C65B3" w:rsidRPr="00742A04">
        <w:t>propio</w:t>
      </w:r>
      <w:r w:rsidR="00545D1B" w:rsidRPr="00742A04">
        <w:t xml:space="preserve"> </w:t>
      </w:r>
      <w:r w:rsidRPr="00742A04">
        <w:t xml:space="preserve">presupuesto para la </w:t>
      </w:r>
      <w:r w:rsidRPr="00742A04">
        <w:t>i</w:t>
      </w:r>
      <w:r w:rsidRPr="00742A04">
        <w:t>gualdad de género</w:t>
      </w:r>
      <w:r w:rsidR="00545D1B" w:rsidRPr="00742A04">
        <w:t xml:space="preserve">, </w:t>
      </w:r>
      <w:r w:rsidR="00A742D4" w:rsidRPr="00742A04">
        <w:t>a los incentivos financieros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742D4" w:rsidRPr="00742A04">
        <w:t>a otros</w:t>
      </w:r>
      <w:r w:rsidR="00545D1B" w:rsidRPr="00742A04">
        <w:t xml:space="preserve"> </w:t>
      </w:r>
      <w:r w:rsidR="00615664" w:rsidRPr="00742A04">
        <w:t>tipos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C5A2B" w:rsidRPr="00742A04">
        <w:t>instrumentos</w:t>
      </w:r>
      <w:r w:rsidR="00545D1B" w:rsidRPr="00742A04">
        <w:t xml:space="preserve">. </w:t>
      </w:r>
      <w:r w:rsidR="00A742D4" w:rsidRPr="00742A04">
        <w:t xml:space="preserve">Con </w:t>
      </w:r>
      <w:r w:rsidR="00894371" w:rsidRPr="00742A04">
        <w:t>frecuencia</w:t>
      </w:r>
      <w:r w:rsidR="00A742D4" w:rsidRPr="00742A04">
        <w:t xml:space="preserve"> existe una tendencia a que no existan los</w:t>
      </w:r>
      <w:r w:rsidR="00545D1B" w:rsidRPr="00742A04">
        <w:t xml:space="preserve"> </w:t>
      </w:r>
      <w:r w:rsidR="00615664" w:rsidRPr="00742A04">
        <w:t>tipos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A742D4" w:rsidRPr="00742A04">
        <w:t>indicados</w:t>
      </w:r>
      <w:r w:rsidR="00545D1B" w:rsidRPr="00742A04">
        <w:t xml:space="preserve">. </w:t>
      </w:r>
      <w:r w:rsidR="00A742D4" w:rsidRPr="00742A04">
        <w:t>A pesar de una</w:t>
      </w:r>
      <w:r w:rsidR="00545D1B" w:rsidRPr="00742A04">
        <w:t xml:space="preserve"> </w:t>
      </w:r>
      <w:r w:rsidR="00032136" w:rsidRPr="00742A04">
        <w:t>clara</w:t>
      </w:r>
      <w:r w:rsidR="00545D1B" w:rsidRPr="00742A04">
        <w:t xml:space="preserve"> defin</w:t>
      </w:r>
      <w:r w:rsidR="00A742D4" w:rsidRPr="00742A04">
        <w:t>ición de</w:t>
      </w:r>
      <w:r w:rsidR="00545D1B" w:rsidRPr="00742A04">
        <w:t xml:space="preserve"> </w:t>
      </w:r>
      <w:r w:rsidR="00B81187" w:rsidRPr="00742A04">
        <w:t>metas</w:t>
      </w:r>
      <w:r w:rsidR="00545D1B" w:rsidRPr="00742A04">
        <w:t xml:space="preserve"> </w:t>
      </w:r>
      <w:r w:rsidR="00F43124" w:rsidRPr="00742A04">
        <w:t>par</w:t>
      </w:r>
      <w:r w:rsidR="00D62786" w:rsidRPr="00742A04">
        <w:t>a</w:t>
      </w:r>
      <w:r w:rsidR="00A742D4" w:rsidRPr="00742A04">
        <w:t xml:space="preserve"> e</w:t>
      </w:r>
      <w:r w:rsidR="00D62786" w:rsidRPr="00742A04">
        <w:t>l incremento de</w:t>
      </w:r>
      <w:r w:rsidR="00545D1B" w:rsidRPr="00742A04">
        <w:t xml:space="preserve"> </w:t>
      </w:r>
      <w:r w:rsidR="00A742D4" w:rsidRPr="00742A04">
        <w:t xml:space="preserve">la </w:t>
      </w:r>
      <w:r w:rsidR="00A05847" w:rsidRPr="00742A04">
        <w:t>igualdad de género</w:t>
      </w:r>
      <w:r w:rsidR="00545D1B" w:rsidRPr="00742A04">
        <w:t xml:space="preserve">, </w:t>
      </w:r>
      <w:r w:rsidR="00CE7870" w:rsidRPr="00742A04">
        <w:t>much</w:t>
      </w:r>
      <w:r w:rsidR="00A742D4" w:rsidRPr="00742A04">
        <w:t>a</w:t>
      </w:r>
      <w:r w:rsidR="00CE7870" w:rsidRPr="00742A04">
        <w:t>s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 </w:t>
      </w:r>
      <w:r w:rsidR="00A742D4" w:rsidRPr="00742A04">
        <w:t>carecen de una voluntad</w:t>
      </w:r>
      <w:r w:rsidR="00545D1B" w:rsidRPr="00742A04">
        <w:t xml:space="preserve"> </w:t>
      </w:r>
      <w:r w:rsidR="00581775" w:rsidRPr="00742A04">
        <w:t>igua</w:t>
      </w:r>
      <w:r w:rsidR="005F7B32" w:rsidRPr="00742A04">
        <w:t xml:space="preserve">lmente </w:t>
      </w:r>
      <w:r w:rsidR="00C07ED9" w:rsidRPr="00742A04">
        <w:t>clara</w:t>
      </w:r>
      <w:r w:rsidR="00A742D4" w:rsidRPr="00742A04">
        <w:t xml:space="preserve"> de</w:t>
      </w:r>
      <w:r w:rsidR="00545D1B" w:rsidRPr="00742A04">
        <w:t xml:space="preserve"> </w:t>
      </w:r>
      <w:r w:rsidR="00417824" w:rsidRPr="00742A04">
        <w:t>aplicar</w:t>
      </w:r>
      <w:r w:rsidR="00A742D4" w:rsidRPr="00742A04">
        <w:t xml:space="preserve"> las</w:t>
      </w:r>
      <w:r w:rsidR="00417824" w:rsidRPr="00742A04">
        <w:t xml:space="preserve"> med</w:t>
      </w:r>
      <w:r w:rsidR="00417824" w:rsidRPr="00742A04">
        <w:t>i</w:t>
      </w:r>
      <w:r w:rsidR="00417824" w:rsidRPr="00742A04">
        <w:t>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742D4" w:rsidRPr="00742A04">
        <w:t xml:space="preserve">las </w:t>
      </w:r>
      <w:r w:rsidR="00DC0DB8" w:rsidRPr="00742A04">
        <w:t>medidas</w:t>
      </w:r>
      <w:r w:rsidR="00A742D4" w:rsidRPr="00742A04">
        <w:t xml:space="preserve"> carecen de amplitud</w:t>
      </w:r>
      <w:r w:rsidR="00545D1B" w:rsidRPr="00742A04">
        <w:t xml:space="preserve">. </w:t>
      </w:r>
      <w:r w:rsidR="00CF2F77" w:rsidRPr="00742A04">
        <w:t>Es</w:t>
      </w:r>
      <w:r w:rsidR="00545D1B" w:rsidRPr="00742A04">
        <w:t xml:space="preserve"> </w:t>
      </w:r>
      <w:r w:rsidR="00A742D4" w:rsidRPr="00742A04">
        <w:t>cierto que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E5775" w:rsidRPr="00742A04">
        <w:t>indica que</w:t>
      </w:r>
      <w:r w:rsidR="00545D1B" w:rsidRPr="00742A04">
        <w:t xml:space="preserve"> </w:t>
      </w:r>
      <w:r w:rsidR="00CE7870" w:rsidRPr="00742A04">
        <w:t>mu</w:t>
      </w:r>
      <w:r w:rsidR="00A742D4" w:rsidRPr="00742A04">
        <w:t>cha</w:t>
      </w:r>
      <w:r w:rsidR="00CE7870" w:rsidRPr="00742A04">
        <w:t>s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 </w:t>
      </w:r>
      <w:r w:rsidR="00A742D4" w:rsidRPr="00742A04">
        <w:t>están en vías de incorporar a su programa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A742D4" w:rsidRPr="00742A04">
        <w:t>más concr</w:t>
      </w:r>
      <w:r w:rsidR="00A742D4" w:rsidRPr="00742A04">
        <w:t>e</w:t>
      </w:r>
      <w:r w:rsidR="00A742D4" w:rsidRPr="00742A04">
        <w:t>tas y con destinatarios precisos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4B0EC3" w:rsidRPr="00742A04">
        <w:t>cali</w:t>
      </w:r>
      <w:r w:rsidR="00545D1B" w:rsidRPr="00742A04">
        <w:t>f</w:t>
      </w:r>
      <w:r w:rsidR="00A742D4" w:rsidRPr="00742A04">
        <w:t>icaciones para</w:t>
      </w:r>
      <w:r w:rsidR="00545D1B" w:rsidRPr="00742A04">
        <w:t xml:space="preserve"> </w:t>
      </w:r>
      <w:r w:rsidR="00A742D4" w:rsidRPr="00742A04">
        <w:t>e</w:t>
      </w:r>
      <w:r w:rsidR="00545D1B" w:rsidRPr="00742A04">
        <w:t>stipend</w:t>
      </w:r>
      <w:r w:rsidR="00A742D4" w:rsidRPr="00742A04">
        <w:t>io</w:t>
      </w:r>
      <w:r w:rsidR="00545D1B" w:rsidRPr="00742A04">
        <w:t xml:space="preserve">s </w:t>
      </w:r>
      <w:r w:rsidR="008E5EBF" w:rsidRPr="00742A04">
        <w:t>o</w:t>
      </w:r>
      <w:r w:rsidR="00545D1B" w:rsidRPr="00742A04">
        <w:t xml:space="preserve"> exe</w:t>
      </w:r>
      <w:r w:rsidR="00A742D4" w:rsidRPr="00742A04">
        <w:t>n</w:t>
      </w:r>
      <w:r w:rsidR="00C14BFF" w:rsidRPr="00742A04">
        <w:t xml:space="preserve">ción </w:t>
      </w:r>
      <w:r w:rsidR="008F0C8E" w:rsidRPr="00742A04">
        <w:t>de</w:t>
      </w:r>
      <w:r w:rsidR="00545D1B" w:rsidRPr="00742A04">
        <w:t xml:space="preserve"> </w:t>
      </w:r>
      <w:r w:rsidR="00A742D4" w:rsidRPr="00742A04">
        <w:t>colegiatura</w:t>
      </w:r>
      <w:r w:rsidR="00C14BFF" w:rsidRPr="00742A04">
        <w:t xml:space="preserve"> </w:t>
      </w:r>
      <w:r w:rsidR="00F43124" w:rsidRPr="00742A04">
        <w:t>para</w:t>
      </w:r>
      <w:r w:rsidR="00A742D4" w:rsidRPr="00742A04">
        <w:t xml:space="preserve"> las</w:t>
      </w:r>
      <w:r w:rsidR="00545D1B" w:rsidRPr="00742A04">
        <w:t xml:space="preserve"> </w:t>
      </w:r>
      <w:r w:rsidR="000220D6" w:rsidRPr="00742A04">
        <w:t>muj</w:t>
      </w:r>
      <w:r w:rsidR="000220D6" w:rsidRPr="00742A04">
        <w:t>e</w:t>
      </w:r>
      <w:r w:rsidR="000220D6" w:rsidRPr="00742A04">
        <w:t>res</w:t>
      </w:r>
      <w:r w:rsidR="00545D1B" w:rsidRPr="00742A04">
        <w:t xml:space="preserve"> </w:t>
      </w:r>
      <w:r w:rsidR="00A742D4" w:rsidRPr="00742A04">
        <w:t>que ingresen</w:t>
      </w:r>
      <w:r w:rsidR="000A08D8" w:rsidRPr="00742A04">
        <w:t>.</w:t>
      </w:r>
    </w:p>
    <w:p w:rsidR="000A08D8" w:rsidRPr="00742A04" w:rsidRDefault="00A742D4" w:rsidP="00B2734A">
      <w:pPr>
        <w:pStyle w:val="SingleTxt"/>
        <w:ind w:firstLine="475"/>
      </w:pPr>
      <w:r w:rsidRPr="00742A04">
        <w:t>Como</w:t>
      </w:r>
      <w:r w:rsidR="00545D1B" w:rsidRPr="00742A04">
        <w:t xml:space="preserve"> </w:t>
      </w:r>
      <w:r w:rsidR="00495D7B" w:rsidRPr="00742A04">
        <w:t>ya</w:t>
      </w:r>
      <w:r w:rsidR="00545D1B" w:rsidRPr="00742A04">
        <w:t xml:space="preserve"> </w:t>
      </w:r>
      <w:r w:rsidRPr="00742A04">
        <w:t xml:space="preserve">se </w:t>
      </w:r>
      <w:r w:rsidR="00545D1B" w:rsidRPr="00742A04">
        <w:t>indic</w:t>
      </w:r>
      <w:r w:rsidRPr="00742A04">
        <w:t>ó</w:t>
      </w:r>
      <w:r w:rsidR="00545D1B" w:rsidRPr="00742A04">
        <w:t>,</w:t>
      </w:r>
      <w:r w:rsidRPr="00742A04">
        <w:t xml:space="preserve"> son sumamente variables</w:t>
      </w:r>
      <w:r w:rsidR="00545D1B" w:rsidRPr="00742A04">
        <w:t xml:space="preserve"> </w:t>
      </w:r>
      <w:r w:rsidRPr="00742A04">
        <w:t xml:space="preserve">los </w:t>
      </w:r>
      <w:r w:rsidR="00242371" w:rsidRPr="00742A04">
        <w:t>planes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 </w:t>
      </w:r>
      <w:r w:rsidR="00552048" w:rsidRPr="00742A04">
        <w:t xml:space="preserve">incorporación </w:t>
      </w:r>
      <w:r w:rsidR="00F43124" w:rsidRPr="00742A04">
        <w:t xml:space="preserve">de la </w:t>
      </w:r>
      <w:r w:rsidR="00552048" w:rsidRPr="00742A04">
        <w:t>perspectiva de género</w:t>
      </w:r>
      <w:r w:rsidR="00545D1B" w:rsidRPr="00742A04">
        <w:t>, inclu</w:t>
      </w:r>
      <w:r w:rsidRPr="00742A04">
        <w:t>idas las</w:t>
      </w:r>
      <w:r w:rsidR="00545D1B" w:rsidRPr="00742A04">
        <w:t xml:space="preserve"> </w:t>
      </w:r>
      <w:r w:rsidR="00A05847" w:rsidRPr="00742A04">
        <w:t>medidas especiales</w:t>
      </w:r>
      <w:r w:rsidR="00545D1B" w:rsidRPr="00742A04">
        <w:t xml:space="preserve"> </w:t>
      </w:r>
      <w:r w:rsidR="006F425C">
        <w:t>par</w:t>
      </w:r>
      <w:r w:rsidR="0030626A" w:rsidRPr="00742A04">
        <w:t>a</w:t>
      </w:r>
      <w:r w:rsidR="00545D1B" w:rsidRPr="00742A04">
        <w:t xml:space="preserve"> rec</w:t>
      </w:r>
      <w:r w:rsidRPr="00742A04">
        <w:t>lutar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Pr="00742A04">
        <w:t>par</w:t>
      </w:r>
      <w:r w:rsidR="0030626A" w:rsidRPr="00742A04">
        <w:t>a</w:t>
      </w:r>
      <w:r w:rsidR="00545D1B" w:rsidRPr="00742A04">
        <w:t xml:space="preserve"> </w:t>
      </w:r>
      <w:r w:rsidRPr="00742A04">
        <w:t>becas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 xml:space="preserve">puestos </w:t>
      </w:r>
      <w:r w:rsidR="00545D1B" w:rsidRPr="00742A04">
        <w:t>postdoctoral</w:t>
      </w:r>
      <w:r w:rsidR="008907B8" w:rsidRPr="00742A04">
        <w:t>es</w:t>
      </w:r>
      <w:r w:rsidR="00545D1B" w:rsidRPr="00742A04">
        <w:t xml:space="preserve">. </w:t>
      </w:r>
      <w:r w:rsidRPr="00742A04">
        <w:t>En suma</w:t>
      </w:r>
      <w:r w:rsidR="00545D1B" w:rsidRPr="00742A04">
        <w:t xml:space="preserve">, </w:t>
      </w:r>
      <w:r w:rsidRPr="00742A04">
        <w:t>de los informes del sector de las un</w:t>
      </w:r>
      <w:r w:rsidRPr="00742A04">
        <w:t>i</w:t>
      </w:r>
      <w:r w:rsidRPr="00742A04">
        <w:t>versidades surge un perfil bastante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integra</w:t>
      </w:r>
      <w:r w:rsidRPr="00742A04">
        <w:t>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proactiv</w:t>
      </w:r>
      <w:r w:rsidRPr="00742A04">
        <w:t>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E1CFC" w:rsidRPr="00742A04">
        <w:t>la esfera</w:t>
      </w:r>
      <w:r w:rsidR="00545D1B" w:rsidRPr="00742A04">
        <w:t xml:space="preserve"> </w:t>
      </w:r>
      <w:r w:rsidR="00242371" w:rsidRPr="00742A04">
        <w:t>de la igualdad</w:t>
      </w:r>
      <w:r w:rsidR="00A05847" w:rsidRPr="00742A04">
        <w:t xml:space="preserve"> de género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rest</w:t>
      </w:r>
      <w:r w:rsidRPr="00742A04">
        <w:t>o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sector. </w:t>
      </w:r>
      <w:r w:rsidR="00CB0483" w:rsidRPr="00742A04">
        <w:t>Sin embargo</w:t>
      </w:r>
      <w:r w:rsidR="00545D1B" w:rsidRPr="00742A04">
        <w:t xml:space="preserve">, </w:t>
      </w:r>
      <w:r w:rsidRPr="00742A04">
        <w:t>aun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Pr="00742A04">
        <w:t xml:space="preserve">las distintas </w:t>
      </w:r>
      <w:r w:rsidR="00BD7DD0" w:rsidRPr="00742A04">
        <w:t>un</w:t>
      </w:r>
      <w:r w:rsidR="00BD7DD0" w:rsidRPr="00742A04">
        <w:t>i</w:t>
      </w:r>
      <w:r w:rsidR="00BD7DD0" w:rsidRPr="00742A04">
        <w:t>versidades</w:t>
      </w:r>
      <w:r w:rsidR="00545D1B" w:rsidRPr="00742A04">
        <w:t xml:space="preserve"> </w:t>
      </w:r>
      <w:r w:rsidR="00021DB5" w:rsidRPr="00742A04">
        <w:t>hay</w:t>
      </w:r>
      <w:r w:rsidR="00545D1B" w:rsidRPr="00742A04">
        <w:t xml:space="preserve"> varia</w:t>
      </w:r>
      <w:r w:rsidR="008907B8" w:rsidRPr="00742A04">
        <w:t>ciones</w:t>
      </w:r>
      <w:r w:rsidRPr="00742A04">
        <w:t xml:space="preserve"> signif</w:t>
      </w:r>
      <w:r w:rsidRPr="00742A04">
        <w:t>i</w:t>
      </w:r>
      <w:r w:rsidRPr="00742A04">
        <w:t>cativas</w:t>
      </w:r>
      <w:r w:rsidR="000A08D8" w:rsidRPr="00742A04">
        <w:t>.</w:t>
      </w:r>
    </w:p>
    <w:p w:rsidR="00545D1B" w:rsidRPr="00742A04" w:rsidRDefault="004A0730" w:rsidP="00B2734A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130F7F" w:rsidRPr="00742A04">
        <w:t>otras palabras</w:t>
      </w:r>
      <w:r w:rsidR="00545D1B" w:rsidRPr="00742A04">
        <w:t xml:space="preserve">, </w:t>
      </w:r>
      <w:r w:rsidR="00A742D4" w:rsidRPr="00742A04">
        <w:t>el sector</w:t>
      </w:r>
      <w:r w:rsidR="00545D1B" w:rsidRPr="00742A04">
        <w:t xml:space="preserve"> </w:t>
      </w:r>
      <w:r w:rsidR="00A742D4" w:rsidRPr="00742A04">
        <w:t>en su conjunto</w:t>
      </w:r>
      <w:r w:rsidR="00545D1B" w:rsidRPr="00742A04">
        <w:t xml:space="preserve"> </w:t>
      </w:r>
      <w:r w:rsidR="008622FD" w:rsidRPr="00742A04">
        <w:t xml:space="preserve">parece </w:t>
      </w:r>
      <w:r w:rsidR="00A742D4" w:rsidRPr="00742A04">
        <w:t>estar muy lejos de haber el</w:t>
      </w:r>
      <w:r w:rsidR="00A742D4" w:rsidRPr="00742A04">
        <w:t>a</w:t>
      </w:r>
      <w:r w:rsidR="00A742D4" w:rsidRPr="00742A04">
        <w:t>borado</w:t>
      </w:r>
      <w:r w:rsidR="00545D1B" w:rsidRPr="00742A04">
        <w:t xml:space="preserve"> </w:t>
      </w:r>
      <w:r w:rsidR="00B2334F" w:rsidRPr="00742A04">
        <w:t>estrategias</w:t>
      </w:r>
      <w:r w:rsidR="00545D1B" w:rsidRPr="00742A04">
        <w:t xml:space="preserve"> </w:t>
      </w:r>
      <w:r w:rsidR="00A742D4" w:rsidRPr="00742A04">
        <w:t>que reconozcan que la</w:t>
      </w:r>
      <w:r w:rsidR="00545D1B" w:rsidRPr="00742A04">
        <w:t xml:space="preserve"> </w:t>
      </w:r>
      <w:r w:rsidR="00552048" w:rsidRPr="00742A04">
        <w:t xml:space="preserve">incorporación </w:t>
      </w:r>
      <w:r w:rsidR="00F43124" w:rsidRPr="00742A04">
        <w:t xml:space="preserve">de la </w:t>
      </w:r>
      <w:r w:rsidR="00552048" w:rsidRPr="00742A04">
        <w:t>perspectiva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742D4" w:rsidRPr="00742A04">
        <w:t>el consiguiente</w:t>
      </w:r>
      <w:r w:rsidR="005E6919" w:rsidRPr="00742A04">
        <w:t xml:space="preserve"> mejor equilibrio de género</w:t>
      </w:r>
      <w:r w:rsidR="00545D1B" w:rsidRPr="00742A04">
        <w:t xml:space="preserve"> </w:t>
      </w:r>
      <w:r w:rsidR="000A5430" w:rsidRPr="00742A04">
        <w:t>contribu</w:t>
      </w:r>
      <w:r w:rsidR="00A742D4" w:rsidRPr="00742A04">
        <w:t>yen a</w:t>
      </w:r>
      <w:r w:rsidR="00545D1B" w:rsidRPr="00742A04">
        <w:t xml:space="preserve"> </w:t>
      </w:r>
      <w:r w:rsidR="005E6919" w:rsidRPr="00742A04">
        <w:t>lograr</w:t>
      </w:r>
      <w:r w:rsidR="00545D1B" w:rsidRPr="00742A04">
        <w:t xml:space="preserve"> </w:t>
      </w:r>
      <w:r w:rsidR="00A742D4" w:rsidRPr="00742A04">
        <w:t>los objetivos estr</w:t>
      </w:r>
      <w:r w:rsidR="00545D1B" w:rsidRPr="00742A04">
        <w:t>a</w:t>
      </w:r>
      <w:r w:rsidR="00545D1B" w:rsidRPr="00742A04">
        <w:t>t</w:t>
      </w:r>
      <w:r w:rsidR="00A742D4" w:rsidRPr="00742A04">
        <w:t>é</w:t>
      </w:r>
      <w:r w:rsidR="00545D1B" w:rsidRPr="00742A04">
        <w:t>gic</w:t>
      </w:r>
      <w:r w:rsidR="00A742D4" w:rsidRPr="00742A04">
        <w:t>os globales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A742D4" w:rsidRPr="00742A04">
        <w:t>las</w:t>
      </w:r>
      <w:r w:rsidR="00545D1B" w:rsidRPr="00742A04">
        <w:t xml:space="preserve"> institu</w:t>
      </w:r>
      <w:r w:rsidR="008907B8" w:rsidRPr="00742A04">
        <w:t>ciones</w:t>
      </w:r>
      <w:r w:rsidR="00545D1B" w:rsidRPr="00742A04">
        <w:t xml:space="preserve">. </w:t>
      </w:r>
      <w:r w:rsidR="00A742D4" w:rsidRPr="00742A04">
        <w:t>Sin embargo, como hemos indicado</w:t>
      </w:r>
      <w:r w:rsidR="00545D1B" w:rsidRPr="00742A04">
        <w:t xml:space="preserve"> </w:t>
      </w:r>
      <w:r w:rsidR="00041F24" w:rsidRPr="00742A04">
        <w:t>anterio</w:t>
      </w:r>
      <w:r w:rsidR="00041F24" w:rsidRPr="00742A04">
        <w:t>r</w:t>
      </w:r>
      <w:r w:rsidR="00041F24" w:rsidRPr="00742A04">
        <w:t>mente</w:t>
      </w:r>
      <w:r w:rsidR="00545D1B" w:rsidRPr="00742A04">
        <w:t xml:space="preserve">, </w:t>
      </w:r>
      <w:r w:rsidR="00BA1560" w:rsidRPr="00742A04">
        <w:t xml:space="preserve">en el informe </w:t>
      </w:r>
      <w:r w:rsidR="00021DB5" w:rsidRPr="00742A04">
        <w:t>hay</w:t>
      </w:r>
      <w:r w:rsidR="00545D1B" w:rsidRPr="00742A04">
        <w:t xml:space="preserve"> </w:t>
      </w:r>
      <w:r w:rsidR="00C07ED9" w:rsidRPr="00742A04">
        <w:t>claras</w:t>
      </w:r>
      <w:r w:rsidR="00545D1B" w:rsidRPr="00742A04">
        <w:t xml:space="preserve"> </w:t>
      </w:r>
      <w:r w:rsidR="00BA1560" w:rsidRPr="00742A04">
        <w:t>señales que</w:t>
      </w:r>
      <w:r w:rsidR="00545D1B" w:rsidRPr="00742A04">
        <w:t xml:space="preserve"> indica</w:t>
      </w:r>
      <w:r w:rsidR="00BA1560" w:rsidRPr="00742A04">
        <w:t>n que</w:t>
      </w:r>
      <w:r w:rsidR="00545D1B" w:rsidRPr="00742A04">
        <w:t xml:space="preserve"> </w:t>
      </w:r>
      <w:r w:rsidR="004F2F8A" w:rsidRPr="00742A04">
        <w:t>este tipo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A1560" w:rsidRPr="00742A04">
        <w:t>pens</w:t>
      </w:r>
      <w:r w:rsidR="00BA1560" w:rsidRPr="00742A04">
        <w:t>a</w:t>
      </w:r>
      <w:r w:rsidR="00BA1560" w:rsidRPr="00742A04">
        <w:t>miento se está difundiendo</w:t>
      </w:r>
      <w:r w:rsidR="00545D1B" w:rsidRPr="00742A04">
        <w:t>.</w:t>
      </w:r>
    </w:p>
    <w:p w:rsidR="00545D1B" w:rsidRPr="00742A04" w:rsidRDefault="002A7CCF" w:rsidP="00B2734A">
      <w:pPr>
        <w:pStyle w:val="SingleTxt"/>
        <w:ind w:firstLine="475"/>
      </w:pPr>
      <w:r w:rsidRPr="00742A04">
        <w:t>Asimismo cabe remitirse</w:t>
      </w:r>
      <w:r w:rsidR="001E30D6" w:rsidRPr="00742A04">
        <w:t xml:space="preserve"> </w:t>
      </w:r>
      <w:r w:rsidR="00BA1560" w:rsidRPr="00742A04">
        <w:t>a l</w:t>
      </w:r>
      <w:r w:rsidR="001E30D6" w:rsidRPr="00742A04">
        <w:t xml:space="preserve">a </w:t>
      </w:r>
      <w:r w:rsidR="00A05847" w:rsidRPr="00742A04">
        <w:t xml:space="preserve">Ley sobre la </w:t>
      </w:r>
      <w:r w:rsidR="00B31AE8" w:rsidRPr="00742A04">
        <w:t>Igualdad de Género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BA1560" w:rsidRPr="00742A04">
        <w:t>dispone</w:t>
      </w:r>
      <w:r w:rsidR="0081178E" w:rsidRPr="00742A04">
        <w:t xml:space="preserve"> que los hombres</w:t>
      </w:r>
      <w:r w:rsidR="00545D1B" w:rsidRPr="00742A04">
        <w:t xml:space="preserve"> </w:t>
      </w:r>
      <w:r w:rsidR="00BA1560" w:rsidRPr="00742A04">
        <w:t>pueden recibir un</w:t>
      </w:r>
      <w:r w:rsidR="00545D1B" w:rsidRPr="00742A04">
        <w:t xml:space="preserve"> </w:t>
      </w:r>
      <w:r w:rsidR="00B31D97" w:rsidRPr="00742A04">
        <w:t>tratamiento</w:t>
      </w:r>
      <w:r w:rsidR="00545D1B" w:rsidRPr="00742A04">
        <w:t xml:space="preserve"> </w:t>
      </w:r>
      <w:r w:rsidR="00BA1560" w:rsidRPr="00742A04">
        <w:t xml:space="preserve">especial </w:t>
      </w:r>
      <w:r w:rsidR="00C14BFF" w:rsidRPr="00742A04">
        <w:t>en</w:t>
      </w:r>
      <w:r w:rsidR="00545D1B" w:rsidRPr="00742A04">
        <w:t xml:space="preserve"> </w:t>
      </w:r>
      <w:r w:rsidR="00CE1CFC" w:rsidRPr="00742A04">
        <w:t xml:space="preserve">las solicitudes </w:t>
      </w:r>
      <w:r w:rsidR="00C076F2" w:rsidRPr="00742A04">
        <w:t xml:space="preserve">de </w:t>
      </w:r>
      <w:r w:rsidR="009451E4" w:rsidRPr="00742A04">
        <w:t>e</w:t>
      </w:r>
      <w:r w:rsidR="009451E4" w:rsidRPr="00742A04">
        <w:t>s</w:t>
      </w:r>
      <w:r w:rsidR="009451E4" w:rsidRPr="00742A04">
        <w:t>tudios</w:t>
      </w:r>
      <w:r w:rsidR="00545D1B" w:rsidRPr="00742A04">
        <w:t xml:space="preserve"> </w:t>
      </w:r>
      <w:r w:rsidR="00BA1560" w:rsidRPr="00742A04">
        <w:t>que estén</w:t>
      </w:r>
      <w:r w:rsidR="00545D1B" w:rsidRPr="00742A04">
        <w:t xml:space="preserve"> </w:t>
      </w:r>
      <w:r w:rsidR="00894371" w:rsidRPr="00742A04">
        <w:t>específicamente</w:t>
      </w:r>
      <w:r w:rsidR="005F7B32" w:rsidRPr="00742A04">
        <w:t xml:space="preserve"> </w:t>
      </w:r>
      <w:r w:rsidR="00BA1560" w:rsidRPr="00742A04">
        <w:t>orientado</w:t>
      </w:r>
      <w:r w:rsidR="00242371" w:rsidRPr="00742A04">
        <w:t xml:space="preserve">s </w:t>
      </w:r>
      <w:r w:rsidR="00BA1560" w:rsidRPr="00742A04">
        <w:t>haci</w:t>
      </w:r>
      <w:r w:rsidR="00242371" w:rsidRPr="00742A04">
        <w:t>a</w:t>
      </w:r>
      <w:r w:rsidR="00545D1B" w:rsidRPr="00742A04">
        <w:t xml:space="preserve"> </w:t>
      </w:r>
      <w:r w:rsidR="00434891" w:rsidRPr="00742A04">
        <w:t>la enseñanza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844FDB" w:rsidRPr="00742A04">
        <w:t xml:space="preserve">el cuidado </w:t>
      </w:r>
      <w:r w:rsidR="00C076F2" w:rsidRPr="00742A04">
        <w:t xml:space="preserve">de los </w:t>
      </w:r>
      <w:r w:rsidR="00844FDB" w:rsidRPr="00742A04">
        <w:t>niños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056EF1" w:rsidRPr="00742A04">
        <w:t xml:space="preserve">en </w:t>
      </w:r>
      <w:r w:rsidR="00BA1560" w:rsidRPr="00742A04">
        <w:t>los cuales</w:t>
      </w:r>
      <w:r w:rsidR="0081178E" w:rsidRPr="00742A04">
        <w:t xml:space="preserve"> los hombres</w:t>
      </w:r>
      <w:r w:rsidR="00545D1B" w:rsidRPr="00742A04">
        <w:t xml:space="preserve"> </w:t>
      </w:r>
      <w:r w:rsidR="00BA1560" w:rsidRPr="00742A04">
        <w:t>estén</w:t>
      </w:r>
      <w:r w:rsidR="00545D1B" w:rsidRPr="00742A04">
        <w:t xml:space="preserve"> </w:t>
      </w:r>
      <w:r w:rsidR="00C923A8" w:rsidRPr="00742A04">
        <w:t>menos representado</w:t>
      </w:r>
      <w:r w:rsidR="00DE2863">
        <w:t>s</w:t>
      </w:r>
      <w:r w:rsidR="00545D1B" w:rsidRPr="00742A04">
        <w:t xml:space="preserve"> </w:t>
      </w:r>
      <w:r w:rsidR="00BA1560" w:rsidRPr="00742A04">
        <w:t>e</w:t>
      </w:r>
      <w:r w:rsidR="00545D1B" w:rsidRPr="00742A04">
        <w:t xml:space="preserve">n </w:t>
      </w:r>
      <w:r w:rsidR="00311327" w:rsidRPr="00742A04">
        <w:t>el curso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A3F50" w:rsidRPr="00742A04">
        <w:t>estudio</w:t>
      </w:r>
      <w:r w:rsidR="00545D1B" w:rsidRPr="00742A04">
        <w:t xml:space="preserve"> </w:t>
      </w:r>
      <w:r w:rsidR="00BA1560" w:rsidRPr="00742A04">
        <w:t>de que se trate</w:t>
      </w:r>
      <w:r w:rsidR="00545D1B" w:rsidRPr="00742A04">
        <w:t>.</w:t>
      </w:r>
      <w:r w:rsidR="001167D2" w:rsidRPr="00742A04">
        <w:t xml:space="preserve"> </w:t>
      </w:r>
      <w:r w:rsidR="00BA1560" w:rsidRPr="00742A04">
        <w:t>E</w:t>
      </w:r>
      <w:r w:rsidR="001167D2" w:rsidRPr="00742A04">
        <w:t xml:space="preserve">l </w:t>
      </w:r>
      <w:r w:rsidR="008F0C8E" w:rsidRPr="00742A04">
        <w:t>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BA1560" w:rsidRPr="00742A04">
        <w:t>ha elaborado</w:t>
      </w:r>
      <w:r w:rsidR="00B05988" w:rsidRPr="00742A04">
        <w:t xml:space="preserve"> un Plan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942B0C" w:rsidRPr="00742A04">
        <w:t xml:space="preserve">la </w:t>
      </w:r>
      <w:r w:rsidR="00A05847" w:rsidRPr="00742A04">
        <w:t>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42371" w:rsidRPr="00742A04">
        <w:t>las guarderías</w:t>
      </w:r>
      <w:r w:rsidR="00545D1B" w:rsidRPr="00742A04">
        <w:t xml:space="preserve"> 2004-2007, </w:t>
      </w:r>
      <w:r w:rsidR="00942B0C" w:rsidRPr="00742A04">
        <w:t>cuyo objetivo es l</w:t>
      </w:r>
      <w:r w:rsidR="00942B0C" w:rsidRPr="00742A04">
        <w:t>o</w:t>
      </w:r>
      <w:r w:rsidR="00942B0C" w:rsidRPr="00742A04">
        <w:t>grar</w:t>
      </w:r>
      <w:r w:rsidR="00A8633B" w:rsidRPr="00742A04">
        <w:t xml:space="preserve"> que</w:t>
      </w:r>
      <w:r w:rsidR="00545D1B" w:rsidRPr="00742A04">
        <w:t xml:space="preserve"> </w:t>
      </w:r>
      <w:r w:rsidR="00942B0C" w:rsidRPr="00742A04">
        <w:t xml:space="preserve">el </w:t>
      </w:r>
      <w:r w:rsidR="00545D1B" w:rsidRPr="00742A04">
        <w:t>20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380AC9" w:rsidRPr="00742A04">
        <w:t>empleados</w:t>
      </w:r>
      <w:r w:rsidR="00545D1B" w:rsidRPr="00742A04">
        <w:t xml:space="preserve"> </w:t>
      </w:r>
      <w:r w:rsidR="00942B0C" w:rsidRPr="00742A04">
        <w:t>d</w:t>
      </w:r>
      <w:r w:rsidR="00C14BFF" w:rsidRPr="00742A04">
        <w:t>e</w:t>
      </w:r>
      <w:r w:rsidR="00545D1B" w:rsidRPr="00742A04">
        <w:t xml:space="preserve"> </w:t>
      </w:r>
      <w:r w:rsidR="00242371" w:rsidRPr="00742A04">
        <w:t>las guarderías</w:t>
      </w:r>
      <w:r w:rsidR="00545D1B" w:rsidRPr="00742A04">
        <w:t xml:space="preserve"> </w:t>
      </w:r>
      <w:r w:rsidR="00942B0C" w:rsidRPr="00742A04">
        <w:t xml:space="preserve">de Noruega </w:t>
      </w:r>
      <w:r w:rsidR="006137EC" w:rsidRPr="00742A04">
        <w:t>s</w:t>
      </w:r>
      <w:r w:rsidR="00942B0C" w:rsidRPr="00742A04">
        <w:t>ea</w:t>
      </w:r>
      <w:r w:rsidR="006137EC" w:rsidRPr="00742A04">
        <w:t>n</w:t>
      </w:r>
      <w:r w:rsidR="00545D1B" w:rsidRPr="00742A04">
        <w:t xml:space="preserve"> </w:t>
      </w:r>
      <w:r w:rsidR="00072AD7" w:rsidRPr="00742A04">
        <w:t>ho</w:t>
      </w:r>
      <w:r w:rsidR="00072AD7" w:rsidRPr="00742A04">
        <w:t>m</w:t>
      </w:r>
      <w:r w:rsidR="00072AD7" w:rsidRPr="00742A04">
        <w:t>bres</w:t>
      </w:r>
      <w:r w:rsidR="00545D1B" w:rsidRPr="00742A04">
        <w:t xml:space="preserve">. </w:t>
      </w:r>
      <w:r w:rsidR="00942B0C" w:rsidRPr="00742A04">
        <w:t xml:space="preserve">Éstas </w:t>
      </w:r>
      <w:r w:rsidR="006137EC" w:rsidRPr="00742A04">
        <w:t>son</w:t>
      </w:r>
      <w:r w:rsidR="00545D1B" w:rsidRPr="00742A04">
        <w:t xml:space="preserve"> </w:t>
      </w:r>
      <w:r w:rsidR="00AE7B93" w:rsidRPr="00742A04">
        <w:t>importante</w:t>
      </w:r>
      <w:r w:rsidR="00942B0C" w:rsidRPr="00742A04">
        <w:t>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DE2863">
        <w:t>que forman</w:t>
      </w:r>
      <w:r w:rsidR="00942B0C" w:rsidRPr="00742A04">
        <w:t xml:space="preserve"> parte de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545D1B" w:rsidRPr="00742A04">
        <w:t>reduc</w:t>
      </w:r>
      <w:r w:rsidR="00942B0C" w:rsidRPr="00742A04">
        <w:t>ir</w:t>
      </w:r>
      <w:r w:rsidR="00545D1B" w:rsidRPr="00742A04">
        <w:t xml:space="preserve"> </w:t>
      </w:r>
      <w:r w:rsidR="00942B0C" w:rsidRPr="00742A04">
        <w:t>la segreg</w:t>
      </w:r>
      <w:r w:rsidR="00942B0C" w:rsidRPr="00742A04">
        <w:t>a</w:t>
      </w:r>
      <w:r w:rsidR="00942B0C" w:rsidRPr="00742A04">
        <w:t>ción de género</w:t>
      </w:r>
      <w:r w:rsidR="00C14BFF" w:rsidRPr="00742A04">
        <w:t xml:space="preserve"> </w:t>
      </w:r>
      <w:r w:rsidR="00942B0C" w:rsidRPr="00742A04">
        <w:t>e</w:t>
      </w:r>
      <w:r w:rsidR="00545D1B" w:rsidRPr="00742A04">
        <w:t xml:space="preserve">n </w:t>
      </w:r>
      <w:r w:rsidR="00434891" w:rsidRPr="00742A04">
        <w:t>el mercado de trabajo</w:t>
      </w:r>
      <w:r w:rsidR="00545D1B" w:rsidRPr="00742A04">
        <w:t>.</w:t>
      </w:r>
    </w:p>
    <w:p w:rsidR="00545D1B" w:rsidRPr="00742A04" w:rsidRDefault="002247A6" w:rsidP="002C4922">
      <w:pPr>
        <w:pStyle w:val="SingleTxt"/>
        <w:rPr>
          <w:i/>
        </w:rPr>
      </w:pPr>
      <w:r w:rsidRPr="00742A04">
        <w:rPr>
          <w:i/>
        </w:rPr>
        <w:t>Estudios de la mujer</w:t>
      </w:r>
      <w:r w:rsidR="00545D1B" w:rsidRPr="00742A04">
        <w:rPr>
          <w:i/>
        </w:rPr>
        <w:t xml:space="preserve"> </w:t>
      </w:r>
      <w:r w:rsidRPr="00742A04">
        <w:rPr>
          <w:i/>
        </w:rPr>
        <w:t>e</w:t>
      </w:r>
      <w:r w:rsidR="00545D1B" w:rsidRPr="00742A04">
        <w:rPr>
          <w:i/>
        </w:rPr>
        <w:t xml:space="preserve"> </w:t>
      </w:r>
      <w:r w:rsidRPr="00742A04">
        <w:rPr>
          <w:i/>
        </w:rPr>
        <w:t>investigaciones de género</w:t>
      </w:r>
    </w:p>
    <w:p w:rsidR="00545D1B" w:rsidRPr="00742A04" w:rsidRDefault="002247A6" w:rsidP="00B2734A">
      <w:pPr>
        <w:pStyle w:val="SingleTxt"/>
        <w:ind w:firstLine="475"/>
      </w:pPr>
      <w:r w:rsidRPr="00742A04">
        <w:t>En Noruega se están llevando a cabo una gran cantidad de</w:t>
      </w:r>
      <w:r w:rsidR="00844FDB" w:rsidRPr="00742A04">
        <w:t xml:space="preserve"> investigaci</w:t>
      </w:r>
      <w:r w:rsidRPr="00742A04">
        <w:t>ones s</w:t>
      </w:r>
      <w:r w:rsidRPr="00742A04">
        <w:t>o</w:t>
      </w:r>
      <w:r w:rsidRPr="00742A04">
        <w:t>bre</w:t>
      </w:r>
      <w:r w:rsidR="00545D1B" w:rsidRPr="00742A04">
        <w:t xml:space="preserve"> </w:t>
      </w:r>
      <w:r w:rsidRPr="00742A04">
        <w:t>las cuestiones relacionadas con</w:t>
      </w:r>
      <w:r w:rsidR="004D313C" w:rsidRPr="00742A04">
        <w:t xml:space="preserve">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las </w:t>
      </w:r>
      <w:r w:rsidR="00F13355" w:rsidRPr="00742A04">
        <w:t>cuestiones de género</w:t>
      </w:r>
      <w:r w:rsidR="00545D1B" w:rsidRPr="00742A04">
        <w:t xml:space="preserve">. </w:t>
      </w:r>
      <w:r w:rsidR="00912890" w:rsidRPr="00742A04">
        <w:t xml:space="preserve">El </w:t>
      </w:r>
      <w:r w:rsidRPr="00742A04">
        <w:t>Centro de Estudios de la Mujer e Investigaciones de Género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la entidad más grande en materia de investigaciones sobre la</w:t>
      </w:r>
      <w:r w:rsidR="004D313C" w:rsidRPr="00742A04">
        <w:t xml:space="preserve"> mujer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="00912890" w:rsidRPr="00742A04">
        <w:t>El Centro</w:t>
      </w:r>
      <w:r w:rsidR="00545D1B" w:rsidRPr="00742A04">
        <w:t xml:space="preserve"> </w:t>
      </w:r>
      <w:r w:rsidR="00BB4DB1" w:rsidRPr="00742A04">
        <w:t>es</w:t>
      </w:r>
      <w:r w:rsidRPr="00742A04">
        <w:t xml:space="preserve"> inter-disciplinario</w:t>
      </w:r>
      <w:r w:rsidR="00AC5D28" w:rsidRPr="00742A04">
        <w:t xml:space="preserve"> y </w:t>
      </w:r>
      <w:r w:rsidRPr="00742A04">
        <w:t>depende</w:t>
      </w:r>
      <w:r w:rsidR="00AC5D28" w:rsidRPr="00742A04">
        <w:t xml:space="preserve"> </w:t>
      </w:r>
      <w:r w:rsidR="004B58E9" w:rsidRPr="00742A04">
        <w:t>directamente</w:t>
      </w:r>
      <w:r w:rsidR="00545D1B" w:rsidRPr="00742A04">
        <w:t xml:space="preserve"> </w:t>
      </w:r>
      <w:r w:rsidRPr="00742A04">
        <w:t>de la</w:t>
      </w:r>
      <w:r w:rsidR="00545D1B" w:rsidRPr="00742A04">
        <w:t xml:space="preserve"> </w:t>
      </w:r>
      <w:r w:rsidRPr="00742A04">
        <w:t xml:space="preserve">Junta </w:t>
      </w:r>
      <w:r w:rsidR="00545D1B" w:rsidRPr="00742A04">
        <w:t>Aca</w:t>
      </w:r>
      <w:r w:rsidRPr="00742A04">
        <w:t>dé</w:t>
      </w:r>
      <w:r w:rsidR="00545D1B" w:rsidRPr="00742A04">
        <w:t>mic</w:t>
      </w:r>
      <w:r w:rsidRPr="00742A04">
        <w:t>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66FC2" w:rsidRPr="00742A04">
        <w:t>la Universidad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Oslo (UiO). </w:t>
      </w:r>
      <w:r w:rsidR="00BE1768" w:rsidRPr="00742A04">
        <w:t>Se estableció</w:t>
      </w:r>
      <w:r w:rsidR="002232C2" w:rsidRPr="00742A04">
        <w:t xml:space="preserve"> inicialmente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1986 </w:t>
      </w:r>
      <w:r w:rsidR="00877AA0" w:rsidRPr="00742A04">
        <w:t>y</w:t>
      </w:r>
      <w:r w:rsidR="00545D1B" w:rsidRPr="00742A04">
        <w:t xml:space="preserve"> </w:t>
      </w:r>
      <w:r w:rsidR="002232C2" w:rsidRPr="00742A04">
        <w:t xml:space="preserve">posteriormente </w:t>
      </w:r>
      <w:r w:rsidR="00BD39FE">
        <w:t xml:space="preserve">fue </w:t>
      </w:r>
      <w:r w:rsidR="00545D1B" w:rsidRPr="00742A04">
        <w:t>establ</w:t>
      </w:r>
      <w:r w:rsidR="002232C2" w:rsidRPr="00742A04">
        <w:t>ecido con carácter</w:t>
      </w:r>
      <w:r w:rsidR="00545D1B" w:rsidRPr="00742A04">
        <w:t xml:space="preserve"> </w:t>
      </w:r>
      <w:r w:rsidR="00495D7B" w:rsidRPr="00742A04">
        <w:t>permanente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1997. </w:t>
      </w:r>
      <w:r w:rsidR="00912890" w:rsidRPr="00742A04">
        <w:t>El Centro</w:t>
      </w:r>
      <w:r w:rsidR="00545D1B" w:rsidRPr="00742A04">
        <w:t xml:space="preserve"> </w:t>
      </w:r>
      <w:r w:rsidR="002232C2" w:rsidRPr="00742A04">
        <w:t>se</w:t>
      </w:r>
      <w:r w:rsidR="00545D1B" w:rsidRPr="00742A04">
        <w:t xml:space="preserve"> financ</w:t>
      </w:r>
      <w:r w:rsidR="002232C2" w:rsidRPr="00742A04">
        <w:t>ia mediante una</w:t>
      </w:r>
      <w:r w:rsidR="00FD7D4E" w:rsidRPr="00742A04">
        <w:t xml:space="preserve"> </w:t>
      </w:r>
      <w:r w:rsidR="0058094F" w:rsidRPr="00742A04">
        <w:t>asi</w:t>
      </w:r>
      <w:r w:rsidR="0058094F" w:rsidRPr="00742A04">
        <w:t>g</w:t>
      </w:r>
      <w:r w:rsidR="0058094F" w:rsidRPr="00742A04">
        <w:t>nación</w:t>
      </w:r>
      <w:r w:rsidR="00C14BFF" w:rsidRPr="00742A04">
        <w:t xml:space="preserve"> </w:t>
      </w:r>
      <w:r w:rsidR="002232C2" w:rsidRPr="00742A04">
        <w:t xml:space="preserve">básica </w:t>
      </w:r>
      <w:r w:rsidR="008F0C8E" w:rsidRPr="00742A04">
        <w:t>de</w:t>
      </w:r>
      <w:r w:rsidR="00545D1B" w:rsidRPr="00742A04">
        <w:t xml:space="preserve"> </w:t>
      </w:r>
      <w:r w:rsidR="002232C2" w:rsidRPr="00742A04">
        <w:t>la</w:t>
      </w:r>
      <w:r w:rsidR="00545D1B" w:rsidRPr="00742A04">
        <w:t xml:space="preserve"> UiO </w:t>
      </w:r>
      <w:r w:rsidR="00877AA0" w:rsidRPr="00742A04">
        <w:t>y</w:t>
      </w:r>
      <w:r w:rsidR="00545D1B" w:rsidRPr="00742A04">
        <w:t xml:space="preserve"> </w:t>
      </w:r>
      <w:r w:rsidR="002232C2" w:rsidRPr="00742A04">
        <w:t xml:space="preserve">fondos </w:t>
      </w:r>
      <w:r w:rsidR="005E2D7A" w:rsidRPr="00742A04">
        <w:t>extern</w:t>
      </w:r>
      <w:r w:rsidR="002232C2" w:rsidRPr="00742A04">
        <w:t>os</w:t>
      </w:r>
      <w:r w:rsidR="0077058E" w:rsidRPr="00742A04">
        <w:t xml:space="preserve"> </w:t>
      </w:r>
      <w:r w:rsidR="002232C2" w:rsidRPr="00742A04">
        <w:t xml:space="preserve">para </w:t>
      </w:r>
      <w:r w:rsidR="0077058E" w:rsidRPr="00742A04">
        <w:t>proyecto</w:t>
      </w:r>
      <w:r w:rsidR="002232C2" w:rsidRPr="00742A04">
        <w:t>s</w:t>
      </w:r>
      <w:r w:rsidR="00545D1B" w:rsidRPr="00742A04">
        <w:t xml:space="preserve">. </w:t>
      </w:r>
      <w:r w:rsidR="002232C2" w:rsidRPr="00742A04">
        <w:t>Su</w:t>
      </w:r>
      <w:r w:rsidR="00545D1B" w:rsidRPr="00742A04">
        <w:t xml:space="preserve"> </w:t>
      </w:r>
      <w:r w:rsidR="00232DF9" w:rsidRPr="00742A04">
        <w:t>mandato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07ED9" w:rsidRPr="00742A04">
        <w:t>iniciar</w:t>
      </w:r>
      <w:r w:rsidR="00545D1B" w:rsidRPr="00742A04">
        <w:t xml:space="preserve">, </w:t>
      </w:r>
      <w:r w:rsidR="002232C2" w:rsidRPr="00742A04">
        <w:t>fomentar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232C2" w:rsidRPr="00742A04">
        <w:t>real</w:t>
      </w:r>
      <w:r w:rsidR="002232C2" w:rsidRPr="00742A04">
        <w:t>i</w:t>
      </w:r>
      <w:r w:rsidR="002232C2" w:rsidRPr="00742A04">
        <w:t>zar</w:t>
      </w:r>
      <w:r w:rsidR="004D313C" w:rsidRPr="00742A04">
        <w:t xml:space="preserve"> </w:t>
      </w:r>
      <w:r w:rsidR="002232C2" w:rsidRPr="00742A04">
        <w:t xml:space="preserve">estudios sobre </w:t>
      </w:r>
      <w:r w:rsidR="004D313C" w:rsidRPr="00742A04">
        <w:t>la mujer</w:t>
      </w:r>
      <w:r w:rsidR="00545D1B" w:rsidRPr="00742A04">
        <w:t xml:space="preserve"> </w:t>
      </w:r>
      <w:r w:rsidR="002232C2" w:rsidRPr="00742A04">
        <w:t>e</w:t>
      </w:r>
      <w:r w:rsidR="00545D1B" w:rsidRPr="00742A04">
        <w:t xml:space="preserve"> </w:t>
      </w:r>
      <w:r w:rsidRPr="00742A04">
        <w:t>investigaci</w:t>
      </w:r>
      <w:r w:rsidR="002232C2" w:rsidRPr="00742A04">
        <w:t>ones</w:t>
      </w:r>
      <w:r w:rsidRPr="00742A04">
        <w:t xml:space="preserve"> de género</w:t>
      </w:r>
      <w:r w:rsidR="00545D1B" w:rsidRPr="00742A04">
        <w:t xml:space="preserve">, </w:t>
      </w:r>
      <w:r w:rsidR="002232C2" w:rsidRPr="00742A04">
        <w:t>brindar</w:t>
      </w:r>
      <w:r w:rsidR="005532F5" w:rsidRPr="00742A04">
        <w:t xml:space="preserve"> información</w:t>
      </w:r>
      <w:r w:rsidR="00C14BFF" w:rsidRPr="00742A04">
        <w:t xml:space="preserve"> </w:t>
      </w:r>
      <w:r w:rsidR="002232C2" w:rsidRPr="00742A04">
        <w:t>e</w:t>
      </w:r>
      <w:r w:rsidR="00545D1B" w:rsidRPr="00742A04">
        <w:t xml:space="preserve">n </w:t>
      </w:r>
      <w:r w:rsidR="008F0C8E" w:rsidRPr="00742A04">
        <w:t>esta esfera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coopera</w:t>
      </w:r>
      <w:r w:rsidR="002232C2" w:rsidRPr="00742A04">
        <w:t>r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6B65CD" w:rsidRPr="00742A04">
        <w:t>instituciones de investigación</w:t>
      </w:r>
      <w:r w:rsidR="002232C2" w:rsidRPr="00742A04">
        <w:t xml:space="preserve"> análogas</w:t>
      </w:r>
      <w:r w:rsidR="00545D1B" w:rsidRPr="00742A04">
        <w:t xml:space="preserve">, </w:t>
      </w:r>
      <w:r w:rsidR="00BD47D3" w:rsidRPr="00742A04">
        <w:t>en los planos naci</w:t>
      </w:r>
      <w:r w:rsidR="00BD47D3" w:rsidRPr="00742A04">
        <w:t>o</w:t>
      </w:r>
      <w:r w:rsidR="00BD47D3" w:rsidRPr="00742A04">
        <w:t>nal e internacional</w:t>
      </w:r>
      <w:r w:rsidR="00545D1B" w:rsidRPr="00742A04">
        <w:t xml:space="preserve">. </w:t>
      </w:r>
      <w:r w:rsidR="00894371" w:rsidRPr="00742A04">
        <w:t>Se propone ser un lugar de reunión para los investigadores</w:t>
      </w:r>
      <w:r w:rsidR="00894371">
        <w:t xml:space="preserve"> que</w:t>
      </w:r>
      <w:r w:rsidR="00894371" w:rsidRPr="00742A04">
        <w:t xml:space="preserve"> trabajan sobre las cuestiones de la mujer y las cuestiones de género y para los est</w:t>
      </w:r>
      <w:r w:rsidR="00894371" w:rsidRPr="00742A04">
        <w:t>u</w:t>
      </w:r>
      <w:r w:rsidR="00894371" w:rsidRPr="00742A04">
        <w:t>diantes</w:t>
      </w:r>
      <w:r w:rsidR="00894371">
        <w:t xml:space="preserve"> que</w:t>
      </w:r>
      <w:r w:rsidR="00894371" w:rsidRPr="00742A04">
        <w:t xml:space="preserve"> trabajan</w:t>
      </w:r>
      <w:r w:rsidR="00894371">
        <w:t xml:space="preserve"> sobre la mujer </w:t>
      </w:r>
      <w:r w:rsidR="00894371" w:rsidRPr="00742A04">
        <w:t xml:space="preserve">y </w:t>
      </w:r>
      <w:r w:rsidR="00894371">
        <w:t xml:space="preserve">la </w:t>
      </w:r>
      <w:r w:rsidR="00894371" w:rsidRPr="00742A04">
        <w:t>perspectiva de género en sus respectivas e</w:t>
      </w:r>
      <w:r w:rsidR="00894371" w:rsidRPr="00742A04">
        <w:t>s</w:t>
      </w:r>
      <w:r w:rsidR="00894371" w:rsidRPr="00742A04">
        <w:t xml:space="preserve">feras temáticas. </w:t>
      </w:r>
      <w:r w:rsidR="00912890" w:rsidRPr="00742A04">
        <w:t>El Centro</w:t>
      </w:r>
      <w:r w:rsidR="00545D1B" w:rsidRPr="00742A04">
        <w:t xml:space="preserve"> </w:t>
      </w:r>
      <w:r w:rsidR="002232C2" w:rsidRPr="00742A04">
        <w:t>está ubicado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232C2" w:rsidRPr="00742A04">
        <w:t>e</w:t>
      </w:r>
      <w:r w:rsidR="003C25BF" w:rsidRPr="00742A04">
        <w:t>l mism</w:t>
      </w:r>
      <w:r w:rsidR="002232C2" w:rsidRPr="00742A04">
        <w:t>o lugar que</w:t>
      </w:r>
      <w:r w:rsidR="00545D1B" w:rsidRPr="00742A04">
        <w:t xml:space="preserve"> </w:t>
      </w:r>
      <w:r w:rsidR="002232C2" w:rsidRPr="00742A04">
        <w:t>el</w:t>
      </w:r>
      <w:r w:rsidR="00545D1B" w:rsidRPr="00742A04">
        <w:t xml:space="preserve"> </w:t>
      </w:r>
      <w:r w:rsidR="00F67A1B" w:rsidRPr="00742A04">
        <w:t>Instituto</w:t>
      </w:r>
      <w:r w:rsidR="00545D1B" w:rsidRPr="00742A04">
        <w:t xml:space="preserve"> </w:t>
      </w:r>
      <w:r w:rsidR="002232C2" w:rsidRPr="00742A04">
        <w:t>Nórdico de Estudios de la M</w:t>
      </w:r>
      <w:r w:rsidR="00210DB1" w:rsidRPr="00742A04">
        <w:t>ujer</w:t>
      </w:r>
      <w:r w:rsidR="00545D1B" w:rsidRPr="00742A04">
        <w:t xml:space="preserve"> </w:t>
      </w:r>
      <w:r w:rsidR="002232C2" w:rsidRPr="00742A04">
        <w:t>e</w:t>
      </w:r>
      <w:r w:rsidR="008622FD" w:rsidRPr="00742A04">
        <w:t xml:space="preserve"> </w:t>
      </w:r>
      <w:r w:rsidR="002232C2" w:rsidRPr="00742A04">
        <w:t>Inve</w:t>
      </w:r>
      <w:r w:rsidR="002232C2" w:rsidRPr="00742A04">
        <w:t>s</w:t>
      </w:r>
      <w:r w:rsidR="002232C2" w:rsidRPr="00742A04">
        <w:t>tigaciones de G</w:t>
      </w:r>
      <w:r w:rsidR="008622FD" w:rsidRPr="00742A04">
        <w:t>énero</w:t>
      </w:r>
      <w:r w:rsidR="00545D1B" w:rsidRPr="00742A04">
        <w:t>.</w:t>
      </w:r>
    </w:p>
    <w:p w:rsidR="000A08D8" w:rsidRPr="00742A04" w:rsidRDefault="002247A6" w:rsidP="00B2734A">
      <w:pPr>
        <w:pStyle w:val="SingleTxt"/>
        <w:ind w:firstLine="475"/>
      </w:pPr>
      <w:r w:rsidRPr="00742A04">
        <w:t>Puede obtenerse d</w:t>
      </w:r>
      <w:r w:rsidR="00545D1B" w:rsidRPr="00742A04">
        <w:t>ocumenta</w:t>
      </w:r>
      <w:r w:rsidR="00C14BFF" w:rsidRPr="00742A04">
        <w:t xml:space="preserve">ción </w:t>
      </w:r>
      <w:r w:rsidR="002232C2" w:rsidRPr="00742A04">
        <w:t>sobre</w:t>
      </w:r>
      <w:r w:rsidRPr="00742A04">
        <w:t xml:space="preserve"> los</w:t>
      </w:r>
      <w:r w:rsidR="00545D1B" w:rsidRPr="00742A04">
        <w:t xml:space="preserve"> </w:t>
      </w:r>
      <w:r w:rsidRPr="00742A04">
        <w:t>estudios de la mujer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las investig</w:t>
      </w:r>
      <w:r w:rsidRPr="00742A04">
        <w:t>a</w:t>
      </w:r>
      <w:r w:rsidRPr="00742A04">
        <w:t>ciones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2232C2" w:rsidRPr="00742A04">
        <w:t xml:space="preserve">en </w:t>
      </w:r>
      <w:r w:rsidRPr="00742A04">
        <w:t>el sitio Web KILDEN del Centro</w:t>
      </w:r>
      <w:r w:rsidR="008C4612" w:rsidRPr="00742A04">
        <w:t xml:space="preserve"> de </w:t>
      </w:r>
      <w:r w:rsidRPr="00742A04">
        <w:t>Información y Documentación para los Estudios de la Mujer y las Investigaciones de Género</w:t>
      </w:r>
      <w:r w:rsidR="00545D1B" w:rsidRPr="00742A04">
        <w:t xml:space="preserve"> KILDEN (</w:t>
      </w:r>
      <w:hyperlink r:id="rId18" w:history="1">
        <w:r w:rsidR="00545D1B" w:rsidRPr="00742A04">
          <w:rPr>
            <w:rStyle w:val="Hyperlink"/>
          </w:rPr>
          <w:t>http://kilden.forskningsradet.no/</w:t>
        </w:r>
      </w:hyperlink>
      <w:r w:rsidR="00545D1B" w:rsidRPr="00742A04">
        <w:t xml:space="preserve">) </w:t>
      </w:r>
      <w:r w:rsidR="00877AA0" w:rsidRPr="00742A04">
        <w:t>y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publica</w:t>
      </w:r>
      <w:r w:rsidR="00C14BFF" w:rsidRPr="00742A04">
        <w:t xml:space="preserve">ción </w:t>
      </w:r>
      <w:r w:rsidR="00545D1B" w:rsidRPr="00742A04">
        <w:rPr>
          <w:i/>
        </w:rPr>
        <w:t xml:space="preserve">Tidsskrift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kjønnsforskning</w:t>
      </w:r>
      <w:r w:rsidR="00545D1B" w:rsidRPr="00742A04">
        <w:t xml:space="preserve"> (</w:t>
      </w:r>
      <w:r w:rsidRPr="00742A04">
        <w:t xml:space="preserve">“Revista </w:t>
      </w:r>
      <w:r w:rsidR="004A0730" w:rsidRPr="00742A04">
        <w:t>de</w:t>
      </w:r>
      <w:r w:rsidR="00545D1B" w:rsidRPr="00742A04">
        <w:t xml:space="preserve"> </w:t>
      </w:r>
      <w:r w:rsidRPr="00742A04">
        <w:t>Investigaciones de gén</w:t>
      </w:r>
      <w:r w:rsidRPr="00742A04">
        <w:t>e</w:t>
      </w:r>
      <w:r w:rsidRPr="00742A04">
        <w:t>ro”</w:t>
      </w:r>
      <w:r w:rsidR="00545D1B" w:rsidRPr="00742A04">
        <w:t>)</w:t>
      </w:r>
      <w:r w:rsidR="000A08D8" w:rsidRPr="00742A04">
        <w:t>.</w:t>
      </w:r>
    </w:p>
    <w:p w:rsidR="002232C2" w:rsidRPr="00742A04" w:rsidRDefault="002232C2" w:rsidP="002232C2">
      <w:pPr>
        <w:pStyle w:val="H23"/>
        <w:spacing w:line="120" w:lineRule="exact"/>
        <w:ind w:left="1267"/>
        <w:rPr>
          <w:b w:val="0"/>
          <w:bCs/>
          <w:sz w:val="10"/>
        </w:rPr>
      </w:pPr>
    </w:p>
    <w:p w:rsidR="00545D1B" w:rsidRPr="00742A04" w:rsidRDefault="002232C2" w:rsidP="002232C2">
      <w:pPr>
        <w:pStyle w:val="H23"/>
        <w:ind w:left="1267"/>
        <w:rPr>
          <w:bCs/>
        </w:rPr>
      </w:pPr>
      <w:r w:rsidRPr="00742A04">
        <w:rPr>
          <w:bCs/>
        </w:rPr>
        <w:t xml:space="preserve">Programa </w:t>
      </w:r>
      <w:r w:rsidR="008D6B10" w:rsidRPr="00742A04">
        <w:rPr>
          <w:bCs/>
        </w:rPr>
        <w:t>de introducción</w:t>
      </w:r>
      <w:r w:rsidRPr="00742A04">
        <w:rPr>
          <w:bCs/>
        </w:rPr>
        <w:t xml:space="preserve"> y</w:t>
      </w:r>
      <w:r w:rsidR="00545D1B" w:rsidRPr="00742A04">
        <w:rPr>
          <w:bCs/>
        </w:rPr>
        <w:t xml:space="preserve"> </w:t>
      </w:r>
      <w:r w:rsidRPr="00742A04">
        <w:rPr>
          <w:bCs/>
        </w:rPr>
        <w:t>d</w:t>
      </w:r>
      <w:r w:rsidR="002E5047" w:rsidRPr="00742A04">
        <w:rPr>
          <w:bCs/>
        </w:rPr>
        <w:t>e i</w:t>
      </w:r>
      <w:r w:rsidR="00545D1B" w:rsidRPr="00742A04">
        <w:rPr>
          <w:bCs/>
        </w:rPr>
        <w:t>nstruc</w:t>
      </w:r>
      <w:r w:rsidR="00C14BFF" w:rsidRPr="00742A04">
        <w:rPr>
          <w:bCs/>
        </w:rPr>
        <w:t>ción en</w:t>
      </w:r>
      <w:r w:rsidR="00545D1B" w:rsidRPr="00742A04">
        <w:rPr>
          <w:bCs/>
        </w:rPr>
        <w:t xml:space="preserve"> </w:t>
      </w:r>
      <w:r w:rsidRPr="00742A04">
        <w:rPr>
          <w:bCs/>
        </w:rPr>
        <w:t>el idioma n</w:t>
      </w:r>
      <w:r w:rsidR="00BD47D3" w:rsidRPr="00742A04">
        <w:rPr>
          <w:bCs/>
        </w:rPr>
        <w:t>orueg</w:t>
      </w:r>
      <w:r w:rsidRPr="00742A04">
        <w:rPr>
          <w:bCs/>
        </w:rPr>
        <w:t>o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Pr="00742A04">
        <w:rPr>
          <w:bCs/>
        </w:rPr>
        <w:br/>
        <w:t>la vida cí</w:t>
      </w:r>
      <w:r w:rsidR="00545D1B" w:rsidRPr="00742A04">
        <w:rPr>
          <w:bCs/>
        </w:rPr>
        <w:t>vic</w:t>
      </w:r>
      <w:r w:rsidRPr="00742A04">
        <w:rPr>
          <w:bCs/>
        </w:rPr>
        <w:t>a</w:t>
      </w:r>
      <w:r w:rsidR="00545D1B" w:rsidRPr="00742A04">
        <w:rPr>
          <w:bCs/>
        </w:rPr>
        <w:t xml:space="preserve"> </w:t>
      </w:r>
      <w:r w:rsidR="00F43124" w:rsidRPr="00742A04">
        <w:rPr>
          <w:bCs/>
        </w:rPr>
        <w:t>para</w:t>
      </w:r>
      <w:r w:rsidR="00545D1B" w:rsidRPr="00742A04">
        <w:rPr>
          <w:bCs/>
        </w:rPr>
        <w:t xml:space="preserve"> </w:t>
      </w:r>
      <w:r w:rsidRPr="00742A04">
        <w:rPr>
          <w:bCs/>
        </w:rPr>
        <w:t xml:space="preserve">inmigrantes adultos llegados </w:t>
      </w:r>
      <w:r w:rsidR="008F7F9D" w:rsidRPr="00742A04">
        <w:rPr>
          <w:bCs/>
        </w:rPr>
        <w:t>recientemente</w:t>
      </w:r>
    </w:p>
    <w:p w:rsidR="002232C2" w:rsidRPr="00742A04" w:rsidRDefault="002232C2" w:rsidP="002232C2">
      <w:pPr>
        <w:pStyle w:val="SingleTxt"/>
        <w:spacing w:after="0" w:line="120" w:lineRule="exact"/>
        <w:ind w:firstLine="475"/>
        <w:rPr>
          <w:sz w:val="10"/>
        </w:rPr>
      </w:pPr>
    </w:p>
    <w:p w:rsidR="00545D1B" w:rsidRPr="00742A04" w:rsidRDefault="00EA26AB" w:rsidP="00B2734A">
      <w:pPr>
        <w:pStyle w:val="SingleTxt"/>
        <w:ind w:firstLine="475"/>
      </w:pPr>
      <w:r w:rsidRPr="00742A04">
        <w:t>Noruega</w:t>
      </w:r>
      <w:r w:rsidR="00545D1B" w:rsidRPr="00742A04">
        <w:t xml:space="preserve"> </w:t>
      </w:r>
      <w:r w:rsidR="002232C2" w:rsidRPr="00742A04">
        <w:t xml:space="preserve">cree </w:t>
      </w:r>
      <w:r w:rsidR="0081178E" w:rsidRPr="00742A04">
        <w:t>que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2232C2" w:rsidRPr="00742A04">
        <w:t>que</w:t>
      </w:r>
      <w:r w:rsidR="00545D1B" w:rsidRPr="00742A04">
        <w:t xml:space="preserve"> </w:t>
      </w:r>
      <w:r w:rsidR="005E2D7A" w:rsidRPr="00742A04">
        <w:t>los inmigrantes</w:t>
      </w:r>
      <w:r w:rsidR="00545D1B" w:rsidRPr="00742A04">
        <w:t xml:space="preserve"> </w:t>
      </w:r>
      <w:r w:rsidR="002232C2" w:rsidRPr="00742A04">
        <w:t>s</w:t>
      </w:r>
      <w:r w:rsidR="00545D1B" w:rsidRPr="00742A04">
        <w:t>e integr</w:t>
      </w:r>
      <w:r w:rsidR="002232C2" w:rsidRPr="00742A04">
        <w:t>en en</w:t>
      </w:r>
      <w:r w:rsidR="00545D1B" w:rsidRPr="00742A04">
        <w:t xml:space="preserve"> </w:t>
      </w:r>
      <w:r w:rsidR="002232C2" w:rsidRPr="00742A04">
        <w:t>la sociedad n</w:t>
      </w:r>
      <w:r w:rsidR="00BD47D3" w:rsidRPr="00742A04">
        <w:t>oruega</w:t>
      </w:r>
      <w:r w:rsidR="00545D1B" w:rsidRPr="00742A04">
        <w:t xml:space="preserve">. </w:t>
      </w:r>
      <w:r w:rsidR="00894371" w:rsidRPr="00742A04">
        <w:t>A este respecto, en junio de 2003 el Storting adoptó la Ley relativa al Pr</w:t>
      </w:r>
      <w:r w:rsidR="00894371" w:rsidRPr="00742A04">
        <w:t>o</w:t>
      </w:r>
      <w:r w:rsidR="00894371" w:rsidRPr="00742A04">
        <w:t>grama de introducción para inmigrantes llegados recientemente, por la cual se i</w:t>
      </w:r>
      <w:r w:rsidR="00894371" w:rsidRPr="00742A04">
        <w:t>m</w:t>
      </w:r>
      <w:r w:rsidR="00894371" w:rsidRPr="00742A04">
        <w:t>plantó un plan especial encaminado a capacitar a los inmigrantes llegados recient</w:t>
      </w:r>
      <w:r w:rsidR="00894371" w:rsidRPr="00742A04">
        <w:t>e</w:t>
      </w:r>
      <w:r w:rsidR="00894371" w:rsidRPr="00742A04">
        <w:t>mente y a los miembros de su familia reunificada para participar en la vida laboral y social.</w:t>
      </w:r>
      <w:r w:rsidR="00894371">
        <w:t xml:space="preserve"> </w:t>
      </w:r>
      <w:r w:rsidR="00894371" w:rsidRPr="00742A04">
        <w:t>A partir del 1° de septiembre de 2003, las municipalidades que lo desearan podían poner en práctica esa Ley con carácter voluntario, y a partir del 1° de se</w:t>
      </w:r>
      <w:r w:rsidR="00894371" w:rsidRPr="00742A04">
        <w:t>p</w:t>
      </w:r>
      <w:r w:rsidR="00894371" w:rsidRPr="00742A04">
        <w:t xml:space="preserve">tiembre de 2004 la Ley entró en vigor para todas las municipalidades del país. </w:t>
      </w:r>
      <w:r w:rsidR="00E34391" w:rsidRPr="00742A04">
        <w:t>El</w:t>
      </w:r>
      <w:r w:rsidR="00545D1B" w:rsidRPr="00742A04">
        <w:t xml:space="preserve"> </w:t>
      </w:r>
      <w:r w:rsidR="00E34391" w:rsidRPr="00742A04">
        <w:t xml:space="preserve">programa </w:t>
      </w:r>
      <w:r w:rsidR="008D6B10" w:rsidRPr="00742A04">
        <w:t>de introducción</w:t>
      </w:r>
      <w:r w:rsidR="00545D1B" w:rsidRPr="00742A04">
        <w:t xml:space="preserve"> </w:t>
      </w:r>
      <w:r w:rsidR="00E34391" w:rsidRPr="00742A04">
        <w:t>comprende</w:t>
      </w:r>
      <w:r w:rsidR="00AB3372">
        <w:t xml:space="preserve"> una</w:t>
      </w:r>
      <w:r w:rsidR="00545D1B" w:rsidRPr="00742A04">
        <w:t xml:space="preserve"> </w:t>
      </w:r>
      <w:r w:rsidR="00E34391" w:rsidRPr="00742A04">
        <w:t>instrucción de tiempo completo</w:t>
      </w:r>
      <w:r w:rsidR="00C14BFF" w:rsidRPr="00742A04">
        <w:t xml:space="preserve"> </w:t>
      </w:r>
      <w:r w:rsidR="00E34391" w:rsidRPr="00742A04">
        <w:t>adaptada individualmente durante un período de hasta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, </w:t>
      </w:r>
      <w:r w:rsidR="00E34391" w:rsidRPr="00742A04">
        <w:t xml:space="preserve">según los antecedentes </w:t>
      </w:r>
      <w:r w:rsidR="00877AA0" w:rsidRPr="00742A04">
        <w:t>y</w:t>
      </w:r>
      <w:r w:rsidR="00545D1B" w:rsidRPr="00742A04">
        <w:t xml:space="preserve"> </w:t>
      </w:r>
      <w:r w:rsidR="00E34391" w:rsidRPr="00742A04">
        <w:t>las capacidades de cada persona</w:t>
      </w:r>
      <w:r w:rsidR="00545D1B" w:rsidRPr="00742A04">
        <w:t xml:space="preserve">. </w:t>
      </w:r>
      <w:r w:rsidR="00E34391" w:rsidRPr="00742A04">
        <w:t>La Ley comprende a todos</w:t>
      </w:r>
      <w:r w:rsidR="00545D1B" w:rsidRPr="00742A04">
        <w:t xml:space="preserve"> </w:t>
      </w:r>
      <w:r w:rsidR="00DA461E" w:rsidRPr="00742A04">
        <w:t>los refugiados</w:t>
      </w:r>
      <w:r w:rsidR="00545D1B" w:rsidRPr="00742A04">
        <w:t xml:space="preserve"> </w:t>
      </w:r>
      <w:r w:rsidR="00E34391" w:rsidRPr="00742A04">
        <w:t>llegados r</w:t>
      </w:r>
      <w:r w:rsidR="00E34391" w:rsidRPr="00742A04">
        <w:t>e</w:t>
      </w:r>
      <w:r w:rsidR="00E34391" w:rsidRPr="00742A04">
        <w:t xml:space="preserve">cientemente que tengan </w:t>
      </w:r>
      <w:r w:rsidR="007D66F2" w:rsidRPr="00742A04">
        <w:t>entre</w:t>
      </w:r>
      <w:r w:rsidR="00545D1B" w:rsidRPr="00742A04">
        <w:t xml:space="preserve"> 18 </w:t>
      </w:r>
      <w:r w:rsidR="00877AA0" w:rsidRPr="00742A04">
        <w:t>y</w:t>
      </w:r>
      <w:r w:rsidR="00545D1B" w:rsidRPr="00742A04">
        <w:t xml:space="preserve"> 55 </w:t>
      </w:r>
      <w:r w:rsidR="00E34391" w:rsidRPr="00742A04">
        <w:t xml:space="preserve">años de edad y necesiten una capacitación </w:t>
      </w:r>
      <w:r w:rsidR="008A3C01" w:rsidRPr="00742A04">
        <w:t>b</w:t>
      </w:r>
      <w:r w:rsidR="008A3C01" w:rsidRPr="00742A04">
        <w:t>á</w:t>
      </w:r>
      <w:r w:rsidR="008A3C01" w:rsidRPr="00742A04">
        <w:t>sica</w:t>
      </w:r>
      <w:r w:rsidR="00545D1B" w:rsidRPr="00742A04">
        <w:t>.</w:t>
      </w:r>
      <w:r w:rsidR="005E08DF" w:rsidRPr="00742A04">
        <w:t xml:space="preserve"> </w:t>
      </w:r>
      <w:r w:rsidR="00E34391" w:rsidRPr="00742A04">
        <w:t>L</w:t>
      </w:r>
      <w:r w:rsidR="005E08DF" w:rsidRPr="00742A04">
        <w:t>a</w:t>
      </w:r>
      <w:r w:rsidR="00E34391" w:rsidRPr="00742A04">
        <w:t xml:space="preserve"> </w:t>
      </w:r>
      <w:r w:rsidR="006B65CD" w:rsidRPr="00742A04">
        <w:t>finalidad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B31D97" w:rsidRPr="00742A04">
        <w:t>mejorar</w:t>
      </w:r>
      <w:r w:rsidR="00545D1B" w:rsidRPr="00742A04">
        <w:t xml:space="preserve"> </w:t>
      </w:r>
      <w:r w:rsidR="004B1620" w:rsidRPr="00742A04">
        <w:t>las posibilidades</w:t>
      </w:r>
      <w:r w:rsidR="00545D1B" w:rsidRPr="00742A04">
        <w:t xml:space="preserve"> </w:t>
      </w:r>
      <w:r w:rsidR="00E34391" w:rsidRPr="00742A04">
        <w:t>de</w:t>
      </w:r>
      <w:r w:rsidR="00545D1B" w:rsidRPr="00742A04">
        <w:t xml:space="preserve"> </w:t>
      </w:r>
      <w:r w:rsidR="005E2D7A" w:rsidRPr="00742A04">
        <w:t>los inmigrantes</w:t>
      </w:r>
      <w:r w:rsidR="00E34391" w:rsidRPr="00742A04">
        <w:t xml:space="preserve"> llegados recient</w:t>
      </w:r>
      <w:r w:rsidR="00E34391" w:rsidRPr="00742A04">
        <w:t>e</w:t>
      </w:r>
      <w:r w:rsidR="00E34391" w:rsidRPr="00742A04">
        <w:t>mente</w:t>
      </w:r>
      <w:r w:rsidR="00545D1B" w:rsidRPr="00742A04">
        <w:t xml:space="preserve"> </w:t>
      </w:r>
      <w:r w:rsidR="00E34391" w:rsidRPr="00742A04">
        <w:t>par</w:t>
      </w:r>
      <w:r w:rsidR="0030626A" w:rsidRPr="00742A04">
        <w:t>a</w:t>
      </w:r>
      <w:r w:rsidR="00545D1B" w:rsidRPr="00742A04">
        <w:t xml:space="preserve"> participa</w:t>
      </w:r>
      <w:r w:rsidR="00E34391" w:rsidRPr="00742A04">
        <w:t>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34391" w:rsidRPr="00742A04">
        <w:t>la vida laboral y social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B31D97" w:rsidRPr="00742A04">
        <w:t>para mejorar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independenc</w:t>
      </w:r>
      <w:r w:rsidR="00E34391" w:rsidRPr="00742A04">
        <w:t>ia f</w:t>
      </w:r>
      <w:r w:rsidR="00E34391" w:rsidRPr="00742A04">
        <w:t>i</w:t>
      </w:r>
      <w:r w:rsidR="00E34391" w:rsidRPr="00742A04">
        <w:t>nanciera</w:t>
      </w:r>
      <w:r w:rsidR="00545D1B" w:rsidRPr="00742A04">
        <w:t xml:space="preserve">. </w:t>
      </w:r>
      <w:r w:rsidR="00E34391" w:rsidRPr="00742A04">
        <w:t>La p</w:t>
      </w:r>
      <w:r w:rsidR="00545D1B" w:rsidRPr="00742A04">
        <w:t>articipa</w:t>
      </w:r>
      <w:r w:rsidR="00E34391" w:rsidRPr="00742A04">
        <w:t>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15664" w:rsidRPr="00742A04">
        <w:t>el programa</w:t>
      </w:r>
      <w:r w:rsidR="00545D1B" w:rsidRPr="00742A04">
        <w:t xml:space="preserve"> </w:t>
      </w:r>
      <w:r w:rsidR="00E34391" w:rsidRPr="00742A04">
        <w:t>da a</w:t>
      </w:r>
      <w:r w:rsidR="00545D1B" w:rsidRPr="00742A04">
        <w:t xml:space="preserve"> </w:t>
      </w:r>
      <w:r w:rsidR="00D3378F" w:rsidRPr="00742A04">
        <w:t xml:space="preserve">la persona </w:t>
      </w:r>
      <w:r w:rsidR="00E34391" w:rsidRPr="00742A04">
        <w:t xml:space="preserve">derecho </w:t>
      </w:r>
      <w:r w:rsidR="0030626A" w:rsidRPr="00742A04">
        <w:t>a</w:t>
      </w:r>
      <w:r w:rsidR="00545D1B" w:rsidRPr="00742A04">
        <w:t xml:space="preserve"> </w:t>
      </w:r>
      <w:r w:rsidR="00E34391" w:rsidRPr="00742A04">
        <w:t>un</w:t>
      </w:r>
      <w:r w:rsidR="00545D1B" w:rsidRPr="00742A04">
        <w:t xml:space="preserve"> </w:t>
      </w:r>
      <w:r w:rsidR="00E34391" w:rsidRPr="00742A04">
        <w:t>subsidio i</w:t>
      </w:r>
      <w:r w:rsidR="00E34391" w:rsidRPr="00742A04">
        <w:t>n</w:t>
      </w:r>
      <w:r w:rsidR="00E34391" w:rsidRPr="00742A04">
        <w:t>troductorio fijo</w:t>
      </w:r>
      <w:r w:rsidR="00545D1B" w:rsidRPr="00742A04">
        <w:t>, calcula</w:t>
      </w:r>
      <w:r w:rsidR="00E34391" w:rsidRPr="00742A04">
        <w:t>do</w:t>
      </w:r>
      <w:r w:rsidR="00545D1B" w:rsidRPr="00742A04">
        <w:t xml:space="preserve"> </w:t>
      </w:r>
      <w:r w:rsidR="00E34391" w:rsidRPr="00742A04">
        <w:t>individualmente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E34391" w:rsidRPr="00742A04">
        <w:t>toda</w:t>
      </w:r>
      <w:r w:rsidR="00545D1B" w:rsidRPr="00742A04">
        <w:t xml:space="preserve"> </w:t>
      </w:r>
      <w:r w:rsidR="00ED6A69" w:rsidRPr="00742A04">
        <w:t>ausencia</w:t>
      </w:r>
      <w:r w:rsidR="004F2F8A" w:rsidRPr="00742A04">
        <w:t xml:space="preserve"> </w:t>
      </w:r>
      <w:r w:rsidR="00E34391" w:rsidRPr="00742A04">
        <w:t xml:space="preserve">no autorizada </w:t>
      </w:r>
      <w:r w:rsidR="004F2F8A" w:rsidRPr="00742A04">
        <w:t xml:space="preserve">del </w:t>
      </w:r>
      <w:r w:rsidR="00615664" w:rsidRPr="00742A04">
        <w:t>pr</w:t>
      </w:r>
      <w:r w:rsidR="00615664" w:rsidRPr="00742A04">
        <w:t>o</w:t>
      </w:r>
      <w:r w:rsidR="00615664" w:rsidRPr="00742A04">
        <w:t>grama</w:t>
      </w:r>
      <w:r w:rsidR="00545D1B" w:rsidRPr="00742A04">
        <w:t xml:space="preserve"> </w:t>
      </w:r>
      <w:r w:rsidR="00E34391" w:rsidRPr="00742A04">
        <w:t>determinará una</w:t>
      </w:r>
      <w:r w:rsidR="00545D1B" w:rsidRPr="00742A04">
        <w:t xml:space="preserve"> deduc</w:t>
      </w:r>
      <w:r w:rsidR="008907B8" w:rsidRPr="00742A04">
        <w:t>ci</w:t>
      </w:r>
      <w:r w:rsidR="00E34391" w:rsidRPr="00742A04">
        <w:t>ó</w:t>
      </w:r>
      <w:r w:rsidR="008907B8" w:rsidRPr="00742A04">
        <w:t>n</w:t>
      </w:r>
      <w:r w:rsidR="00E34391" w:rsidRPr="00742A04">
        <w:t xml:space="preserve"> del subsidio</w:t>
      </w:r>
      <w:r w:rsidR="00545D1B" w:rsidRPr="00742A04">
        <w:t xml:space="preserve">. </w:t>
      </w:r>
      <w:r w:rsidR="00E34391" w:rsidRPr="00742A04">
        <w:t>Como</w:t>
      </w:r>
      <w:r w:rsidR="00545D1B" w:rsidRPr="00742A04">
        <w:t xml:space="preserve"> m</w:t>
      </w:r>
      <w:r w:rsidR="00E34391" w:rsidRPr="00742A04">
        <w:t>í</w:t>
      </w:r>
      <w:r w:rsidR="00545D1B" w:rsidRPr="00742A04">
        <w:t>nim</w:t>
      </w:r>
      <w:r w:rsidR="00E34391" w:rsidRPr="00742A04">
        <w:t>o</w:t>
      </w:r>
      <w:r w:rsidR="00545D1B" w:rsidRPr="00742A04">
        <w:t xml:space="preserve">, </w:t>
      </w:r>
      <w:r w:rsidR="00615664" w:rsidRPr="00742A04">
        <w:t>el programa</w:t>
      </w:r>
      <w:r w:rsidR="00545D1B" w:rsidRPr="00742A04">
        <w:t xml:space="preserve"> </w:t>
      </w:r>
      <w:r w:rsidR="007D4688" w:rsidRPr="00742A04">
        <w:t>debe</w:t>
      </w:r>
      <w:r w:rsidR="00545D1B" w:rsidRPr="00742A04">
        <w:t xml:space="preserve"> </w:t>
      </w:r>
      <w:r w:rsidR="00E34391" w:rsidRPr="00742A04">
        <w:t>comprender la</w:t>
      </w:r>
      <w:r w:rsidR="00545D1B" w:rsidRPr="00742A04">
        <w:t xml:space="preserve"> instruc</w:t>
      </w:r>
      <w:r w:rsidR="00C14BFF" w:rsidRPr="00742A04">
        <w:t>ción en</w:t>
      </w:r>
      <w:r w:rsidR="00545D1B" w:rsidRPr="00742A04">
        <w:t xml:space="preserve"> </w:t>
      </w:r>
      <w:r w:rsidR="00B7191C" w:rsidRPr="00742A04">
        <w:t>el idioma noruego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34391" w:rsidRPr="00742A04">
        <w:t>la vida cívica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E34391" w:rsidRPr="00742A04">
        <w:t>par</w:t>
      </w:r>
      <w:r w:rsidR="0030626A" w:rsidRPr="00742A04">
        <w:t>a</w:t>
      </w:r>
      <w:r w:rsidR="00545D1B" w:rsidRPr="00742A04">
        <w:t xml:space="preserve"> pr</w:t>
      </w:r>
      <w:r w:rsidR="00545D1B" w:rsidRPr="00742A04">
        <w:t>e</w:t>
      </w:r>
      <w:r w:rsidR="00545D1B" w:rsidRPr="00742A04">
        <w:t>par</w:t>
      </w:r>
      <w:r w:rsidR="00E34391" w:rsidRPr="00742A04">
        <w:t>ar a las personas para</w:t>
      </w:r>
      <w:r w:rsidR="00545D1B" w:rsidRPr="00742A04">
        <w:t xml:space="preserve"> participa</w:t>
      </w:r>
      <w:r w:rsidR="00E34391" w:rsidRPr="00742A04">
        <w:t>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</w:t>
      </w:r>
      <w:r w:rsidR="00AD0883" w:rsidRPr="00742A04">
        <w:t>a</w:t>
      </w:r>
      <w:r w:rsidR="00AD0883" w:rsidRPr="00742A04">
        <w:t>boral</w:t>
      </w:r>
      <w:r w:rsidR="00545D1B" w:rsidRPr="00742A04">
        <w:t>.</w:t>
      </w:r>
    </w:p>
    <w:p w:rsidR="00545D1B" w:rsidRPr="00742A04" w:rsidRDefault="00230F13" w:rsidP="00B2734A">
      <w:pPr>
        <w:pStyle w:val="SingleTxt"/>
        <w:ind w:firstLine="475"/>
      </w:pPr>
      <w:r w:rsidRPr="00742A04">
        <w:t>La Ley</w:t>
      </w:r>
      <w:r w:rsidR="00545D1B" w:rsidRPr="00742A04">
        <w:t xml:space="preserve"> </w:t>
      </w:r>
      <w:r w:rsidR="008E5EBF" w:rsidRPr="00742A04">
        <w:t>se 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42371" w:rsidRPr="00742A04">
        <w:t>mujeres y hombres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C7661" w:rsidRPr="00742A04">
        <w:t>los</w:t>
      </w:r>
      <w:r w:rsidR="00545D1B" w:rsidRPr="00742A04">
        <w:t xml:space="preserve"> tra</w:t>
      </w:r>
      <w:r w:rsidR="008C7661" w:rsidRPr="00742A04">
        <w:t>b</w:t>
      </w:r>
      <w:r w:rsidR="00545D1B" w:rsidRPr="00742A04">
        <w:t>a</w:t>
      </w:r>
      <w:r w:rsidR="008C7661" w:rsidRPr="00742A04">
        <w:t>jos pre</w:t>
      </w:r>
      <w:r w:rsidR="00545D1B" w:rsidRPr="00742A04">
        <w:t>parato</w:t>
      </w:r>
      <w:r w:rsidR="008C7661" w:rsidRPr="00742A04">
        <w:t>r</w:t>
      </w:r>
      <w:r w:rsidR="00545D1B" w:rsidRPr="00742A04">
        <w:t>i</w:t>
      </w:r>
      <w:r w:rsidR="008C7661" w:rsidRPr="00742A04">
        <w:t>o</w:t>
      </w:r>
      <w:r w:rsidR="00545D1B" w:rsidRPr="00742A04">
        <w:t xml:space="preserve">s </w:t>
      </w:r>
      <w:r w:rsidR="008C7661" w:rsidRPr="00742A04">
        <w:t>se s</w:t>
      </w:r>
      <w:r w:rsidR="008C7661" w:rsidRPr="00742A04">
        <w:t>e</w:t>
      </w:r>
      <w:r w:rsidR="008C7661" w:rsidRPr="00742A04">
        <w:t>ñaló</w:t>
      </w:r>
      <w:r w:rsidR="00545D1B" w:rsidRPr="00742A04">
        <w:t xml:space="preserve"> </w:t>
      </w:r>
      <w:r w:rsidR="000C68A8" w:rsidRPr="00742A04">
        <w:t xml:space="preserve">que la </w:t>
      </w:r>
      <w:r w:rsidRPr="00742A04">
        <w:t>Ley</w:t>
      </w:r>
      <w:r w:rsidR="00545D1B" w:rsidRPr="00742A04">
        <w:t xml:space="preserve"> </w:t>
      </w:r>
      <w:r w:rsidR="008C7661" w:rsidRPr="00742A04">
        <w:t>tenía</w:t>
      </w:r>
      <w:r w:rsidR="00545D1B" w:rsidRPr="00742A04">
        <w:t xml:space="preserve"> </w:t>
      </w:r>
      <w:r w:rsidR="007C3856" w:rsidRPr="00742A04">
        <w:t>especialmente</w:t>
      </w:r>
      <w:r w:rsidR="00545D1B" w:rsidRPr="00742A04">
        <w:t xml:space="preserve"> </w:t>
      </w:r>
      <w:r w:rsidR="008C7661" w:rsidRPr="00742A04">
        <w:t>la finalidad de permitir que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1633F4" w:rsidRPr="00742A04">
        <w:t>partic</w:t>
      </w:r>
      <w:r w:rsidR="001633F4" w:rsidRPr="00742A04">
        <w:t>i</w:t>
      </w:r>
      <w:r w:rsidR="001633F4" w:rsidRPr="00742A04">
        <w:t>par</w:t>
      </w:r>
      <w:r w:rsidR="008C7661" w:rsidRPr="00742A04">
        <w:t>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. </w:t>
      </w:r>
      <w:r w:rsidR="008C7661" w:rsidRPr="00742A04">
        <w:t>La inclus</w:t>
      </w:r>
      <w:r w:rsidR="00D165B5" w:rsidRPr="00742A04">
        <w:t>ión</w:t>
      </w:r>
      <w:r w:rsidR="00545D1B" w:rsidRPr="00742A04">
        <w:t xml:space="preserve"> </w:t>
      </w:r>
      <w:r w:rsidR="00F43124" w:rsidRPr="00742A04">
        <w:t xml:space="preserve">de la </w:t>
      </w:r>
      <w:r w:rsidR="000B0E93" w:rsidRPr="00742A04">
        <w:t>norma</w:t>
      </w:r>
      <w:r w:rsidR="00545D1B" w:rsidRPr="00742A04">
        <w:t xml:space="preserve"> </w:t>
      </w:r>
      <w:r w:rsidR="00EA6AC2" w:rsidRPr="00742A04">
        <w:t>relativ</w:t>
      </w:r>
      <w:r w:rsidR="008C7661" w:rsidRPr="00742A04">
        <w:t>a</w:t>
      </w:r>
      <w:r w:rsidR="00EA6AC2" w:rsidRPr="00742A04">
        <w:t xml:space="preserve"> a</w:t>
      </w:r>
      <w:r w:rsidR="008C7661" w:rsidRPr="00742A04">
        <w:t>l cálculo</w:t>
      </w:r>
      <w:r w:rsidR="00545D1B" w:rsidRPr="00742A04">
        <w:t xml:space="preserve"> individual</w:t>
      </w:r>
      <w:r w:rsidR="00C14BFF" w:rsidRPr="00742A04">
        <w:t xml:space="preserve"> </w:t>
      </w:r>
      <w:r w:rsidR="004A0730" w:rsidRPr="00742A04">
        <w:t>de</w:t>
      </w:r>
      <w:r w:rsidR="008C7661" w:rsidRPr="00742A04">
        <w:t>l subsidio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8C7661" w:rsidRPr="00742A04">
        <w:t xml:space="preserve">tiene la finalidad de </w:t>
      </w:r>
      <w:r w:rsidR="00EA6AC2" w:rsidRPr="00742A04">
        <w:t xml:space="preserve">promover </w:t>
      </w:r>
      <w:r w:rsidR="00F97F41" w:rsidRPr="00742A04">
        <w:t>su</w:t>
      </w:r>
      <w:r w:rsidR="00545D1B" w:rsidRPr="00742A04">
        <w:t xml:space="preserve"> independenc</w:t>
      </w:r>
      <w:r w:rsidR="008C7661" w:rsidRPr="00742A04">
        <w:t>ia financiera</w:t>
      </w:r>
      <w:r w:rsidR="00545D1B" w:rsidRPr="00742A04">
        <w:t xml:space="preserve">. </w:t>
      </w:r>
      <w:r w:rsidR="008C7661" w:rsidRPr="00742A04">
        <w:t>El subsidio se paga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="00CB4CDB" w:rsidRPr="00742A04">
        <w:t>persona</w:t>
      </w:r>
      <w:r w:rsidR="00545D1B" w:rsidRPr="00742A04">
        <w:t xml:space="preserve"> </w:t>
      </w:r>
      <w:r w:rsidR="008C7661" w:rsidRPr="00742A04">
        <w:t xml:space="preserve">individualmente, </w:t>
      </w:r>
      <w:r w:rsidR="00877AA0" w:rsidRPr="00742A04">
        <w:t>y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C7661" w:rsidRPr="00742A04">
        <w:t>un</w:t>
      </w:r>
      <w:r w:rsidR="00545D1B" w:rsidRPr="00742A04">
        <w:t xml:space="preserve"> </w:t>
      </w:r>
      <w:r w:rsidR="00AD5494" w:rsidRPr="00742A04">
        <w:t>cónyuge</w:t>
      </w:r>
      <w:r w:rsidR="00545D1B" w:rsidRPr="00742A04">
        <w:t xml:space="preserve"> (</w:t>
      </w:r>
      <w:r w:rsidR="008C7661" w:rsidRPr="00742A04">
        <w:t>por lo común el</w:t>
      </w:r>
      <w:r w:rsidR="00FF39FE" w:rsidRPr="00742A04">
        <w:t xml:space="preserve"> hombre</w:t>
      </w:r>
      <w:r w:rsidR="00545D1B" w:rsidRPr="00742A04">
        <w:t xml:space="preserve">), </w:t>
      </w:r>
      <w:r w:rsidR="008C7661" w:rsidRPr="00742A04">
        <w:t>como ocurre</w:t>
      </w:r>
      <w:r w:rsidR="00545D1B" w:rsidRPr="00742A04">
        <w:t xml:space="preserve"> </w:t>
      </w:r>
      <w:r w:rsidR="004A0730" w:rsidRPr="00742A04">
        <w:t>con</w:t>
      </w:r>
      <w:r w:rsidR="008C7661" w:rsidRPr="00742A04">
        <w:t xml:space="preserve"> las prestaciones de la</w:t>
      </w:r>
      <w:r w:rsidR="00545D1B" w:rsidRPr="00742A04">
        <w:t xml:space="preserve"> </w:t>
      </w:r>
      <w:r w:rsidR="00FD7D4E" w:rsidRPr="00742A04">
        <w:t>asistencia social</w:t>
      </w:r>
      <w:r w:rsidR="00545D1B" w:rsidRPr="00742A04">
        <w:t xml:space="preserve"> </w:t>
      </w:r>
      <w:r w:rsidR="008C7661" w:rsidRPr="00742A04">
        <w:t xml:space="preserve">en </w:t>
      </w:r>
      <w:r w:rsidR="00EA26AB" w:rsidRPr="00742A04">
        <w:t>Noruega</w:t>
      </w:r>
      <w:r w:rsidR="00545D1B" w:rsidRPr="00742A04">
        <w:t xml:space="preserve">. </w:t>
      </w:r>
      <w:r w:rsidR="008C7661" w:rsidRPr="00742A04">
        <w:t>Se destaca la importancia de</w:t>
      </w:r>
      <w:r w:rsidR="00B82A08" w:rsidRPr="00742A04">
        <w:t>l principio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adapta</w:t>
      </w:r>
      <w:r w:rsidR="00C14BFF" w:rsidRPr="00742A04">
        <w:t xml:space="preserve">ción </w:t>
      </w:r>
      <w:r w:rsidR="008C7661" w:rsidRPr="00742A04">
        <w:t>individual</w:t>
      </w:r>
      <w:r w:rsidR="00545D1B" w:rsidRPr="00742A04">
        <w:t xml:space="preserve">, </w:t>
      </w:r>
      <w:r w:rsidR="007C3856" w:rsidRPr="00742A04">
        <w:t>especialmente</w:t>
      </w:r>
      <w:r w:rsidR="00545D1B" w:rsidRPr="00742A04">
        <w:t xml:space="preserve"> </w:t>
      </w:r>
      <w:r w:rsidR="008C7661" w:rsidRPr="00742A04">
        <w:t xml:space="preserve">para </w:t>
      </w:r>
      <w:r w:rsidR="00A8633B" w:rsidRPr="00742A04">
        <w:t>asegurar que</w:t>
      </w:r>
      <w:r w:rsidR="00545D1B" w:rsidRPr="00742A04">
        <w:t xml:space="preserve"> </w:t>
      </w:r>
      <w:r w:rsidR="008C7661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C7661" w:rsidRPr="00742A04">
        <w:t>puedan seguir</w:t>
      </w:r>
      <w:r w:rsidR="00545D1B" w:rsidRPr="00742A04">
        <w:t xml:space="preserve"> </w:t>
      </w:r>
      <w:r w:rsidR="001633F4" w:rsidRPr="00742A04">
        <w:t>parti</w:t>
      </w:r>
      <w:r w:rsidR="008C7661" w:rsidRPr="00742A04">
        <w:t>cipando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15664" w:rsidRPr="00742A04">
        <w:t>el programa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8C7661" w:rsidRPr="00742A04">
        <w:t>están emb</w:t>
      </w:r>
      <w:r w:rsidR="008C7661" w:rsidRPr="00742A04">
        <w:t>a</w:t>
      </w:r>
      <w:r w:rsidR="008C7661" w:rsidRPr="00742A04">
        <w:t>razadas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8C7661" w:rsidRPr="00742A04">
        <w:t>cuidando a sus hijo</w:t>
      </w:r>
      <w:r w:rsidR="002F3238" w:rsidRPr="00742A04">
        <w:t>s</w:t>
      </w:r>
      <w:r w:rsidR="00545D1B" w:rsidRPr="00742A04">
        <w:t>.</w:t>
      </w:r>
    </w:p>
    <w:p w:rsidR="00545D1B" w:rsidRPr="00742A04" w:rsidRDefault="00C07ED9" w:rsidP="00B2734A">
      <w:pPr>
        <w:pStyle w:val="SingleTxt"/>
        <w:ind w:firstLine="475"/>
      </w:pPr>
      <w:r w:rsidRPr="00742A04">
        <w:t>En cooperación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9531C3" w:rsidRPr="00742A04">
        <w:t xml:space="preserve">Logro </w:t>
      </w:r>
      <w:r w:rsidR="00545D1B" w:rsidRPr="00742A04">
        <w:t>Ju</w:t>
      </w:r>
      <w:r w:rsidR="009531C3" w:rsidRPr="00742A04">
        <w:t>venil</w:t>
      </w:r>
      <w:r w:rsidR="00545D1B" w:rsidRPr="00742A04">
        <w:t xml:space="preserve"> – </w:t>
      </w:r>
      <w:r w:rsidR="009531C3" w:rsidRPr="00742A04">
        <w:t>Empresa Joven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, </w:t>
      </w:r>
      <w:r w:rsidR="009531C3" w:rsidRPr="00742A04">
        <w:t>la</w:t>
      </w:r>
      <w:r w:rsidR="00545D1B" w:rsidRPr="00742A04">
        <w:t xml:space="preserve"> Confeder</w:t>
      </w:r>
      <w:r w:rsidR="00545D1B" w:rsidRPr="00742A04">
        <w:t>a</w:t>
      </w:r>
      <w:r w:rsidR="00C14BFF" w:rsidRPr="00742A04">
        <w:t xml:space="preserve">ción </w:t>
      </w:r>
      <w:r w:rsidR="008D6B10" w:rsidRPr="00742A04">
        <w:t>del Comercio y la I</w:t>
      </w:r>
      <w:r w:rsidR="004B580D" w:rsidRPr="00742A04">
        <w:t>ndustria de Noruega</w:t>
      </w:r>
      <w:r w:rsidR="00545D1B" w:rsidRPr="00742A04">
        <w:t xml:space="preserve"> (NHO) ha </w:t>
      </w:r>
      <w:r w:rsidR="008D6B10" w:rsidRPr="00742A04">
        <w:t>elaborado el</w:t>
      </w:r>
      <w:r w:rsidR="00545D1B" w:rsidRPr="00742A04">
        <w:t xml:space="preserve"> concept</w:t>
      </w:r>
      <w:r w:rsidR="008D6B10" w:rsidRPr="00742A04">
        <w:t>o</w:t>
      </w:r>
      <w:r w:rsidR="00545D1B" w:rsidRPr="00742A04">
        <w:t xml:space="preserve"> </w:t>
      </w:r>
      <w:r w:rsidR="004A0730" w:rsidRPr="00742A04">
        <w:t>de</w:t>
      </w:r>
      <w:r w:rsidR="008D6B10" w:rsidRPr="00742A04">
        <w:t xml:space="preserve"> </w:t>
      </w:r>
      <w:r w:rsidR="00545D1B" w:rsidRPr="00742A04">
        <w:t>“</w:t>
      </w:r>
      <w:r w:rsidR="008D6B10" w:rsidRPr="00742A04">
        <w:t xml:space="preserve">Compañía </w:t>
      </w:r>
      <w:r w:rsidR="00D165B5" w:rsidRPr="00742A04">
        <w:t>Introducción</w:t>
      </w:r>
      <w:r w:rsidR="00545D1B" w:rsidRPr="00742A04">
        <w:t xml:space="preserve">” </w:t>
      </w:r>
      <w:r w:rsidR="00F43124" w:rsidRPr="00742A04">
        <w:t>para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D6B10" w:rsidRPr="00742A04">
        <w:t>el</w:t>
      </w:r>
      <w:r w:rsidR="00545D1B" w:rsidRPr="00742A04">
        <w:t xml:space="preserve"> </w:t>
      </w:r>
      <w:r w:rsidR="00E34391" w:rsidRPr="00742A04">
        <w:t xml:space="preserve">programa </w:t>
      </w:r>
      <w:r w:rsidR="008D6B10" w:rsidRPr="00742A04">
        <w:t>municipal de introducción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4B0EC3" w:rsidRPr="00742A04">
        <w:t>la práctica</w:t>
      </w:r>
      <w:r w:rsidR="00545D1B" w:rsidRPr="00742A04">
        <w:t xml:space="preserve">, </w:t>
      </w:r>
      <w:r w:rsidR="008D6B10" w:rsidRPr="00742A04">
        <w:t>varias</w:t>
      </w:r>
      <w:r w:rsidR="00855B3B" w:rsidRPr="00742A04">
        <w:t xml:space="preserve"> mujeres inmigrantes</w:t>
      </w:r>
      <w:r w:rsidR="00545D1B" w:rsidRPr="00742A04">
        <w:t xml:space="preserve"> ha</w:t>
      </w:r>
      <w:r w:rsidR="0061771B" w:rsidRPr="00742A04">
        <w:t>n tenido la oportunidad de probar sus aptit</w:t>
      </w:r>
      <w:r w:rsidR="0061771B" w:rsidRPr="00742A04">
        <w:t>u</w:t>
      </w:r>
      <w:r w:rsidR="0061771B" w:rsidRPr="00742A04">
        <w:t>des como gerente general dentro de este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. </w:t>
      </w:r>
      <w:r w:rsidR="00912890" w:rsidRPr="00742A04">
        <w:t>El Centro</w:t>
      </w:r>
      <w:r w:rsidR="00545D1B" w:rsidRPr="00742A04">
        <w:t xml:space="preserve"> </w:t>
      </w:r>
      <w:r w:rsidR="0061771B" w:rsidRPr="00742A04">
        <w:t xml:space="preserve">de </w:t>
      </w:r>
      <w:r w:rsidR="00A05847" w:rsidRPr="00742A04">
        <w:t>Educación</w:t>
      </w:r>
      <w:r w:rsidR="00545D1B" w:rsidRPr="00742A04">
        <w:t xml:space="preserve"> </w:t>
      </w:r>
      <w:r w:rsidR="0061771B" w:rsidRPr="00742A04">
        <w:t>de Adu</w:t>
      </w:r>
      <w:r w:rsidR="0061771B" w:rsidRPr="00742A04">
        <w:t>l</w:t>
      </w:r>
      <w:r w:rsidR="0061771B" w:rsidRPr="00742A04">
        <w:t xml:space="preserve">tos </w:t>
      </w:r>
      <w:r w:rsidR="00545D1B" w:rsidRPr="00742A04">
        <w:t xml:space="preserve">(SEVO) </w:t>
      </w:r>
      <w:r w:rsidR="0061771B" w:rsidRPr="00742A04">
        <w:t>d</w:t>
      </w:r>
      <w:r w:rsidR="00C14BFF" w:rsidRPr="00742A04">
        <w:t>e</w:t>
      </w:r>
      <w:r w:rsidR="00545D1B" w:rsidRPr="00742A04">
        <w:t xml:space="preserve"> Trondheim </w:t>
      </w:r>
      <w:r w:rsidR="0061771B" w:rsidRPr="00742A04">
        <w:t>también ha ensayado</w:t>
      </w:r>
      <w:r w:rsidR="00545D1B" w:rsidRPr="00742A04">
        <w:t xml:space="preserve"> “</w:t>
      </w:r>
      <w:r w:rsidR="0061771B" w:rsidRPr="00742A04">
        <w:t>La</w:t>
      </w:r>
      <w:r w:rsidR="00545D1B" w:rsidRPr="00742A04">
        <w:t xml:space="preserve"> Compa</w:t>
      </w:r>
      <w:r w:rsidR="0061771B" w:rsidRPr="00742A04">
        <w:t>ñía Alfa</w:t>
      </w:r>
      <w:r w:rsidR="00545D1B" w:rsidRPr="00742A04">
        <w:t xml:space="preserve">”*. </w:t>
      </w:r>
      <w:r w:rsidR="0061771B" w:rsidRPr="00742A04">
        <w:t>Ésta ha r</w:t>
      </w:r>
      <w:r w:rsidR="0061771B" w:rsidRPr="00742A04">
        <w:t>e</w:t>
      </w:r>
      <w:r w:rsidR="0061771B" w:rsidRPr="00742A04">
        <w:t>sultado</w:t>
      </w:r>
      <w:r w:rsidR="00545D1B" w:rsidRPr="00742A04">
        <w:t xml:space="preserve"> </w:t>
      </w:r>
      <w:r w:rsidR="007C3856" w:rsidRPr="00742A04">
        <w:t>especialmente</w:t>
      </w:r>
      <w:r w:rsidR="00545D1B" w:rsidRPr="00742A04">
        <w:t xml:space="preserve"> </w:t>
      </w:r>
      <w:r w:rsidR="0061771B" w:rsidRPr="00742A04">
        <w:t>útil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55B3B" w:rsidRPr="00742A04">
        <w:t>las mujeres inmigrantes</w:t>
      </w:r>
      <w:r w:rsidR="00545D1B" w:rsidRPr="00742A04">
        <w:t xml:space="preserve"> </w:t>
      </w:r>
      <w:r w:rsidR="0061771B" w:rsidRPr="00742A04">
        <w:t>que carecen de antecede</w:t>
      </w:r>
      <w:r w:rsidR="0061771B" w:rsidRPr="00742A04">
        <w:t>n</w:t>
      </w:r>
      <w:r w:rsidR="0061771B" w:rsidRPr="00742A04">
        <w:t>tes</w:t>
      </w:r>
      <w:r w:rsidR="00545D1B" w:rsidRPr="00742A04">
        <w:t xml:space="preserve"> </w:t>
      </w:r>
      <w:r w:rsidR="008E5EBF" w:rsidRPr="00742A04">
        <w:t>educacional</w:t>
      </w:r>
      <w:r w:rsidR="0061771B" w:rsidRPr="00742A04">
        <w:t>es</w:t>
      </w:r>
      <w:r w:rsidR="00545D1B" w:rsidRPr="00742A04">
        <w:t>.</w:t>
      </w:r>
    </w:p>
    <w:p w:rsidR="00545D1B" w:rsidRPr="00742A04" w:rsidRDefault="0061771B" w:rsidP="00B2734A">
      <w:pPr>
        <w:pStyle w:val="SingleTxt"/>
        <w:ind w:firstLine="475"/>
      </w:pPr>
      <w:r w:rsidRPr="00742A04">
        <w:t>Las aptitudes lingüísticas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Pr="00742A04">
        <w:t>un requisito previo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participa</w:t>
      </w:r>
      <w:r w:rsidRPr="00742A04">
        <w:t>r</w:t>
      </w:r>
      <w:r w:rsidR="00C14BFF" w:rsidRPr="00742A04">
        <w:t xml:space="preserve"> en</w:t>
      </w:r>
      <w:r w:rsidR="00545D1B" w:rsidRPr="00742A04">
        <w:t xml:space="preserve"> </w:t>
      </w:r>
      <w:r w:rsidRPr="00742A04">
        <w:t>la vida</w:t>
      </w:r>
      <w:r w:rsidR="00545D1B" w:rsidRPr="00742A04">
        <w:t xml:space="preserve"> social </w:t>
      </w:r>
      <w:r w:rsidR="004A0730" w:rsidRPr="00742A04">
        <w:t>de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na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Pr="00742A04">
        <w:t>Consiguientemente,</w:t>
      </w:r>
      <w:r w:rsidR="00975FBB">
        <w:t xml:space="preserve"> desde el </w:t>
      </w:r>
      <w:r w:rsidR="00545D1B" w:rsidRPr="00742A04">
        <w:t>1</w:t>
      </w:r>
      <w:r w:rsidRPr="00742A04">
        <w:t>° de</w:t>
      </w:r>
      <w:r w:rsidR="00545D1B" w:rsidRPr="00742A04">
        <w:t xml:space="preserve"> </w:t>
      </w:r>
      <w:r w:rsidR="005C39D4" w:rsidRPr="00742A04">
        <w:t>septiembre</w:t>
      </w:r>
      <w:r w:rsidR="003E5775" w:rsidRPr="00742A04">
        <w:t xml:space="preserve"> de</w:t>
      </w:r>
      <w:r w:rsidR="00545D1B" w:rsidRPr="00742A04">
        <w:t xml:space="preserve"> 2005, </w:t>
      </w:r>
      <w:r w:rsidRPr="00742A04">
        <w:t>los inmigrantes llegados recientemente</w:t>
      </w:r>
      <w:r w:rsidR="00545D1B" w:rsidRPr="00742A04">
        <w:t xml:space="preserve"> </w:t>
      </w:r>
      <w:r w:rsidRPr="00742A04">
        <w:t>tienen por ley el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el </w:t>
      </w:r>
      <w:r w:rsidR="00963214" w:rsidRPr="00742A04">
        <w:t>deber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492C77" w:rsidRPr="00742A04">
        <w:t>part</w:t>
      </w:r>
      <w:r w:rsidR="00492C77" w:rsidRPr="00742A04">
        <w:t>i</w:t>
      </w:r>
      <w:r w:rsidR="00AB3372">
        <w:t>cipar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instruc</w:t>
      </w:r>
      <w:r w:rsidR="00C14BFF" w:rsidRPr="00742A04">
        <w:t>ción en</w:t>
      </w:r>
      <w:r w:rsidR="00545D1B" w:rsidRPr="00742A04">
        <w:t xml:space="preserve"> </w:t>
      </w:r>
      <w:r w:rsidRPr="00742A04">
        <w:t>el idioma noruego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para la vida cívica</w:t>
      </w:r>
      <w:r w:rsidR="00545D1B" w:rsidRPr="00742A04">
        <w:t xml:space="preserve">. </w:t>
      </w:r>
      <w:r w:rsidRPr="00742A04">
        <w:t>Una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982243" w:rsidRPr="00742A04">
        <w:t>razón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dar a este</w:t>
      </w:r>
      <w:r w:rsidR="00545D1B" w:rsidRPr="00742A04">
        <w:t xml:space="preserve"> </w:t>
      </w:r>
      <w:r w:rsidR="00B7191C" w:rsidRPr="00742A04">
        <w:t>curso</w:t>
      </w:r>
      <w:r w:rsidR="00545D1B" w:rsidRPr="00742A04">
        <w:t xml:space="preserve"> </w:t>
      </w:r>
      <w:r w:rsidRPr="00742A04">
        <w:t xml:space="preserve">carácter </w:t>
      </w:r>
      <w:r w:rsidR="003315C7" w:rsidRPr="00742A04">
        <w:t>obligatori</w:t>
      </w:r>
      <w:r w:rsidRPr="00742A04">
        <w:t>o fue</w:t>
      </w:r>
      <w:r w:rsidR="00545D1B" w:rsidRPr="00742A04">
        <w:t xml:space="preserve"> </w:t>
      </w:r>
      <w:r w:rsidR="00A8633B" w:rsidRPr="00742A04">
        <w:t>asegurar que</w:t>
      </w:r>
      <w:r w:rsidR="00545D1B" w:rsidRPr="00742A04">
        <w:t xml:space="preserve"> </w:t>
      </w:r>
      <w:r w:rsidR="00855B3B" w:rsidRPr="00742A04">
        <w:t>las mujeres inm</w:t>
      </w:r>
      <w:r w:rsidR="00855B3B" w:rsidRPr="00742A04">
        <w:t>i</w:t>
      </w:r>
      <w:r w:rsidR="00855B3B" w:rsidRPr="00742A04">
        <w:t>grantes</w:t>
      </w:r>
      <w:r w:rsidR="00545D1B" w:rsidRPr="00742A04">
        <w:t xml:space="preserve"> </w:t>
      </w:r>
      <w:r w:rsidR="00644C8F" w:rsidRPr="00742A04">
        <w:t>recibi</w:t>
      </w:r>
      <w:r w:rsidRPr="00742A04">
        <w:t>eran</w:t>
      </w:r>
      <w:r w:rsidR="00545D1B" w:rsidRPr="00742A04">
        <w:t xml:space="preserve"> </w:t>
      </w:r>
      <w:r w:rsidR="00F43124" w:rsidRPr="00742A04">
        <w:t>capacitación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7191C" w:rsidRPr="00742A04">
        <w:t>el idioma noruego</w:t>
      </w:r>
      <w:r w:rsidR="00545D1B" w:rsidRPr="00742A04">
        <w:t xml:space="preserve">. </w:t>
      </w:r>
      <w:r w:rsidR="00CF2F77" w:rsidRPr="00742A04">
        <w:t>Es</w:t>
      </w:r>
      <w:r w:rsidR="00545D1B" w:rsidRPr="00742A04">
        <w:t xml:space="preserve"> </w:t>
      </w:r>
      <w:r w:rsidR="003315C7" w:rsidRPr="00742A04">
        <w:t>obligatori</w:t>
      </w:r>
      <w:r w:rsidRPr="00742A04">
        <w:t>o asistir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300 </w:t>
      </w:r>
      <w:r w:rsidRPr="00742A04">
        <w:t>horas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instruc</w:t>
      </w:r>
      <w:r w:rsidR="00935A90" w:rsidRPr="00742A04">
        <w:t>ción,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las cuales</w:t>
      </w:r>
      <w:r w:rsidR="00545D1B" w:rsidRPr="00742A04">
        <w:t xml:space="preserve"> 250 </w:t>
      </w:r>
      <w:r w:rsidRPr="00742A04">
        <w:t>horas</w:t>
      </w:r>
      <w:r w:rsidR="00545D1B" w:rsidRPr="00742A04">
        <w:t xml:space="preserve"> </w:t>
      </w:r>
      <w:r w:rsidRPr="00742A04">
        <w:t>corresponden a la capacitación en</w:t>
      </w:r>
      <w:r w:rsidR="00545D1B" w:rsidRPr="00742A04">
        <w:t xml:space="preserve"> </w:t>
      </w:r>
      <w:r w:rsidRPr="00742A04">
        <w:t>el idioma noruego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50 </w:t>
      </w:r>
      <w:r w:rsidRPr="00742A04">
        <w:t>horas</w:t>
      </w:r>
      <w:r w:rsidR="00545D1B" w:rsidRPr="00742A04">
        <w:t xml:space="preserve"> </w:t>
      </w:r>
      <w:r w:rsidRPr="00742A04">
        <w:t>a la</w:t>
      </w:r>
      <w:r w:rsidR="00545D1B" w:rsidRPr="00742A04">
        <w:t xml:space="preserve"> instruc</w:t>
      </w:r>
      <w:r w:rsidR="00C14BFF" w:rsidRPr="00742A04">
        <w:t xml:space="preserve">ción </w:t>
      </w:r>
      <w:r w:rsidRPr="00742A04">
        <w:t>para</w:t>
      </w:r>
      <w:r w:rsidR="00545D1B" w:rsidRPr="00742A04">
        <w:t xml:space="preserve"> </w:t>
      </w:r>
      <w:r w:rsidR="00E34391" w:rsidRPr="00742A04">
        <w:t>la vida cívica</w:t>
      </w:r>
      <w:r w:rsidR="00545D1B" w:rsidRPr="00742A04">
        <w:t>. Apart</w:t>
      </w:r>
      <w:r w:rsidRPr="00742A04">
        <w:t>e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Pr="00742A04">
        <w:t>esta</w:t>
      </w:r>
      <w:r w:rsidR="00545D1B" w:rsidRPr="00742A04">
        <w:t xml:space="preserve"> </w:t>
      </w:r>
      <w:r w:rsidRPr="00742A04">
        <w:t>in</w:t>
      </w:r>
      <w:r w:rsidRPr="00742A04">
        <w:t>s</w:t>
      </w:r>
      <w:r w:rsidRPr="00742A04">
        <w:t>trucción obligatoria</w:t>
      </w:r>
      <w:r w:rsidR="00935A90" w:rsidRPr="00742A04">
        <w:t>,</w:t>
      </w:r>
      <w:r w:rsidR="00545D1B" w:rsidRPr="00742A04">
        <w:t xml:space="preserve"> </w:t>
      </w:r>
      <w:r w:rsidRPr="00742A04">
        <w:t>quienes la necesiten podrán recibir hasta</w:t>
      </w:r>
      <w:r w:rsidR="00545D1B" w:rsidRPr="00742A04">
        <w:t xml:space="preserve"> 2</w:t>
      </w:r>
      <w:r w:rsidRPr="00742A04">
        <w:t>.</w:t>
      </w:r>
      <w:r w:rsidR="00545D1B" w:rsidRPr="00742A04">
        <w:t xml:space="preserve">700 </w:t>
      </w:r>
      <w:r w:rsidRPr="00742A04">
        <w:t>horas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capac</w:t>
      </w:r>
      <w:r w:rsidRPr="00742A04">
        <w:t>i</w:t>
      </w:r>
      <w:r w:rsidRPr="00742A04">
        <w:t>tación lingüística</w:t>
      </w:r>
      <w:r w:rsidR="00545D1B" w:rsidRPr="00742A04">
        <w:t xml:space="preserve">. </w:t>
      </w:r>
      <w:r w:rsidRPr="00742A04">
        <w:t>Los</w:t>
      </w:r>
      <w:r w:rsidR="00545D1B" w:rsidRPr="00742A04">
        <w:t xml:space="preserve"> </w:t>
      </w:r>
      <w:r w:rsidR="00855B3B" w:rsidRPr="00742A04">
        <w:t>inmigrantes</w:t>
      </w:r>
      <w:r w:rsidR="00545D1B" w:rsidRPr="00742A04">
        <w:t xml:space="preserve"> </w:t>
      </w:r>
      <w:r w:rsidR="007D4688" w:rsidRPr="00742A04">
        <w:t>debe</w:t>
      </w:r>
      <w:r w:rsidRPr="00742A04">
        <w:t>n</w:t>
      </w:r>
      <w:r w:rsidR="00545D1B" w:rsidRPr="00742A04">
        <w:t xml:space="preserve"> ha</w:t>
      </w:r>
      <w:r w:rsidRPr="00742A04">
        <w:t>ber cumplido</w:t>
      </w:r>
      <w:r w:rsidR="00545D1B" w:rsidRPr="00742A04">
        <w:t xml:space="preserve"> 300 </w:t>
      </w:r>
      <w:r w:rsidRPr="00742A04">
        <w:t>horas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instruc</w:t>
      </w:r>
      <w:r w:rsidR="00C14BFF" w:rsidRPr="00742A04">
        <w:t xml:space="preserve">ción </w:t>
      </w:r>
      <w:r w:rsidR="008E5EBF" w:rsidRPr="00742A04">
        <w:t>o</w:t>
      </w:r>
      <w:r w:rsidR="00545D1B" w:rsidRPr="00742A04">
        <w:t xml:space="preserve"> </w:t>
      </w:r>
      <w:r w:rsidRPr="00742A04">
        <w:t>estar en condiciones de probar que tienen aptitudes</w:t>
      </w:r>
      <w:r w:rsidR="00545D1B" w:rsidRPr="00742A04">
        <w:t xml:space="preserve"> </w:t>
      </w:r>
      <w:r w:rsidRPr="00742A04">
        <w:t xml:space="preserve">lingüísticas adecuadas </w:t>
      </w:r>
      <w:r w:rsidR="00A826CB" w:rsidRPr="00742A04">
        <w:t>antes de</w:t>
      </w:r>
      <w:r w:rsidR="00545D1B" w:rsidRPr="00742A04">
        <w:t xml:space="preserve"> </w:t>
      </w:r>
      <w:r w:rsidRPr="00742A04">
        <w:t>que se le otorgue un</w:t>
      </w:r>
      <w:r w:rsidR="00545D1B" w:rsidRPr="00742A04">
        <w:t xml:space="preserve"> </w:t>
      </w:r>
      <w:r w:rsidR="005C19C7" w:rsidRPr="00742A04">
        <w:t>permiso</w:t>
      </w:r>
      <w:r w:rsidR="00545D1B" w:rsidRPr="00742A04">
        <w:t xml:space="preserve"> </w:t>
      </w:r>
      <w:r w:rsidRPr="00742A04">
        <w:t xml:space="preserve">de residencia permanente </w:t>
      </w:r>
      <w:r w:rsidR="008E5EBF" w:rsidRPr="00742A04">
        <w:t>o</w:t>
      </w:r>
      <w:r w:rsidR="00545D1B" w:rsidRPr="00742A04">
        <w:t xml:space="preserve"> </w:t>
      </w:r>
      <w:r w:rsidR="009B24F7" w:rsidRPr="00742A04">
        <w:t>la nacionalidad n</w:t>
      </w:r>
      <w:r w:rsidR="009B24F7" w:rsidRPr="00742A04">
        <w:t>o</w:t>
      </w:r>
      <w:r w:rsidR="009B24F7" w:rsidRPr="00742A04">
        <w:t>ruega</w:t>
      </w:r>
      <w:r w:rsidR="00545D1B" w:rsidRPr="00742A04">
        <w:t>.</w:t>
      </w:r>
    </w:p>
    <w:p w:rsidR="00545D1B" w:rsidRPr="00742A04" w:rsidRDefault="00AF63E6" w:rsidP="00B2734A">
      <w:pPr>
        <w:pStyle w:val="SingleTxt"/>
        <w:ind w:firstLine="475"/>
      </w:pPr>
      <w:r w:rsidRPr="00742A04">
        <w:t>Este</w:t>
      </w:r>
      <w:r w:rsidR="00545D1B" w:rsidRPr="00742A04">
        <w:t xml:space="preserve"> </w:t>
      </w:r>
      <w:r w:rsidRPr="00742A04">
        <w:t>nuevo</w:t>
      </w:r>
      <w:r w:rsidR="00545D1B" w:rsidRPr="00742A04">
        <w:t xml:space="preserve"> </w:t>
      </w:r>
      <w:r w:rsidR="0063400A" w:rsidRPr="00742A04">
        <w:t>plan</w:t>
      </w:r>
      <w:r w:rsidR="00545D1B" w:rsidRPr="00742A04">
        <w:t xml:space="preserve"> </w:t>
      </w:r>
      <w:r w:rsidR="008E5EBF" w:rsidRPr="00742A04">
        <w:t>se 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Pr="00742A04">
        <w:t xml:space="preserve">a las </w:t>
      </w:r>
      <w:r w:rsidR="003E5775" w:rsidRPr="00742A04">
        <w:t>que</w:t>
      </w:r>
      <w:r w:rsidR="00545D1B" w:rsidRPr="00742A04">
        <w:t xml:space="preserve"> </w:t>
      </w:r>
      <w:r w:rsidRPr="00742A04">
        <w:t>se ha otorgado</w:t>
      </w:r>
      <w:r w:rsidR="00545D1B" w:rsidRPr="00742A04">
        <w:t xml:space="preserve"> </w:t>
      </w:r>
      <w:r w:rsidR="00072AD7" w:rsidRPr="00742A04">
        <w:t>asilo</w:t>
      </w:r>
      <w:r w:rsidR="00545D1B" w:rsidRPr="00742A04">
        <w:t>, res</w:t>
      </w:r>
      <w:r w:rsidR="00545D1B" w:rsidRPr="00742A04">
        <w:t>i</w:t>
      </w:r>
      <w:r w:rsidR="00545D1B" w:rsidRPr="00742A04">
        <w:t>den</w:t>
      </w:r>
      <w:r w:rsidRPr="00742A04">
        <w:t>cia</w:t>
      </w:r>
      <w:r w:rsidR="00545D1B" w:rsidRPr="00742A04">
        <w:t xml:space="preserve"> </w:t>
      </w:r>
      <w:r w:rsidRPr="00742A04">
        <w:t>por motivos humanitarios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>protección colectiva</w:t>
      </w:r>
      <w:r w:rsidR="00935A90" w:rsidRPr="00742A04">
        <w:t>,</w:t>
      </w:r>
      <w:r w:rsidR="00545D1B" w:rsidRPr="00742A04">
        <w:t xml:space="preserve"> </w:t>
      </w:r>
      <w:r w:rsidR="006F2E97">
        <w:t>y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los miembros de su f</w:t>
      </w:r>
      <w:r w:rsidRPr="00742A04">
        <w:t>a</w:t>
      </w:r>
      <w:r w:rsidRPr="00742A04">
        <w:t>milia reunificada</w:t>
      </w:r>
      <w:r w:rsidR="00545D1B" w:rsidRPr="00742A04">
        <w:t xml:space="preserve">. </w:t>
      </w:r>
      <w:r w:rsidRPr="00742A04">
        <w:t>Las</w:t>
      </w:r>
      <w:r w:rsidR="00545D1B" w:rsidRPr="00742A04">
        <w:t xml:space="preserve"> 300 </w:t>
      </w:r>
      <w:r w:rsidR="0061771B" w:rsidRPr="00742A04">
        <w:t>horas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1771B" w:rsidRPr="00742A04">
        <w:t>instrucción obligatoria</w:t>
      </w:r>
      <w:r w:rsidR="00C14BFF" w:rsidRPr="00742A04">
        <w:t xml:space="preserve"> </w:t>
      </w:r>
      <w:r w:rsidR="0020526A" w:rsidRPr="00742A04">
        <w:t>debe</w:t>
      </w:r>
      <w:r w:rsidRPr="00742A04">
        <w:t>n</w:t>
      </w:r>
      <w:r w:rsidR="0020526A" w:rsidRPr="00742A04">
        <w:t xml:space="preserve"> </w:t>
      </w:r>
      <w:r w:rsidRPr="00742A04">
        <w:t>cumplirse</w:t>
      </w:r>
      <w:r w:rsidR="00545D1B" w:rsidRPr="00742A04">
        <w:t xml:space="preserve"> </w:t>
      </w:r>
      <w:r w:rsidR="00C4506B">
        <w:t>den</w:t>
      </w:r>
      <w:r w:rsidR="00C4506B">
        <w:softHyphen/>
        <w:t xml:space="preserve">tro </w:t>
      </w:r>
      <w:r w:rsidR="00C07ED9" w:rsidRPr="00742A04">
        <w:t>de</w:t>
      </w:r>
      <w:r w:rsidR="00545D1B" w:rsidRPr="00742A04">
        <w:t xml:space="preserve"> </w:t>
      </w:r>
      <w:r w:rsidRPr="00742A04">
        <w:t>los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4D313C" w:rsidRPr="00742A04">
        <w:t>años</w:t>
      </w:r>
      <w:r w:rsidRPr="00742A04">
        <w:t xml:space="preserve"> de estada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toda la</w:t>
      </w:r>
      <w:r w:rsidR="00545D1B" w:rsidRPr="00742A04">
        <w:t xml:space="preserve"> instruc</w:t>
      </w:r>
      <w:r w:rsidR="00C14BFF" w:rsidRPr="00742A04">
        <w:t xml:space="preserve">ción </w:t>
      </w:r>
      <w:r w:rsidR="0020526A" w:rsidRPr="00742A04">
        <w:t xml:space="preserve">debe </w:t>
      </w:r>
      <w:r w:rsidRPr="00742A04">
        <w:t>cumplirse</w:t>
      </w:r>
      <w:r w:rsidR="00545D1B" w:rsidRPr="00742A04">
        <w:t xml:space="preserve"> </w:t>
      </w:r>
      <w:r w:rsidR="00C07ED9" w:rsidRPr="00742A04">
        <w:t>d</w:t>
      </w:r>
      <w:r w:rsidR="00C07ED9" w:rsidRPr="00742A04">
        <w:t>e</w:t>
      </w:r>
      <w:r w:rsidR="00C07ED9" w:rsidRPr="00742A04">
        <w:t>ntro de</w:t>
      </w:r>
      <w:r w:rsidR="00545D1B" w:rsidRPr="00742A04">
        <w:t xml:space="preserve"> </w:t>
      </w:r>
      <w:r w:rsidRPr="00742A04">
        <w:t>los</w:t>
      </w:r>
      <w:r w:rsidR="00545D1B" w:rsidRPr="00742A04">
        <w:t xml:space="preserve"> </w:t>
      </w:r>
      <w:r w:rsidR="00A5364F" w:rsidRPr="00742A04">
        <w:t>cinco</w:t>
      </w:r>
      <w:r w:rsidR="00545D1B" w:rsidRPr="00742A04">
        <w:t xml:space="preserve"> </w:t>
      </w:r>
      <w:r w:rsidRPr="00742A04">
        <w:t xml:space="preserve">primeros </w:t>
      </w:r>
      <w:r w:rsidR="004D313C" w:rsidRPr="00742A04">
        <w:t>años</w:t>
      </w:r>
      <w:r w:rsidR="00545D1B" w:rsidRPr="00742A04">
        <w:t xml:space="preserve">. </w:t>
      </w:r>
      <w:r w:rsidRPr="00742A04">
        <w:t>Se podrán conceder e</w:t>
      </w:r>
      <w:r w:rsidR="00545D1B" w:rsidRPr="00742A04">
        <w:t>xcep</w:t>
      </w:r>
      <w:r w:rsidR="008907B8" w:rsidRPr="00742A04">
        <w:t>ciones</w:t>
      </w:r>
      <w:r w:rsidR="00545D1B" w:rsidRPr="00742A04">
        <w:t xml:space="preserve"> </w:t>
      </w:r>
      <w:r w:rsidRPr="00742A04">
        <w:t>respecto de esos plazos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Pr="00742A04">
        <w:t xml:space="preserve">se puede probar </w:t>
      </w:r>
      <w:r w:rsidR="000C68A8" w:rsidRPr="00742A04">
        <w:t xml:space="preserve">que la </w:t>
      </w:r>
      <w:r w:rsidR="00D3378F" w:rsidRPr="00742A04">
        <w:t xml:space="preserve">persona </w:t>
      </w:r>
      <w:r w:rsidRPr="00742A04">
        <w:t xml:space="preserve">se </w:t>
      </w:r>
      <w:r w:rsidR="006D7D2F" w:rsidRPr="00742A04">
        <w:t xml:space="preserve">ha </w:t>
      </w:r>
      <w:r w:rsidRPr="00742A04">
        <w:t>visto impedida de asistir por razones ajenas a</w:t>
      </w:r>
      <w:r w:rsidR="00545D1B" w:rsidRPr="00742A04">
        <w:t xml:space="preserve"> </w:t>
      </w:r>
      <w:r w:rsidR="0020526A" w:rsidRPr="00742A04">
        <w:t>su</w:t>
      </w:r>
      <w:r w:rsidR="00545D1B" w:rsidRPr="00742A04">
        <w:t xml:space="preserve"> </w:t>
      </w:r>
      <w:r w:rsidRPr="00742A04">
        <w:t>voluntad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ha</w:t>
      </w:r>
      <w:r w:rsidR="00877086" w:rsidRPr="00742A04">
        <w:t xml:space="preserve"> tenido obligacione</w:t>
      </w:r>
      <w:r w:rsidR="00545D1B" w:rsidRPr="00742A04">
        <w:t xml:space="preserve">s </w:t>
      </w:r>
      <w:r w:rsidR="007C3856" w:rsidRPr="00742A04">
        <w:t>especialmente</w:t>
      </w:r>
      <w:r w:rsidR="00545D1B" w:rsidRPr="00742A04">
        <w:t xml:space="preserve"> </w:t>
      </w:r>
      <w:r w:rsidR="00877086" w:rsidRPr="00742A04">
        <w:t>gravosas en relación con el cu</w:t>
      </w:r>
      <w:r w:rsidR="00877086" w:rsidRPr="00742A04">
        <w:t>i</w:t>
      </w:r>
      <w:r w:rsidR="00877086" w:rsidRPr="00742A04">
        <w:t>dado de otras personas</w:t>
      </w:r>
      <w:r w:rsidR="00545D1B" w:rsidRPr="00742A04">
        <w:t>.</w:t>
      </w:r>
    </w:p>
    <w:p w:rsidR="00545D1B" w:rsidRPr="00742A04" w:rsidRDefault="004A0730" w:rsidP="00B2734A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877086" w:rsidRPr="00742A04">
        <w:t>los</w:t>
      </w:r>
      <w:r w:rsidR="00545D1B" w:rsidRPr="00742A04">
        <w:t xml:space="preserve"> </w:t>
      </w:r>
      <w:r w:rsidR="00877086" w:rsidRPr="00742A04">
        <w:t>trabajos preparatorios se hizo hincapié en que las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877086" w:rsidRPr="00742A04">
        <w:t xml:space="preserve">dirigidas </w:t>
      </w:r>
      <w:r w:rsidR="00B31D97" w:rsidRPr="00742A04">
        <w:t>a mejorar</w:t>
      </w:r>
      <w:r w:rsidR="00545D1B" w:rsidRPr="00742A04">
        <w:t xml:space="preserve"> </w:t>
      </w:r>
      <w:r w:rsidR="000472FC" w:rsidRPr="00742A04">
        <w:t>la situación</w:t>
      </w:r>
      <w:r w:rsidR="00C14BFF" w:rsidRPr="00742A04">
        <w:t xml:space="preserve"> </w:t>
      </w:r>
      <w:r w:rsidR="00877086" w:rsidRPr="00742A04">
        <w:t>de</w:t>
      </w:r>
      <w:r w:rsidR="00545D1B" w:rsidRPr="00742A04">
        <w:t xml:space="preserve"> </w:t>
      </w:r>
      <w:r w:rsidR="005E2D7A" w:rsidRPr="00742A04">
        <w:t>los inmigrantes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general </w:t>
      </w:r>
      <w:r w:rsidR="0020526A" w:rsidRPr="00742A04">
        <w:t>deb</w:t>
      </w:r>
      <w:r w:rsidR="00877086" w:rsidRPr="00742A04">
        <w:t>ían ser</w:t>
      </w:r>
      <w:r w:rsidR="0020526A" w:rsidRPr="00742A04">
        <w:t xml:space="preserve"> </w:t>
      </w:r>
      <w:r w:rsidR="00581775" w:rsidRPr="00742A04">
        <w:t>igua</w:t>
      </w:r>
      <w:r w:rsidR="005F7B32" w:rsidRPr="00742A04">
        <w:t xml:space="preserve">lmente </w:t>
      </w:r>
      <w:r w:rsidR="00545D1B" w:rsidRPr="00742A04">
        <w:t>a</w:t>
      </w:r>
      <w:r w:rsidR="00877086" w:rsidRPr="00742A04">
        <w:t>ccesi</w:t>
      </w:r>
      <w:r w:rsidR="00545D1B" w:rsidRPr="00742A04">
        <w:t>ble</w:t>
      </w:r>
      <w:r w:rsidR="00877086" w:rsidRPr="00742A04">
        <w:t>s</w:t>
      </w:r>
      <w:r w:rsidR="00545D1B" w:rsidRPr="00742A04">
        <w:t xml:space="preserve"> </w:t>
      </w:r>
      <w:r w:rsidR="00877086" w:rsidRPr="00742A04">
        <w:t>par</w:t>
      </w:r>
      <w:r w:rsidR="0030626A" w:rsidRPr="00742A04">
        <w:t>a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877086" w:rsidRPr="00742A04">
        <w:t>El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 </w:t>
      </w:r>
      <w:r w:rsidR="00877AA0" w:rsidRPr="00742A04">
        <w:t>y</w:t>
      </w:r>
      <w:r w:rsidR="00545D1B" w:rsidRPr="00742A04">
        <w:t>/</w:t>
      </w:r>
      <w:r w:rsidR="008E5EBF" w:rsidRPr="00742A04">
        <w:t>o</w:t>
      </w:r>
      <w:r w:rsidR="00545D1B" w:rsidRPr="00742A04">
        <w:t xml:space="preserve"> </w:t>
      </w:r>
      <w:r w:rsidR="00963214" w:rsidRPr="00742A04">
        <w:t>deber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instruc</w:t>
      </w:r>
      <w:r w:rsidR="00C14BFF" w:rsidRPr="00742A04">
        <w:t>ción en</w:t>
      </w:r>
      <w:r w:rsidR="00545D1B" w:rsidRPr="00742A04">
        <w:t xml:space="preserve"> </w:t>
      </w:r>
      <w:r w:rsidR="0061771B" w:rsidRPr="00742A04">
        <w:t>el idioma noruego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34391" w:rsidRPr="00742A04">
        <w:t>la vida cívica</w:t>
      </w:r>
      <w:r w:rsidR="00545D1B" w:rsidRPr="00742A04">
        <w:t xml:space="preserve"> </w:t>
      </w:r>
      <w:r w:rsidR="00877086" w:rsidRPr="00742A04">
        <w:t xml:space="preserve">se aplica </w:t>
      </w:r>
      <w:r w:rsidR="0030626A" w:rsidRPr="00742A04">
        <w:t>a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="00877086" w:rsidRPr="00742A04">
        <w:t>individuo</w:t>
      </w:r>
      <w:r w:rsidR="00545D1B" w:rsidRPr="00742A04">
        <w:t xml:space="preserve">, </w:t>
      </w:r>
      <w:r w:rsidR="00877086" w:rsidRPr="00742A04">
        <w:t>independientemente</w:t>
      </w:r>
      <w:r w:rsidR="00545D1B" w:rsidRPr="00742A04">
        <w:t xml:space="preserve"> </w:t>
      </w:r>
      <w:r w:rsidRPr="00742A04">
        <w:t>de</w:t>
      </w:r>
      <w:r w:rsidR="00877086" w:rsidRPr="00742A04">
        <w:t>l</w:t>
      </w:r>
      <w:r w:rsidR="00545D1B" w:rsidRPr="00742A04">
        <w:t xml:space="preserve"> </w:t>
      </w:r>
      <w:r w:rsidR="00A836A1" w:rsidRPr="00742A04">
        <w:t>género</w:t>
      </w:r>
      <w:r w:rsidR="00545D1B" w:rsidRPr="00742A04">
        <w:t>.</w:t>
      </w:r>
      <w:r w:rsidR="005E08DF" w:rsidRPr="00742A04">
        <w:t xml:space="preserve"> </w:t>
      </w:r>
      <w:r w:rsidR="00877086" w:rsidRPr="00742A04">
        <w:t>L</w:t>
      </w:r>
      <w:r w:rsidR="005E08DF" w:rsidRPr="00742A04">
        <w:t xml:space="preserve">a </w:t>
      </w:r>
      <w:r w:rsidR="00230F13" w:rsidRPr="00742A04">
        <w:t>Ley</w:t>
      </w:r>
      <w:r w:rsidR="00545D1B" w:rsidRPr="00742A04">
        <w:t xml:space="preserve"> </w:t>
      </w:r>
      <w:r w:rsidR="00894371">
        <w:t>exige</w:t>
      </w:r>
      <w:r w:rsidR="00545D1B" w:rsidRPr="00742A04">
        <w:t xml:space="preserve"> </w:t>
      </w:r>
      <w:r w:rsidR="00877086" w:rsidRPr="00742A04">
        <w:t xml:space="preserve">que se formulen planes </w:t>
      </w:r>
      <w:r w:rsidR="00545D1B" w:rsidRPr="00742A04">
        <w:t>individual</w:t>
      </w:r>
      <w:r w:rsidR="00242371" w:rsidRPr="00742A04">
        <w:t>es</w:t>
      </w:r>
      <w:r w:rsidR="00545D1B" w:rsidRPr="00742A04">
        <w:t xml:space="preserve">, </w:t>
      </w:r>
      <w:r w:rsidR="00877086" w:rsidRPr="00742A04">
        <w:t>con la finalidad de</w:t>
      </w:r>
      <w:r w:rsidR="00545D1B" w:rsidRPr="00742A04">
        <w:t xml:space="preserve"> </w:t>
      </w:r>
      <w:r w:rsidR="00877086" w:rsidRPr="00742A04">
        <w:t>logr</w:t>
      </w:r>
      <w:r w:rsidR="00CF2F77" w:rsidRPr="00742A04">
        <w:t>ar</w:t>
      </w:r>
      <w:r w:rsidR="00545D1B" w:rsidRPr="00742A04">
        <w:t xml:space="preserve"> sol</w:t>
      </w:r>
      <w:r w:rsidR="00545D1B" w:rsidRPr="00742A04">
        <w:t>u</w:t>
      </w:r>
      <w:r w:rsidR="008907B8" w:rsidRPr="00742A04">
        <w:t>cion</w:t>
      </w:r>
      <w:r w:rsidR="0081178E" w:rsidRPr="00742A04">
        <w:t xml:space="preserve">es </w:t>
      </w:r>
      <w:r w:rsidR="00877086" w:rsidRPr="00742A04">
        <w:t xml:space="preserve">flexibles </w:t>
      </w:r>
      <w:r w:rsidR="0081178E" w:rsidRPr="00742A04">
        <w:t>que</w:t>
      </w:r>
      <w:r w:rsidR="00545D1B" w:rsidRPr="00742A04">
        <w:t xml:space="preserve"> </w:t>
      </w:r>
      <w:r w:rsidR="006137EC" w:rsidRPr="00742A04">
        <w:t>s</w:t>
      </w:r>
      <w:r w:rsidR="00877086" w:rsidRPr="00742A04">
        <w:t>e</w:t>
      </w:r>
      <w:r w:rsidR="00545D1B" w:rsidRPr="00742A04">
        <w:t xml:space="preserve"> adap</w:t>
      </w:r>
      <w:r w:rsidR="00877086" w:rsidRPr="00742A04">
        <w:t>ten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9C08FB" w:rsidRPr="00742A04">
        <w:t>las necesidades</w:t>
      </w:r>
      <w:r w:rsidR="00877086" w:rsidRPr="00742A04">
        <w:t xml:space="preserve"> individuales</w:t>
      </w:r>
      <w:r w:rsidR="00545D1B" w:rsidRPr="00742A04">
        <w:t>.</w:t>
      </w:r>
    </w:p>
    <w:p w:rsidR="00877086" w:rsidRPr="00742A04" w:rsidRDefault="00877086" w:rsidP="00877086">
      <w:pPr>
        <w:pStyle w:val="H23"/>
        <w:spacing w:line="120" w:lineRule="exact"/>
        <w:ind w:left="1267"/>
        <w:rPr>
          <w:b w:val="0"/>
          <w:bCs/>
          <w:sz w:val="10"/>
        </w:rPr>
      </w:pPr>
    </w:p>
    <w:p w:rsidR="00545D1B" w:rsidRPr="00742A04" w:rsidRDefault="00877086" w:rsidP="00877086">
      <w:pPr>
        <w:pStyle w:val="H23"/>
        <w:ind w:left="1267"/>
        <w:rPr>
          <w:bCs/>
        </w:rPr>
      </w:pPr>
      <w:r w:rsidRPr="00742A04">
        <w:rPr>
          <w:bCs/>
        </w:rPr>
        <w:t>Escuelas i</w:t>
      </w:r>
      <w:r w:rsidR="00614C7D" w:rsidRPr="00742A04">
        <w:rPr>
          <w:bCs/>
        </w:rPr>
        <w:t>ndependiente</w:t>
      </w:r>
      <w:r w:rsidR="003E5775" w:rsidRPr="00742A04">
        <w:rPr>
          <w:bCs/>
        </w:rPr>
        <w:t xml:space="preserve">s </w:t>
      </w:r>
    </w:p>
    <w:p w:rsidR="00877086" w:rsidRPr="00742A04" w:rsidRDefault="00877086" w:rsidP="00BF6BE9">
      <w:pPr>
        <w:pStyle w:val="SingleTxt"/>
        <w:spacing w:after="0" w:line="120" w:lineRule="exact"/>
        <w:ind w:left="720" w:firstLine="475"/>
        <w:rPr>
          <w:sz w:val="10"/>
        </w:rPr>
      </w:pPr>
    </w:p>
    <w:p w:rsidR="00BF6BE9" w:rsidRPr="00742A04" w:rsidRDefault="00BF6BE9" w:rsidP="00BF6BE9">
      <w:pPr>
        <w:pStyle w:val="SingleTxt"/>
        <w:ind w:firstLine="475"/>
        <w:rPr>
          <w:i/>
        </w:rPr>
      </w:pPr>
      <w:r w:rsidRPr="00742A04">
        <w:t>El artículo 2-3 de la Ley sobre las Escuelas Independientes dispone que las a</w:t>
      </w:r>
      <w:r w:rsidRPr="00742A04">
        <w:t>c</w:t>
      </w:r>
      <w:r w:rsidRPr="00742A04">
        <w:t>tividades de dichas escuelas deben llevarse a cabo de conformidad con planes de e</w:t>
      </w:r>
      <w:r w:rsidRPr="00742A04">
        <w:t>s</w:t>
      </w:r>
      <w:r w:rsidRPr="00742A04">
        <w:t>tudio aprobados por el Ministerio. Si una escuela desea tener un plan de estudio d</w:t>
      </w:r>
      <w:r w:rsidRPr="00742A04">
        <w:t>i</w:t>
      </w:r>
      <w:r w:rsidRPr="00742A04">
        <w:t xml:space="preserve">ferente del plan de estudio oficial, de todos modos debe asegurar que los alumnos reciban una educación igualmente buena. Todos los planes de estudio que se </w:t>
      </w:r>
      <w:r w:rsidR="006F2E97">
        <w:t>a</w:t>
      </w:r>
      <w:r w:rsidRPr="00742A04">
        <w:t>pa</w:t>
      </w:r>
      <w:r w:rsidRPr="00742A04">
        <w:t>r</w:t>
      </w:r>
      <w:r w:rsidRPr="00742A04">
        <w:t>ten del plan de estudio oficial, independientemente de si la escuela tiene una finalidad religiosa o ética o de otra índole, son evaluados sobre la base del requisito de una educación igualmente buena. A este respecto, las autoridades examinan en part</w:t>
      </w:r>
      <w:r w:rsidRPr="00742A04">
        <w:t>i</w:t>
      </w:r>
      <w:r w:rsidRPr="00742A04">
        <w:t xml:space="preserve">cular la forma en que se tratan las cuestiones relativas a la igualdad de género. </w:t>
      </w:r>
      <w:r w:rsidR="00894371" w:rsidRPr="00742A04">
        <w:t>Cabe rem</w:t>
      </w:r>
      <w:r w:rsidR="00894371" w:rsidRPr="00742A04">
        <w:t>i</w:t>
      </w:r>
      <w:r w:rsidR="00894371" w:rsidRPr="00742A04">
        <w:t xml:space="preserve">tirse al artículo 1-1, segunda oración, </w:t>
      </w:r>
      <w:r w:rsidR="00894371" w:rsidRPr="00742A04">
        <w:rPr>
          <w:i/>
        </w:rPr>
        <w:t>d)</w:t>
      </w:r>
      <w:r w:rsidR="00894371" w:rsidRPr="00742A04">
        <w:t>, que dispone que la enseñanza impart</w:t>
      </w:r>
      <w:r w:rsidR="00894371" w:rsidRPr="00742A04">
        <w:t>i</w:t>
      </w:r>
      <w:r w:rsidR="00894371" w:rsidRPr="00742A04">
        <w:t xml:space="preserve">da en las escuelas independientes debe tener la finalidad de </w:t>
      </w:r>
      <w:r w:rsidR="00894371" w:rsidRPr="00742A04">
        <w:rPr>
          <w:i/>
        </w:rPr>
        <w:t>preparar al alumno para una vida responsable en una sociedad libre con un espíritu de comprensión, paz, tol</w:t>
      </w:r>
      <w:r w:rsidR="00894371" w:rsidRPr="00742A04">
        <w:rPr>
          <w:i/>
        </w:rPr>
        <w:t>e</w:t>
      </w:r>
      <w:r w:rsidR="00894371">
        <w:rPr>
          <w:i/>
        </w:rPr>
        <w:t>rancia</w:t>
      </w:r>
      <w:r w:rsidR="00894371" w:rsidRPr="00742A04">
        <w:rPr>
          <w:i/>
        </w:rPr>
        <w:t>, igualdad entre los sexos y amistad entre todos los pueblos, los grupos étn</w:t>
      </w:r>
      <w:r w:rsidR="00894371" w:rsidRPr="00742A04">
        <w:rPr>
          <w:i/>
        </w:rPr>
        <w:t>i</w:t>
      </w:r>
      <w:r w:rsidR="00894371" w:rsidRPr="00742A04">
        <w:rPr>
          <w:i/>
        </w:rPr>
        <w:t>cos, nacionales y religiosos y las personas pertenecientes a grupos indígenas.</w:t>
      </w:r>
    </w:p>
    <w:p w:rsidR="00545D1B" w:rsidRPr="00742A04" w:rsidRDefault="00BF6BE9" w:rsidP="00B2734A">
      <w:pPr>
        <w:pStyle w:val="SingleTxt"/>
        <w:ind w:firstLine="475"/>
      </w:pPr>
      <w:r w:rsidRPr="00742A04">
        <w:t>Las</w:t>
      </w:r>
      <w:r w:rsidR="00545D1B" w:rsidRPr="00742A04">
        <w:t xml:space="preserve"> </w:t>
      </w:r>
      <w:r w:rsidR="00A836A1" w:rsidRPr="00742A04">
        <w:t>juntas</w:t>
      </w:r>
      <w:r w:rsidR="00545D1B" w:rsidRPr="00742A04">
        <w:t xml:space="preserve"> </w:t>
      </w:r>
      <w:r w:rsidR="004A0730" w:rsidRPr="00742A04">
        <w:t>de</w:t>
      </w:r>
      <w:r w:rsidRPr="00742A04">
        <w:t xml:space="preserve"> gob</w:t>
      </w:r>
      <w:r w:rsidR="00545D1B" w:rsidRPr="00742A04">
        <w:t>ern</w:t>
      </w:r>
      <w:r w:rsidRPr="00742A04">
        <w:t>ad</w:t>
      </w:r>
      <w:r w:rsidR="00545D1B" w:rsidRPr="00742A04">
        <w:t>or</w:t>
      </w:r>
      <w:r w:rsidRPr="00742A04">
        <w:t>e</w:t>
      </w:r>
      <w:r w:rsidR="00545D1B" w:rsidRPr="00742A04">
        <w:t xml:space="preserve">s </w:t>
      </w:r>
      <w:r w:rsidR="004A0730" w:rsidRPr="00742A04">
        <w:t>de</w:t>
      </w:r>
      <w:r w:rsidR="00545D1B" w:rsidRPr="00742A04">
        <w:t xml:space="preserve"> </w:t>
      </w:r>
      <w:r w:rsidR="00877086" w:rsidRPr="00742A04">
        <w:t>las escuelas independientes</w:t>
      </w:r>
      <w:r w:rsidR="00545D1B" w:rsidRPr="00742A04">
        <w:t xml:space="preserve"> </w:t>
      </w:r>
      <w:r w:rsidRPr="00742A04">
        <w:t>tienen el</w:t>
      </w:r>
      <w:r w:rsidR="00545D1B" w:rsidRPr="00742A04">
        <w:t xml:space="preserve"> </w:t>
      </w:r>
      <w:r w:rsidR="00963214" w:rsidRPr="00742A04">
        <w:t>deber</w:t>
      </w:r>
      <w:r w:rsidRPr="00742A04">
        <w:t xml:space="preserve"> de</w:t>
      </w:r>
      <w:r w:rsidR="00545D1B" w:rsidRPr="00742A04">
        <w:t xml:space="preserve"> </w:t>
      </w:r>
      <w:r w:rsidR="00A8633B" w:rsidRPr="00742A04">
        <w:t>asegurar que</w:t>
      </w:r>
      <w:r w:rsidR="00545D1B" w:rsidRPr="00742A04">
        <w:t xml:space="preserve"> </w:t>
      </w:r>
      <w:r w:rsidRPr="00742A04">
        <w:t xml:space="preserve">la escuela </w:t>
      </w:r>
      <w:r w:rsidR="000248A9" w:rsidRPr="00742A04">
        <w:t>funcione</w:t>
      </w:r>
      <w:r w:rsidR="00545D1B" w:rsidRPr="00742A04">
        <w:t xml:space="preserve"> </w:t>
      </w:r>
      <w:r w:rsidR="00877086" w:rsidRPr="00742A04">
        <w:t>de conformidad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BD47D3" w:rsidRPr="00742A04">
        <w:t>el derecho de Noruega</w:t>
      </w:r>
      <w:r w:rsidR="00545D1B" w:rsidRPr="00742A04">
        <w:t>, inclu</w:t>
      </w:r>
      <w:r w:rsidR="000248A9" w:rsidRPr="00742A04">
        <w:t>i</w:t>
      </w:r>
      <w:r w:rsidR="000248A9" w:rsidRPr="00742A04">
        <w:t>da</w:t>
      </w:r>
      <w:r w:rsidR="00545D1B" w:rsidRPr="00742A04">
        <w:t xml:space="preserve"> </w:t>
      </w:r>
      <w:r w:rsidR="00A05847" w:rsidRPr="00742A04">
        <w:t xml:space="preserve">la Ley sobre la </w:t>
      </w:r>
      <w:r w:rsidR="00B31AE8" w:rsidRPr="00742A04">
        <w:t>Igualdad de Género</w:t>
      </w:r>
      <w:r w:rsidR="006137EC" w:rsidRPr="00742A04">
        <w:t>; véase</w:t>
      </w:r>
      <w:r w:rsidR="00545D1B" w:rsidRPr="00742A04">
        <w:t xml:space="preserve"> </w:t>
      </w:r>
      <w:r w:rsidR="00831F07" w:rsidRPr="00742A04">
        <w:t xml:space="preserve">el artículo </w:t>
      </w:r>
      <w:r w:rsidR="00545D1B" w:rsidRPr="00742A04">
        <w:t xml:space="preserve">5-2 </w:t>
      </w:r>
      <w:r w:rsidR="004A0730" w:rsidRPr="00742A04">
        <w:t>de</w:t>
      </w:r>
      <w:r w:rsidR="00545D1B" w:rsidRPr="00742A04">
        <w:t xml:space="preserve"> </w:t>
      </w:r>
      <w:r w:rsidR="00877086" w:rsidRPr="00742A04">
        <w:t>la Ley sobre las E</w:t>
      </w:r>
      <w:r w:rsidR="00877086" w:rsidRPr="00742A04">
        <w:t>s</w:t>
      </w:r>
      <w:r w:rsidR="00877086" w:rsidRPr="00742A04">
        <w:t>cuelas Independientes</w:t>
      </w:r>
      <w:r w:rsidR="00545D1B" w:rsidRPr="00742A04">
        <w:t xml:space="preserve">. </w:t>
      </w:r>
      <w:r w:rsidR="005E603B" w:rsidRPr="00742A04">
        <w:t xml:space="preserve">Con arreglo al artículo </w:t>
      </w:r>
      <w:r w:rsidR="00545D1B" w:rsidRPr="00742A04">
        <w:t xml:space="preserve">7-2 </w:t>
      </w:r>
      <w:r w:rsidR="004A0730" w:rsidRPr="00742A04">
        <w:t>de</w:t>
      </w:r>
      <w:r w:rsidR="00545D1B" w:rsidRPr="00742A04">
        <w:t xml:space="preserve"> </w:t>
      </w:r>
      <w:r w:rsidR="00877086" w:rsidRPr="00742A04">
        <w:t>la Ley sobre las Escuelas I</w:t>
      </w:r>
      <w:r w:rsidR="00877086" w:rsidRPr="00742A04">
        <w:t>n</w:t>
      </w:r>
      <w:r w:rsidR="00877086" w:rsidRPr="00742A04">
        <w:t>dependientes</w:t>
      </w:r>
      <w:r w:rsidR="00545D1B" w:rsidRPr="00742A04">
        <w:t xml:space="preserve">, </w:t>
      </w:r>
      <w:r w:rsidR="004A0730" w:rsidRPr="00742A04">
        <w:t>el Ministerio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0248A9" w:rsidRPr="00742A04">
        <w:t>responsable de la</w:t>
      </w:r>
      <w:r w:rsidR="00545D1B" w:rsidRPr="00742A04">
        <w:t xml:space="preserve"> inspec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3E5775" w:rsidRPr="00742A04">
        <w:t>las escuelas</w:t>
      </w:r>
      <w:r w:rsidR="00545D1B" w:rsidRPr="00742A04">
        <w:t xml:space="preserve">. </w:t>
      </w:r>
      <w:r w:rsidR="00232DF9" w:rsidRPr="00742A04">
        <w:t>Si</w:t>
      </w:r>
      <w:r w:rsidR="00545D1B" w:rsidRPr="00742A04">
        <w:t xml:space="preserve"> </w:t>
      </w:r>
      <w:r w:rsidR="000248A9" w:rsidRPr="00742A04">
        <w:t>se descubre una</w:t>
      </w:r>
      <w:r w:rsidR="00545D1B" w:rsidRPr="00742A04">
        <w:t xml:space="preserve"> situa</w:t>
      </w:r>
      <w:r w:rsidR="00C14BFF" w:rsidRPr="00742A04">
        <w:t xml:space="preserve">ción </w:t>
      </w:r>
      <w:r w:rsidR="000248A9" w:rsidRPr="00742A04">
        <w:t xml:space="preserve">que </w:t>
      </w:r>
      <w:r w:rsidR="00545D1B" w:rsidRPr="00742A04">
        <w:t>contraven</w:t>
      </w:r>
      <w:r w:rsidR="000248A9" w:rsidRPr="00742A04">
        <w:t>ga</w:t>
      </w:r>
      <w:r w:rsidR="00545D1B" w:rsidRPr="00742A04">
        <w:t xml:space="preserve"> </w:t>
      </w:r>
      <w:r w:rsidR="00877086" w:rsidRPr="00742A04">
        <w:t>la Ley sobre las Escuelas Independientes</w:t>
      </w:r>
      <w:r w:rsidR="00545D1B" w:rsidRPr="00742A04">
        <w:t xml:space="preserve">, </w:t>
      </w:r>
      <w:r w:rsidR="000248A9" w:rsidRPr="00742A04">
        <w:t>el</w:t>
      </w:r>
      <w:r w:rsidR="00545D1B" w:rsidRPr="00742A04">
        <w:t xml:space="preserve"> regla</w:t>
      </w:r>
      <w:r w:rsidR="000248A9" w:rsidRPr="00742A04">
        <w:t xml:space="preserve">mento conexo </w:t>
      </w:r>
      <w:r w:rsidR="004A0730" w:rsidRPr="00742A04">
        <w:t>con</w:t>
      </w:r>
      <w:r w:rsidR="00545D1B" w:rsidRPr="00742A04">
        <w:t xml:space="preserve"> </w:t>
      </w:r>
      <w:r w:rsidR="00877086" w:rsidRPr="00742A04">
        <w:t>la Ley sobre las Escuelas Independientes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DA461E" w:rsidRPr="00742A04">
        <w:t>las condiciones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248A9" w:rsidRPr="00742A04">
        <w:t xml:space="preserve">la </w:t>
      </w:r>
      <w:r w:rsidR="008B0108" w:rsidRPr="00742A04">
        <w:t>aprobación</w:t>
      </w:r>
      <w:r w:rsidR="00545D1B" w:rsidRPr="00742A04">
        <w:t xml:space="preserve">, </w:t>
      </w:r>
      <w:r w:rsidR="004A0730" w:rsidRPr="00742A04">
        <w:t>el Ministerio</w:t>
      </w:r>
      <w:r w:rsidR="00545D1B" w:rsidRPr="00742A04">
        <w:t xml:space="preserve"> </w:t>
      </w:r>
      <w:r w:rsidR="000248A9" w:rsidRPr="00742A04">
        <w:t xml:space="preserve">podrá </w:t>
      </w:r>
      <w:r w:rsidR="00545D1B" w:rsidRPr="00742A04">
        <w:t>orde</w:t>
      </w:r>
      <w:r w:rsidR="000248A9" w:rsidRPr="00742A04">
        <w:t>na</w:t>
      </w:r>
      <w:r w:rsidR="00545D1B" w:rsidRPr="00742A04">
        <w:t xml:space="preserve">r </w:t>
      </w:r>
      <w:r w:rsidR="000248A9" w:rsidRPr="00742A04">
        <w:t xml:space="preserve">otras sanciones más estrictas </w:t>
      </w:r>
      <w:r w:rsidR="00877AA0" w:rsidRPr="00742A04">
        <w:t>y</w:t>
      </w:r>
      <w:r w:rsidR="00545D1B" w:rsidRPr="00742A04">
        <w:t>/</w:t>
      </w:r>
      <w:r w:rsidR="008E5EBF" w:rsidRPr="00742A04">
        <w:t>o</w:t>
      </w:r>
      <w:r w:rsidR="00545D1B" w:rsidRPr="00742A04">
        <w:t xml:space="preserve"> </w:t>
      </w:r>
      <w:r w:rsidR="000248A9" w:rsidRPr="00742A04">
        <w:t xml:space="preserve">dictar una </w:t>
      </w:r>
      <w:r w:rsidR="0056679F" w:rsidRPr="00742A04">
        <w:t xml:space="preserve">decisión </w:t>
      </w:r>
      <w:r w:rsidR="000248A9" w:rsidRPr="00742A04">
        <w:t>administr</w:t>
      </w:r>
      <w:r w:rsidR="0056679F" w:rsidRPr="00742A04">
        <w:t>ativa</w:t>
      </w:r>
      <w:r w:rsidR="00545D1B" w:rsidRPr="00742A04">
        <w:t xml:space="preserve"> </w:t>
      </w:r>
      <w:r w:rsidR="000248A9" w:rsidRPr="00742A04">
        <w:t xml:space="preserve">que las </w:t>
      </w:r>
      <w:r w:rsidR="00041F24" w:rsidRPr="00742A04">
        <w:t>impon</w:t>
      </w:r>
      <w:r w:rsidR="000248A9" w:rsidRPr="00742A04">
        <w:t>ga</w:t>
      </w:r>
      <w:r w:rsidR="00545D1B" w:rsidRPr="00742A04">
        <w:t>.</w:t>
      </w:r>
    </w:p>
    <w:p w:rsidR="00545D1B" w:rsidRPr="00742A04" w:rsidRDefault="00894371" w:rsidP="00B2734A">
      <w:pPr>
        <w:pStyle w:val="SingleTxt"/>
        <w:ind w:firstLine="475"/>
      </w:pPr>
      <w:r w:rsidRPr="00742A04">
        <w:t>El Ministerio de Educación e Investigación ha iniciado un proceso comprens</w:t>
      </w:r>
      <w:r w:rsidRPr="00742A04">
        <w:t>i</w:t>
      </w:r>
      <w:r w:rsidRPr="00742A04">
        <w:t>vo con miras a</w:t>
      </w:r>
      <w:r>
        <w:t xml:space="preserve"> introducir</w:t>
      </w:r>
      <w:r w:rsidRPr="00742A04">
        <w:t xml:space="preserve"> enmiendas amplias y coherentes </w:t>
      </w:r>
      <w:r>
        <w:t>en</w:t>
      </w:r>
      <w:r w:rsidRPr="00742A04">
        <w:t xml:space="preserve"> la Ley sobre las E</w:t>
      </w:r>
      <w:r w:rsidRPr="00742A04">
        <w:t>s</w:t>
      </w:r>
      <w:r w:rsidRPr="00742A04">
        <w:t xml:space="preserve">cuelas Independientes a fin de armonizarla con la política del Gobierno. </w:t>
      </w:r>
      <w:r w:rsidR="000248A9" w:rsidRPr="00742A04">
        <w:t>E</w:t>
      </w:r>
      <w:r w:rsidR="001167D2" w:rsidRPr="00742A04">
        <w:t>l</w:t>
      </w:r>
      <w:r w:rsidR="000248A9" w:rsidRPr="00742A04">
        <w:t xml:space="preserve"> </w:t>
      </w:r>
      <w:r w:rsidR="004A0730" w:rsidRPr="00742A04">
        <w:t>Minist</w:t>
      </w:r>
      <w:r w:rsidR="004A0730" w:rsidRPr="00742A04">
        <w:t>e</w:t>
      </w:r>
      <w:r w:rsidR="004A0730" w:rsidRPr="00742A04">
        <w:t>rio</w:t>
      </w:r>
      <w:r w:rsidR="00545D1B" w:rsidRPr="00742A04">
        <w:t xml:space="preserve"> ha inform</w:t>
      </w:r>
      <w:r w:rsidR="000248A9" w:rsidRPr="00742A04">
        <w:t>ado a</w:t>
      </w:r>
      <w:r w:rsidR="00BD47D3" w:rsidRPr="00742A04">
        <w:t>l Storting</w:t>
      </w:r>
      <w:r w:rsidR="00545D1B" w:rsidRPr="00742A04">
        <w:t xml:space="preserve"> </w:t>
      </w:r>
      <w:r w:rsidR="000248A9" w:rsidRPr="00742A04">
        <w:t>que</w:t>
      </w:r>
      <w:r w:rsidR="00545D1B" w:rsidRPr="00742A04">
        <w:t xml:space="preserve">, </w:t>
      </w:r>
      <w:r w:rsidR="006B65CD" w:rsidRPr="00742A04">
        <w:t>como resultado</w:t>
      </w:r>
      <w:r w:rsidR="00545D1B" w:rsidRPr="00742A04">
        <w:t xml:space="preserve"> </w:t>
      </w:r>
      <w:r w:rsidR="004A0730" w:rsidRPr="00742A04">
        <w:t>de</w:t>
      </w:r>
      <w:r w:rsidR="000248A9" w:rsidRPr="00742A04">
        <w:t>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E5775" w:rsidRPr="00742A04">
        <w:t>las escuelas</w:t>
      </w:r>
      <w:r w:rsidR="00545D1B" w:rsidRPr="00742A04">
        <w:t xml:space="preserve"> </w:t>
      </w:r>
      <w:r w:rsidR="000248A9" w:rsidRPr="00742A04">
        <w:t xml:space="preserve">de Noruega </w:t>
      </w:r>
      <w:r w:rsidR="00C14BFF" w:rsidRPr="00742A04">
        <w:t>en</w:t>
      </w:r>
      <w:r w:rsidR="00545D1B" w:rsidRPr="00742A04">
        <w:t xml:space="preserve"> </w:t>
      </w:r>
      <w:r w:rsidR="000248A9" w:rsidRPr="00742A04">
        <w:t xml:space="preserve">los 10 o </w:t>
      </w:r>
      <w:r w:rsidR="00545D1B" w:rsidRPr="00742A04">
        <w:t xml:space="preserve">15 </w:t>
      </w:r>
      <w:r w:rsidR="000248A9" w:rsidRPr="00742A04">
        <w:t>últimos años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248A9" w:rsidRPr="00742A04">
        <w:t xml:space="preserve">los cambios </w:t>
      </w:r>
      <w:r w:rsidR="00545D1B" w:rsidRPr="00742A04">
        <w:t>general</w:t>
      </w:r>
      <w:r w:rsidR="000248A9" w:rsidRPr="00742A04">
        <w:t>es de</w:t>
      </w:r>
      <w:r w:rsidR="00545D1B" w:rsidRPr="00742A04">
        <w:t xml:space="preserve"> </w:t>
      </w:r>
      <w:r w:rsidR="000A5430" w:rsidRPr="00742A04">
        <w:t>la sociedad</w:t>
      </w:r>
      <w:r w:rsidR="00545D1B" w:rsidRPr="00742A04">
        <w:t xml:space="preserve">, </w:t>
      </w:r>
      <w:r w:rsidR="00BD47D3" w:rsidRPr="00742A04">
        <w:t>es</w:t>
      </w:r>
      <w:r w:rsidR="00545D1B" w:rsidRPr="00742A04">
        <w:t xml:space="preserve"> </w:t>
      </w:r>
      <w:r w:rsidR="00417824" w:rsidRPr="00742A04">
        <w:t>n</w:t>
      </w:r>
      <w:r w:rsidR="00417824" w:rsidRPr="00742A04">
        <w:t>e</w:t>
      </w:r>
      <w:r w:rsidR="00417824" w:rsidRPr="00742A04">
        <w:t>cesario</w:t>
      </w:r>
      <w:r w:rsidR="00545D1B" w:rsidRPr="00742A04">
        <w:t xml:space="preserve"> investiga</w:t>
      </w:r>
      <w:r w:rsidR="000248A9" w:rsidRPr="00742A04">
        <w:t xml:space="preserve">r minuciosamente qué </w:t>
      </w:r>
      <w:r w:rsidR="006F2E97">
        <w:t>es lo que</w:t>
      </w:r>
      <w:r w:rsidR="000248A9" w:rsidRPr="00742A04">
        <w:t xml:space="preserve"> </w:t>
      </w:r>
      <w:r w:rsidR="0020526A" w:rsidRPr="00742A04">
        <w:t>se podrá</w:t>
      </w:r>
      <w:r w:rsidR="00545D1B" w:rsidRPr="00742A04">
        <w:t xml:space="preserve"> </w:t>
      </w:r>
      <w:r w:rsidR="000248A9" w:rsidRPr="00742A04">
        <w:t>considerar como</w:t>
      </w:r>
      <w:r w:rsidR="00545D1B" w:rsidRPr="00742A04">
        <w:t xml:space="preserve"> alternat</w:t>
      </w:r>
      <w:r w:rsidR="00545D1B" w:rsidRPr="00742A04">
        <w:t>i</w:t>
      </w:r>
      <w:r w:rsidR="00545D1B" w:rsidRPr="00742A04">
        <w:t>v</w:t>
      </w:r>
      <w:r w:rsidR="000248A9" w:rsidRPr="00742A04">
        <w:t>a</w:t>
      </w:r>
      <w:r w:rsidR="00545D1B" w:rsidRPr="00742A04">
        <w:t xml:space="preserve"> </w:t>
      </w:r>
      <w:r w:rsidR="006F2E97">
        <w:t>educacional</w:t>
      </w:r>
      <w:r w:rsidR="000248A9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248A9" w:rsidRPr="00742A04">
        <w:t>sobre qué</w:t>
      </w:r>
      <w:r w:rsidR="00545D1B" w:rsidRPr="00742A04">
        <w:t xml:space="preserve"> bas</w:t>
      </w:r>
      <w:r w:rsidR="000248A9" w:rsidRPr="00742A04">
        <w:t>e</w:t>
      </w:r>
      <w:r w:rsidR="00545D1B" w:rsidRPr="00742A04">
        <w:t xml:space="preserve"> </w:t>
      </w:r>
      <w:r w:rsidR="0020526A" w:rsidRPr="00742A04">
        <w:t>se podrá</w:t>
      </w:r>
      <w:r w:rsidR="000248A9" w:rsidRPr="00742A04">
        <w:t>n</w:t>
      </w:r>
      <w:r w:rsidR="00545D1B" w:rsidRPr="00742A04">
        <w:t xml:space="preserve"> establ</w:t>
      </w:r>
      <w:r w:rsidR="000248A9" w:rsidRPr="00742A04">
        <w:t>ecer escuelas religiosas</w:t>
      </w:r>
      <w:r w:rsidR="00545D1B" w:rsidRPr="00742A04">
        <w:t xml:space="preserve">. </w:t>
      </w:r>
      <w:r w:rsidR="000248A9" w:rsidRPr="00742A04">
        <w:t>En el ot</w:t>
      </w:r>
      <w:r w:rsidR="000248A9" w:rsidRPr="00742A04">
        <w:t>o</w:t>
      </w:r>
      <w:r w:rsidR="000248A9" w:rsidRPr="00742A04">
        <w:t>ño de 2006 se circularán, con el fin de obtener observaciones de carácter consu</w:t>
      </w:r>
      <w:r w:rsidR="000248A9" w:rsidRPr="00742A04">
        <w:t>l</w:t>
      </w:r>
      <w:r w:rsidR="000248A9" w:rsidRPr="00742A04">
        <w:t>tivo, p</w:t>
      </w:r>
      <w:r w:rsidR="003C25BF" w:rsidRPr="00742A04">
        <w:t>ropuesta</w:t>
      </w:r>
      <w:r w:rsidR="00545D1B" w:rsidRPr="00742A04">
        <w:t xml:space="preserve">s </w:t>
      </w:r>
      <w:r w:rsidR="000248A9" w:rsidRPr="00742A04">
        <w:t>de</w:t>
      </w:r>
      <w:r w:rsidR="00545D1B" w:rsidRPr="00742A04">
        <w:t xml:space="preserve"> </w:t>
      </w:r>
      <w:r w:rsidR="00CD2FF0" w:rsidRPr="00742A04">
        <w:t>enmiendas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77086" w:rsidRPr="00742A04">
        <w:t>la Ley sobre las Escuelas Independientes</w:t>
      </w:r>
      <w:r w:rsidR="000248A9" w:rsidRPr="00742A04">
        <w:t>, que se prese</w:t>
      </w:r>
      <w:r w:rsidR="000248A9" w:rsidRPr="00742A04">
        <w:t>n</w:t>
      </w:r>
      <w:r w:rsidR="000248A9" w:rsidRPr="00742A04">
        <w:t>tarán</w:t>
      </w:r>
      <w:r w:rsidR="001167D2" w:rsidRPr="00742A04">
        <w:t xml:space="preserve"> al </w:t>
      </w:r>
      <w:r w:rsidR="00BD47D3" w:rsidRPr="00742A04">
        <w:t>Sto</w:t>
      </w:r>
      <w:r w:rsidR="00BD47D3" w:rsidRPr="00742A04">
        <w:t>r</w:t>
      </w:r>
      <w:r w:rsidR="00BD47D3" w:rsidRPr="00742A04">
        <w:t>ting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F3238" w:rsidRPr="00742A04">
        <w:t>la primavera de</w:t>
      </w:r>
      <w:r w:rsidR="00545D1B" w:rsidRPr="00742A04">
        <w:t xml:space="preserve"> 2007.</w:t>
      </w:r>
    </w:p>
    <w:p w:rsidR="00381B36" w:rsidRPr="00742A04" w:rsidRDefault="00381B36" w:rsidP="00381B36">
      <w:pPr>
        <w:pStyle w:val="H1"/>
        <w:spacing w:line="120" w:lineRule="exact"/>
        <w:ind w:left="1267"/>
        <w:rPr>
          <w:bCs/>
          <w:sz w:val="10"/>
        </w:rPr>
      </w:pPr>
      <w:bookmarkStart w:id="54" w:name="_Toc147129469"/>
    </w:p>
    <w:p w:rsidR="00545D1B" w:rsidRPr="00742A04" w:rsidRDefault="00814B5D" w:rsidP="00381B36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0248A9" w:rsidRPr="00742A04">
        <w:rPr>
          <w:bCs/>
        </w:rPr>
        <w:t xml:space="preserve"> 11</w:t>
      </w:r>
      <w:r w:rsidR="000248A9" w:rsidRPr="00742A04">
        <w:rPr>
          <w:bCs/>
        </w:rPr>
        <w:br/>
      </w:r>
      <w:r w:rsidR="00A05847" w:rsidRPr="00742A04">
        <w:rPr>
          <w:bCs/>
        </w:rPr>
        <w:t>Vida laboral</w:t>
      </w:r>
      <w:bookmarkEnd w:id="54"/>
    </w:p>
    <w:p w:rsidR="00381B36" w:rsidRPr="00742A04" w:rsidRDefault="00381B36" w:rsidP="00381B36">
      <w:pPr>
        <w:pStyle w:val="H1"/>
        <w:spacing w:line="120" w:lineRule="exact"/>
        <w:ind w:left="1267"/>
        <w:rPr>
          <w:bCs/>
          <w:sz w:val="10"/>
        </w:rPr>
      </w:pPr>
      <w:bookmarkStart w:id="55" w:name="_Toc147129470"/>
    </w:p>
    <w:p w:rsidR="00CB544A" w:rsidRPr="00742A04" w:rsidRDefault="00814B5D" w:rsidP="000248A9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1</w:t>
      </w:r>
      <w:r w:rsidR="000248A9" w:rsidRPr="00742A04">
        <w:rPr>
          <w:bCs/>
        </w:rPr>
        <w:t>1.</w:t>
      </w:r>
      <w:r w:rsidR="00545D1B" w:rsidRPr="00742A04">
        <w:rPr>
          <w:bCs/>
        </w:rPr>
        <w:t>1</w:t>
      </w:r>
      <w:r w:rsidR="000248A9" w:rsidRPr="00742A04">
        <w:rPr>
          <w:bCs/>
        </w:rPr>
        <w:t xml:space="preserve"> </w:t>
      </w:r>
      <w:r w:rsidR="000248A9" w:rsidRPr="00742A04">
        <w:rPr>
          <w:bCs/>
          <w:i/>
        </w:rPr>
        <w:t>a</w:t>
      </w:r>
    </w:p>
    <w:p w:rsidR="00545D1B" w:rsidRPr="00742A04" w:rsidRDefault="00CB544A" w:rsidP="000248A9">
      <w:pPr>
        <w:pStyle w:val="H23"/>
        <w:ind w:left="1267"/>
        <w:rPr>
          <w:bCs/>
        </w:rPr>
      </w:pPr>
      <w:r w:rsidRPr="00742A04">
        <w:rPr>
          <w:bCs/>
        </w:rPr>
        <w:t>E</w:t>
      </w:r>
      <w:r w:rsidR="001167D2" w:rsidRPr="00742A04">
        <w:rPr>
          <w:bCs/>
        </w:rPr>
        <w:t xml:space="preserve">l </w:t>
      </w:r>
      <w:r w:rsidR="00A05847" w:rsidRPr="00742A04">
        <w:rPr>
          <w:bCs/>
        </w:rPr>
        <w:t>derecho al trabajo</w:t>
      </w:r>
      <w:bookmarkEnd w:id="55"/>
    </w:p>
    <w:p w:rsidR="00CB544A" w:rsidRPr="00742A04" w:rsidRDefault="00CB544A" w:rsidP="00CB544A">
      <w:pPr>
        <w:pStyle w:val="H1"/>
        <w:spacing w:line="120" w:lineRule="exact"/>
        <w:ind w:left="1267"/>
        <w:rPr>
          <w:bCs/>
          <w:sz w:val="10"/>
        </w:rPr>
      </w:pPr>
    </w:p>
    <w:p w:rsidR="00545D1B" w:rsidRPr="00742A04" w:rsidRDefault="00AF201B" w:rsidP="00CB544A">
      <w:pPr>
        <w:pStyle w:val="H23"/>
        <w:ind w:left="1267"/>
        <w:rPr>
          <w:bCs/>
        </w:rPr>
      </w:pPr>
      <w:r w:rsidRPr="00742A04">
        <w:rPr>
          <w:bCs/>
        </w:rPr>
        <w:t>I</w:t>
      </w:r>
      <w:r w:rsidR="00545D1B" w:rsidRPr="00742A04">
        <w:rPr>
          <w:bCs/>
        </w:rPr>
        <w:t>nforma</w:t>
      </w:r>
      <w:r w:rsidR="00C14BFF" w:rsidRPr="00742A04">
        <w:rPr>
          <w:bCs/>
        </w:rPr>
        <w:t>ción</w:t>
      </w:r>
      <w:r w:rsidRPr="00742A04">
        <w:rPr>
          <w:bCs/>
        </w:rPr>
        <w:t xml:space="preserve"> general sobre</w:t>
      </w:r>
      <w:r w:rsidR="00545D1B" w:rsidRPr="00742A04">
        <w:rPr>
          <w:bCs/>
        </w:rPr>
        <w:t xml:space="preserve"> </w:t>
      </w:r>
      <w:r w:rsidR="00434891" w:rsidRPr="00742A04">
        <w:rPr>
          <w:bCs/>
        </w:rPr>
        <w:t>el mercado de trabajo</w:t>
      </w:r>
      <w:r w:rsidR="00545D1B" w:rsidRPr="00742A04">
        <w:rPr>
          <w:bCs/>
        </w:rPr>
        <w:t>, inclu</w:t>
      </w:r>
      <w:r w:rsidRPr="00742A04">
        <w:rPr>
          <w:bCs/>
        </w:rPr>
        <w:t>yendo</w:t>
      </w:r>
      <w:r w:rsidR="00545D1B" w:rsidRPr="00742A04">
        <w:rPr>
          <w:bCs/>
        </w:rPr>
        <w:t xml:space="preserve"> </w:t>
      </w:r>
      <w:r w:rsidR="0067405D" w:rsidRPr="00742A04">
        <w:rPr>
          <w:bCs/>
        </w:rPr>
        <w:t>estadísticas</w:t>
      </w:r>
    </w:p>
    <w:p w:rsidR="00CB544A" w:rsidRPr="00742A04" w:rsidRDefault="00CB544A" w:rsidP="00CB544A">
      <w:pPr>
        <w:pStyle w:val="H23"/>
        <w:ind w:left="1267"/>
        <w:rPr>
          <w:b w:val="0"/>
          <w:bCs/>
          <w:sz w:val="10"/>
        </w:rPr>
      </w:pPr>
    </w:p>
    <w:p w:rsidR="00381B36" w:rsidRPr="00742A04" w:rsidRDefault="00AF201B" w:rsidP="00AF201B">
      <w:pPr>
        <w:pStyle w:val="SingleTxt"/>
        <w:jc w:val="left"/>
        <w:rPr>
          <w:b/>
        </w:rPr>
      </w:pPr>
      <w:r w:rsidRPr="00742A04">
        <w:rPr>
          <w:b/>
        </w:rPr>
        <w:t>C</w:t>
      </w:r>
      <w:r w:rsidR="00ED6A69" w:rsidRPr="00742A04">
        <w:rPr>
          <w:b/>
        </w:rPr>
        <w:t>ifras</w:t>
      </w:r>
      <w:r w:rsidRPr="00742A04">
        <w:rPr>
          <w:b/>
        </w:rPr>
        <w:t xml:space="preserve"> fundamentales</w:t>
      </w:r>
      <w:r w:rsidR="00545D1B" w:rsidRPr="00742A04">
        <w:rPr>
          <w:b/>
        </w:rPr>
        <w:t xml:space="preserve"> </w:t>
      </w:r>
      <w:r w:rsidRPr="00742A04">
        <w:rPr>
          <w:b/>
        </w:rPr>
        <w:t>relacionadas con las</w:t>
      </w:r>
      <w:r w:rsidR="00381B36" w:rsidRPr="00742A04">
        <w:rPr>
          <w:b/>
        </w:rPr>
        <w:t xml:space="preserve"> </w:t>
      </w:r>
      <w:r w:rsidR="00072AD7" w:rsidRPr="00742A04">
        <w:rPr>
          <w:b/>
        </w:rPr>
        <w:t>mujeres</w:t>
      </w:r>
      <w:r w:rsidR="00381B36" w:rsidRPr="00742A04">
        <w:rPr>
          <w:b/>
        </w:rPr>
        <w:t xml:space="preserve"> </w:t>
      </w:r>
      <w:r w:rsidR="00C14BFF" w:rsidRPr="00742A04">
        <w:rPr>
          <w:b/>
        </w:rPr>
        <w:t>en</w:t>
      </w:r>
      <w:r w:rsidR="00381B36" w:rsidRPr="00742A04">
        <w:rPr>
          <w:b/>
        </w:rPr>
        <w:t xml:space="preserve"> </w:t>
      </w:r>
      <w:r w:rsidR="00AD0883" w:rsidRPr="00742A04">
        <w:rPr>
          <w:b/>
        </w:rPr>
        <w:t>la vida laboral</w:t>
      </w:r>
      <w:r w:rsidRPr="00742A04">
        <w:rPr>
          <w:b/>
        </w:rPr>
        <w:t>,</w:t>
      </w:r>
      <w:r w:rsidR="00496A4A" w:rsidRPr="00742A04">
        <w:rPr>
          <w:b/>
        </w:rPr>
        <w:t xml:space="preserve"> 2005</w:t>
      </w:r>
    </w:p>
    <w:p w:rsidR="003C0D60" w:rsidRPr="00742A04" w:rsidRDefault="003C0D60" w:rsidP="006F2E97">
      <w:pPr>
        <w:pStyle w:val="SingleTxt"/>
        <w:spacing w:after="0" w:line="120" w:lineRule="exact"/>
        <w:jc w:val="left"/>
        <w:rPr>
          <w:sz w:val="10"/>
        </w:rPr>
      </w:pPr>
      <w:r w:rsidRPr="00742A04">
        <w:rPr>
          <w:sz w:val="14"/>
        </w:rPr>
        <w:t>(</w:t>
      </w:r>
      <w:r w:rsidRPr="00E42208">
        <w:rPr>
          <w:i/>
          <w:sz w:val="14"/>
        </w:rPr>
        <w:t>En porcentajes</w:t>
      </w:r>
      <w:r w:rsidRPr="00742A04">
        <w:rPr>
          <w:sz w:val="14"/>
        </w:rPr>
        <w:t>)</w:t>
      </w:r>
    </w:p>
    <w:p w:rsidR="00171C93" w:rsidRPr="00742A04" w:rsidRDefault="00171C93" w:rsidP="003C0D6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305"/>
        <w:gridCol w:w="1305"/>
      </w:tblGrid>
      <w:tr w:rsidR="00171C93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770" w:type="dxa"/>
            <w:tcBorders>
              <w:top w:val="single" w:sz="4" w:space="0" w:color="auto"/>
              <w:bottom w:val="single" w:sz="12" w:space="0" w:color="auto"/>
            </w:tcBorders>
          </w:tcPr>
          <w:p w:rsidR="00171C93" w:rsidRPr="00742A04" w:rsidRDefault="00171C93" w:rsidP="007E5B4C">
            <w:pPr>
              <w:pStyle w:val="SingleTxt"/>
              <w:spacing w:before="40" w:after="40" w:line="240" w:lineRule="auto"/>
              <w:ind w:left="29" w:right="29"/>
              <w:rPr>
                <w:b/>
                <w:i/>
                <w:sz w:val="17"/>
                <w:szCs w:val="17"/>
              </w:rPr>
            </w:pPr>
            <w:r w:rsidRPr="00742A04">
              <w:rPr>
                <w:b/>
                <w:i/>
                <w:sz w:val="17"/>
                <w:szCs w:val="17"/>
              </w:rPr>
              <w:t>Empl</w:t>
            </w:r>
            <w:r w:rsidR="00AF201B" w:rsidRPr="00742A04">
              <w:rPr>
                <w:b/>
                <w:i/>
                <w:sz w:val="17"/>
                <w:szCs w:val="17"/>
              </w:rPr>
              <w:t>eo</w:t>
            </w:r>
            <w:r w:rsidRPr="00742A04"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2" w:space="0" w:color="auto"/>
            </w:tcBorders>
          </w:tcPr>
          <w:p w:rsidR="00171C93" w:rsidRPr="00742A04" w:rsidRDefault="00072AD7" w:rsidP="007E5B4C">
            <w:pPr>
              <w:pStyle w:val="SingleTxt"/>
              <w:spacing w:before="40" w:after="40" w:line="240" w:lineRule="auto"/>
              <w:ind w:left="29" w:right="29"/>
              <w:rPr>
                <w:b/>
                <w:i/>
                <w:sz w:val="17"/>
                <w:szCs w:val="17"/>
              </w:rPr>
            </w:pPr>
            <w:r w:rsidRPr="00742A04">
              <w:rPr>
                <w:b/>
                <w:i/>
                <w:sz w:val="17"/>
                <w:szCs w:val="17"/>
              </w:rPr>
              <w:t>Mujeres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2" w:space="0" w:color="auto"/>
            </w:tcBorders>
          </w:tcPr>
          <w:p w:rsidR="00171C93" w:rsidRPr="00742A04" w:rsidRDefault="00AF201B" w:rsidP="007E5B4C">
            <w:pPr>
              <w:pStyle w:val="SingleTxt"/>
              <w:spacing w:before="40" w:after="40" w:line="240" w:lineRule="auto"/>
              <w:ind w:left="29" w:right="29"/>
              <w:rPr>
                <w:b/>
                <w:i/>
                <w:sz w:val="17"/>
                <w:szCs w:val="17"/>
              </w:rPr>
            </w:pPr>
            <w:r w:rsidRPr="00742A04">
              <w:rPr>
                <w:b/>
                <w:i/>
                <w:sz w:val="17"/>
                <w:szCs w:val="17"/>
              </w:rPr>
              <w:t>H</w:t>
            </w:r>
            <w:r w:rsidR="005C6D40" w:rsidRPr="00742A04">
              <w:rPr>
                <w:b/>
                <w:i/>
                <w:sz w:val="17"/>
                <w:szCs w:val="17"/>
              </w:rPr>
              <w:t>ombres</w:t>
            </w:r>
          </w:p>
        </w:tc>
      </w:tr>
      <w:tr w:rsidR="00171C93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4770" w:type="dxa"/>
            <w:tcBorders>
              <w:top w:val="single" w:sz="12" w:space="0" w:color="auto"/>
            </w:tcBorders>
          </w:tcPr>
          <w:p w:rsidR="00171C93" w:rsidRPr="00742A04" w:rsidRDefault="00171C93" w:rsidP="007E5B4C">
            <w:pPr>
              <w:pStyle w:val="SingleTxt"/>
              <w:spacing w:before="40" w:after="40" w:line="240" w:lineRule="auto"/>
              <w:ind w:left="29" w:right="29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171C93" w:rsidRPr="00742A04" w:rsidRDefault="00171C93" w:rsidP="007E5B4C">
            <w:pPr>
              <w:pStyle w:val="SingleTxt"/>
              <w:spacing w:before="40" w:after="40" w:line="240" w:lineRule="auto"/>
              <w:ind w:left="29" w:right="29"/>
              <w:rPr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171C93" w:rsidRPr="00742A04" w:rsidRDefault="00171C93" w:rsidP="007E5B4C">
            <w:pPr>
              <w:pStyle w:val="SingleTxt"/>
              <w:spacing w:before="40" w:after="40" w:line="240" w:lineRule="auto"/>
              <w:ind w:left="29" w:right="29"/>
              <w:rPr>
                <w:sz w:val="17"/>
                <w:szCs w:val="17"/>
              </w:rPr>
            </w:pPr>
          </w:p>
        </w:tc>
      </w:tr>
      <w:tr w:rsidR="00171C93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Align w:val="bottom"/>
          </w:tcPr>
          <w:p w:rsidR="00171C93" w:rsidRPr="00742A04" w:rsidRDefault="00E930A0" w:rsidP="007E5B4C">
            <w:pPr>
              <w:pStyle w:val="SingleTxt"/>
              <w:spacing w:before="40" w:after="40" w:line="240" w:lineRule="auto"/>
              <w:ind w:left="29" w:right="29"/>
              <w:jc w:val="left"/>
              <w:rPr>
                <w:b/>
                <w:i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Fuerza de trabajo</w:t>
            </w:r>
            <w:r w:rsidR="00171C93" w:rsidRPr="00742A04">
              <w:rPr>
                <w:sz w:val="17"/>
                <w:szCs w:val="17"/>
              </w:rPr>
              <w:t xml:space="preserve"> - % </w:t>
            </w:r>
            <w:r w:rsidR="007E5B4C" w:rsidRPr="00742A04">
              <w:rPr>
                <w:sz w:val="17"/>
                <w:szCs w:val="17"/>
              </w:rPr>
              <w:t>de la población</w:t>
            </w:r>
            <w:r w:rsidR="00C14BFF" w:rsidRPr="00742A04">
              <w:rPr>
                <w:sz w:val="17"/>
                <w:szCs w:val="17"/>
              </w:rPr>
              <w:t xml:space="preserve"> </w:t>
            </w:r>
            <w:r w:rsidR="007E5B4C" w:rsidRPr="00742A04">
              <w:rPr>
                <w:sz w:val="17"/>
                <w:szCs w:val="17"/>
              </w:rPr>
              <w:t xml:space="preserve">de 16 a </w:t>
            </w:r>
            <w:r w:rsidR="00171C93" w:rsidRPr="00742A04">
              <w:rPr>
                <w:sz w:val="17"/>
                <w:szCs w:val="17"/>
              </w:rPr>
              <w:t xml:space="preserve">74 </w:t>
            </w:r>
            <w:r w:rsidR="007E5B4C" w:rsidRPr="00742A04">
              <w:rPr>
                <w:sz w:val="17"/>
                <w:szCs w:val="17"/>
              </w:rPr>
              <w:t>años de edad</w:t>
            </w:r>
          </w:p>
        </w:tc>
        <w:tc>
          <w:tcPr>
            <w:tcW w:w="1305" w:type="dxa"/>
            <w:vAlign w:val="bottom"/>
          </w:tcPr>
          <w:p w:rsidR="00171C93" w:rsidRPr="00742A04" w:rsidRDefault="00171C93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69</w:t>
            </w:r>
            <w:r w:rsidR="00E930A0" w:rsidRPr="00742A04">
              <w:rPr>
                <w:sz w:val="17"/>
                <w:szCs w:val="17"/>
              </w:rPr>
              <w:t>,</w:t>
            </w:r>
            <w:r w:rsidR="00AF201B" w:rsidRPr="00742A04">
              <w:rPr>
                <w:sz w:val="17"/>
                <w:szCs w:val="17"/>
              </w:rPr>
              <w:t>0</w:t>
            </w:r>
          </w:p>
        </w:tc>
        <w:tc>
          <w:tcPr>
            <w:tcW w:w="1305" w:type="dxa"/>
            <w:vAlign w:val="bottom"/>
          </w:tcPr>
          <w:p w:rsidR="00171C93" w:rsidRPr="00742A04" w:rsidRDefault="00171C93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76</w:t>
            </w:r>
            <w:r w:rsidR="00E930A0" w:rsidRPr="00742A04">
              <w:rPr>
                <w:sz w:val="17"/>
                <w:szCs w:val="17"/>
              </w:rPr>
              <w:t>,</w:t>
            </w:r>
            <w:r w:rsidR="00AF201B" w:rsidRPr="00742A04">
              <w:rPr>
                <w:sz w:val="17"/>
                <w:szCs w:val="17"/>
              </w:rPr>
              <w:t>0</w:t>
            </w:r>
          </w:p>
        </w:tc>
      </w:tr>
      <w:tr w:rsidR="00171C93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Align w:val="bottom"/>
          </w:tcPr>
          <w:p w:rsidR="00171C93" w:rsidRPr="00742A04" w:rsidRDefault="00A31FF2" w:rsidP="007E5B4C">
            <w:pPr>
              <w:pStyle w:val="SingleTxt"/>
              <w:spacing w:before="40" w:after="40" w:line="240" w:lineRule="auto"/>
              <w:ind w:left="29" w:right="29"/>
              <w:jc w:val="left"/>
              <w:rPr>
                <w:b/>
                <w:i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Desempleado</w:t>
            </w:r>
            <w:r w:rsidR="007E5B4C" w:rsidRPr="00742A04">
              <w:rPr>
                <w:sz w:val="17"/>
                <w:szCs w:val="17"/>
              </w:rPr>
              <w:t>s</w:t>
            </w:r>
            <w:r w:rsidR="00171C93" w:rsidRPr="00742A04">
              <w:rPr>
                <w:sz w:val="17"/>
                <w:szCs w:val="17"/>
              </w:rPr>
              <w:t xml:space="preserve"> - %</w:t>
            </w:r>
            <w:r w:rsidR="004F2F8A" w:rsidRPr="00742A04">
              <w:rPr>
                <w:sz w:val="17"/>
                <w:szCs w:val="17"/>
              </w:rPr>
              <w:t xml:space="preserve"> </w:t>
            </w:r>
            <w:r w:rsidR="007E5B4C" w:rsidRPr="00742A04">
              <w:rPr>
                <w:sz w:val="17"/>
                <w:szCs w:val="17"/>
              </w:rPr>
              <w:t>de la fuerza</w:t>
            </w:r>
            <w:r w:rsidR="00E930A0" w:rsidRPr="00742A04">
              <w:rPr>
                <w:sz w:val="17"/>
                <w:szCs w:val="17"/>
              </w:rPr>
              <w:t xml:space="preserve"> de trabajo</w:t>
            </w:r>
          </w:p>
        </w:tc>
        <w:tc>
          <w:tcPr>
            <w:tcW w:w="1305" w:type="dxa"/>
            <w:vAlign w:val="bottom"/>
          </w:tcPr>
          <w:p w:rsidR="00171C93" w:rsidRPr="00742A04" w:rsidRDefault="00AF201B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</w:t>
            </w:r>
            <w:r w:rsidR="00E930A0" w:rsidRPr="00742A04">
              <w:rPr>
                <w:sz w:val="17"/>
                <w:szCs w:val="17"/>
              </w:rPr>
              <w:t>,</w:t>
            </w:r>
            <w:r w:rsidR="00171C93" w:rsidRPr="00742A04">
              <w:rPr>
                <w:sz w:val="17"/>
                <w:szCs w:val="17"/>
              </w:rPr>
              <w:t>4</w:t>
            </w:r>
          </w:p>
        </w:tc>
        <w:tc>
          <w:tcPr>
            <w:tcW w:w="1305" w:type="dxa"/>
            <w:vAlign w:val="bottom"/>
          </w:tcPr>
          <w:p w:rsidR="00171C93" w:rsidRPr="00742A04" w:rsidRDefault="00AF201B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</w:t>
            </w:r>
            <w:r w:rsidR="00E930A0" w:rsidRPr="00742A04">
              <w:rPr>
                <w:sz w:val="17"/>
                <w:szCs w:val="17"/>
              </w:rPr>
              <w:t>,</w:t>
            </w:r>
            <w:r w:rsidR="00171C93" w:rsidRPr="00742A04">
              <w:rPr>
                <w:sz w:val="17"/>
                <w:szCs w:val="17"/>
              </w:rPr>
              <w:t>8</w:t>
            </w:r>
          </w:p>
        </w:tc>
      </w:tr>
      <w:tr w:rsidR="00171C93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Align w:val="bottom"/>
          </w:tcPr>
          <w:p w:rsidR="00171C93" w:rsidRPr="00742A04" w:rsidRDefault="007E5B4C" w:rsidP="007E5B4C">
            <w:pPr>
              <w:pStyle w:val="SingleTxt"/>
              <w:spacing w:before="40" w:after="40" w:line="240" w:lineRule="auto"/>
              <w:ind w:left="29" w:right="29"/>
              <w:jc w:val="left"/>
              <w:rPr>
                <w:b/>
                <w:i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 xml:space="preserve">Promedio de </w:t>
            </w:r>
            <w:r w:rsidR="0061771B" w:rsidRPr="00742A04">
              <w:rPr>
                <w:sz w:val="17"/>
                <w:szCs w:val="17"/>
              </w:rPr>
              <w:t>horas</w:t>
            </w:r>
            <w:r w:rsidR="00171C93" w:rsidRPr="00742A04">
              <w:rPr>
                <w:sz w:val="17"/>
                <w:szCs w:val="17"/>
              </w:rPr>
              <w:t xml:space="preserve"> </w:t>
            </w:r>
            <w:r w:rsidR="00311327" w:rsidRPr="00742A04">
              <w:rPr>
                <w:sz w:val="17"/>
                <w:szCs w:val="17"/>
              </w:rPr>
              <w:t>semana</w:t>
            </w:r>
            <w:r w:rsidRPr="00742A04">
              <w:rPr>
                <w:sz w:val="17"/>
                <w:szCs w:val="17"/>
              </w:rPr>
              <w:t>les trabajadas</w:t>
            </w:r>
          </w:p>
        </w:tc>
        <w:tc>
          <w:tcPr>
            <w:tcW w:w="1305" w:type="dxa"/>
            <w:vAlign w:val="bottom"/>
          </w:tcPr>
          <w:p w:rsidR="00171C93" w:rsidRPr="00742A04" w:rsidRDefault="00171C93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31</w:t>
            </w:r>
            <w:r w:rsidR="00E930A0" w:rsidRPr="00742A04">
              <w:rPr>
                <w:sz w:val="17"/>
                <w:szCs w:val="17"/>
              </w:rPr>
              <w:t>,</w:t>
            </w:r>
            <w:r w:rsidR="00AF201B" w:rsidRPr="00742A04">
              <w:rPr>
                <w:sz w:val="17"/>
                <w:szCs w:val="17"/>
              </w:rPr>
              <w:t>0</w:t>
            </w:r>
          </w:p>
        </w:tc>
        <w:tc>
          <w:tcPr>
            <w:tcW w:w="1305" w:type="dxa"/>
            <w:vAlign w:val="bottom"/>
          </w:tcPr>
          <w:p w:rsidR="00171C93" w:rsidRPr="00742A04" w:rsidRDefault="00AF201B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38</w:t>
            </w:r>
            <w:r w:rsidR="00E930A0" w:rsidRPr="00742A04">
              <w:rPr>
                <w:sz w:val="17"/>
                <w:szCs w:val="17"/>
              </w:rPr>
              <w:t>,</w:t>
            </w:r>
            <w:r w:rsidR="00171C93" w:rsidRPr="00742A04">
              <w:rPr>
                <w:sz w:val="17"/>
                <w:szCs w:val="17"/>
              </w:rPr>
              <w:t>1</w:t>
            </w:r>
          </w:p>
        </w:tc>
      </w:tr>
      <w:tr w:rsidR="00171C93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Align w:val="bottom"/>
          </w:tcPr>
          <w:p w:rsidR="00171C93" w:rsidRPr="00742A04" w:rsidRDefault="007E5B4C" w:rsidP="007E5B4C">
            <w:pPr>
              <w:pStyle w:val="SingleTxt"/>
              <w:spacing w:before="40" w:after="40" w:line="240" w:lineRule="auto"/>
              <w:ind w:left="29" w:right="29"/>
              <w:jc w:val="left"/>
              <w:rPr>
                <w:b/>
                <w:i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Trabajo a tiempo completo</w:t>
            </w:r>
            <w:r w:rsidR="00171C93" w:rsidRPr="00742A04">
              <w:rPr>
                <w:sz w:val="17"/>
                <w:szCs w:val="17"/>
              </w:rPr>
              <w:t xml:space="preserve"> - %</w:t>
            </w:r>
            <w:r w:rsidR="004F2F8A" w:rsidRPr="00742A04">
              <w:rPr>
                <w:sz w:val="17"/>
                <w:szCs w:val="17"/>
              </w:rPr>
              <w:t xml:space="preserve"> </w:t>
            </w:r>
            <w:r w:rsidRPr="00742A04">
              <w:rPr>
                <w:sz w:val="17"/>
                <w:szCs w:val="17"/>
              </w:rPr>
              <w:t>de la fuerza</w:t>
            </w:r>
            <w:r w:rsidR="00E930A0" w:rsidRPr="00742A04">
              <w:rPr>
                <w:sz w:val="17"/>
                <w:szCs w:val="17"/>
              </w:rPr>
              <w:t xml:space="preserve"> de trabajo</w:t>
            </w:r>
          </w:p>
        </w:tc>
        <w:tc>
          <w:tcPr>
            <w:tcW w:w="1305" w:type="dxa"/>
            <w:vAlign w:val="bottom"/>
          </w:tcPr>
          <w:p w:rsidR="00171C93" w:rsidRPr="00742A04" w:rsidRDefault="00171C93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57</w:t>
            </w:r>
            <w:r w:rsidR="00E930A0" w:rsidRPr="00742A04">
              <w:rPr>
                <w:sz w:val="17"/>
                <w:szCs w:val="17"/>
              </w:rPr>
              <w:t>,</w:t>
            </w:r>
            <w:r w:rsidR="00AF201B" w:rsidRPr="00742A04">
              <w:rPr>
                <w:sz w:val="17"/>
                <w:szCs w:val="17"/>
              </w:rPr>
              <w:t>0</w:t>
            </w:r>
            <w:r w:rsidRPr="00742A04">
              <w:rPr>
                <w:sz w:val="17"/>
                <w:szCs w:val="17"/>
              </w:rPr>
              <w:t xml:space="preserve"> (2004)</w:t>
            </w:r>
          </w:p>
        </w:tc>
        <w:tc>
          <w:tcPr>
            <w:tcW w:w="1305" w:type="dxa"/>
            <w:vAlign w:val="bottom"/>
          </w:tcPr>
          <w:p w:rsidR="00171C93" w:rsidRPr="00742A04" w:rsidRDefault="00171C93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87</w:t>
            </w:r>
            <w:r w:rsidR="00E930A0" w:rsidRPr="00742A04">
              <w:rPr>
                <w:sz w:val="17"/>
                <w:szCs w:val="17"/>
              </w:rPr>
              <w:t>,</w:t>
            </w:r>
            <w:r w:rsidR="00AF201B" w:rsidRPr="00742A04">
              <w:rPr>
                <w:sz w:val="17"/>
                <w:szCs w:val="17"/>
              </w:rPr>
              <w:t>0</w:t>
            </w:r>
            <w:r w:rsidRPr="00742A04">
              <w:rPr>
                <w:sz w:val="17"/>
                <w:szCs w:val="17"/>
              </w:rPr>
              <w:t xml:space="preserve"> (2004)</w:t>
            </w:r>
          </w:p>
        </w:tc>
      </w:tr>
      <w:tr w:rsidR="00171C93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Align w:val="bottom"/>
          </w:tcPr>
          <w:p w:rsidR="00171C93" w:rsidRPr="00742A04" w:rsidRDefault="007E5B4C" w:rsidP="007E5B4C">
            <w:pPr>
              <w:pStyle w:val="SingleTxt"/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 xml:space="preserve">Trabajadores a tiempo parcial </w:t>
            </w:r>
            <w:r w:rsidR="00A31FF2" w:rsidRPr="00742A04">
              <w:rPr>
                <w:sz w:val="17"/>
                <w:szCs w:val="17"/>
              </w:rPr>
              <w:t>subemplead</w:t>
            </w:r>
            <w:r w:rsidRPr="00742A04">
              <w:rPr>
                <w:sz w:val="17"/>
                <w:szCs w:val="17"/>
              </w:rPr>
              <w:t>os,</w:t>
            </w:r>
            <w:r w:rsidRPr="00742A04">
              <w:rPr>
                <w:sz w:val="17"/>
                <w:szCs w:val="17"/>
              </w:rPr>
              <w:br/>
              <w:t xml:space="preserve">   </w:t>
            </w:r>
            <w:r w:rsidR="00171C93" w:rsidRPr="00742A04">
              <w:rPr>
                <w:sz w:val="17"/>
                <w:szCs w:val="17"/>
              </w:rPr>
              <w:t xml:space="preserve">% </w:t>
            </w:r>
            <w:r w:rsidR="004A0730" w:rsidRPr="00742A04">
              <w:rPr>
                <w:sz w:val="17"/>
                <w:szCs w:val="17"/>
              </w:rPr>
              <w:t>de</w:t>
            </w:r>
            <w:r w:rsidRPr="00742A04">
              <w:rPr>
                <w:sz w:val="17"/>
                <w:szCs w:val="17"/>
              </w:rPr>
              <w:t>l total de</w:t>
            </w:r>
            <w:r w:rsidR="00171C93" w:rsidRPr="00742A04">
              <w:rPr>
                <w:sz w:val="17"/>
                <w:szCs w:val="17"/>
              </w:rPr>
              <w:t xml:space="preserve"> </w:t>
            </w:r>
            <w:r w:rsidRPr="00742A04">
              <w:rPr>
                <w:sz w:val="17"/>
                <w:szCs w:val="17"/>
              </w:rPr>
              <w:t>trabajad</w:t>
            </w:r>
            <w:r w:rsidRPr="00742A04">
              <w:rPr>
                <w:sz w:val="17"/>
                <w:szCs w:val="17"/>
              </w:rPr>
              <w:t>o</w:t>
            </w:r>
            <w:r w:rsidRPr="00742A04">
              <w:rPr>
                <w:sz w:val="17"/>
                <w:szCs w:val="17"/>
              </w:rPr>
              <w:t>res a tiempo parcial</w:t>
            </w:r>
          </w:p>
        </w:tc>
        <w:tc>
          <w:tcPr>
            <w:tcW w:w="1305" w:type="dxa"/>
            <w:vAlign w:val="bottom"/>
          </w:tcPr>
          <w:p w:rsidR="00171C93" w:rsidRPr="00742A04" w:rsidRDefault="00AF201B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73</w:t>
            </w:r>
            <w:r w:rsidR="00E930A0" w:rsidRPr="00742A04">
              <w:rPr>
                <w:sz w:val="17"/>
                <w:szCs w:val="17"/>
              </w:rPr>
              <w:t>,</w:t>
            </w:r>
            <w:r w:rsidR="00171C93" w:rsidRPr="00742A04">
              <w:rPr>
                <w:sz w:val="17"/>
                <w:szCs w:val="17"/>
              </w:rPr>
              <w:t>5 (2004)</w:t>
            </w:r>
          </w:p>
        </w:tc>
        <w:tc>
          <w:tcPr>
            <w:tcW w:w="1305" w:type="dxa"/>
            <w:vAlign w:val="bottom"/>
          </w:tcPr>
          <w:p w:rsidR="00171C93" w:rsidRPr="00742A04" w:rsidRDefault="00AF201B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26</w:t>
            </w:r>
            <w:r w:rsidR="00E930A0" w:rsidRPr="00742A04">
              <w:rPr>
                <w:sz w:val="17"/>
                <w:szCs w:val="17"/>
              </w:rPr>
              <w:t>,</w:t>
            </w:r>
            <w:r w:rsidR="00171C93" w:rsidRPr="00742A04">
              <w:rPr>
                <w:sz w:val="17"/>
                <w:szCs w:val="17"/>
              </w:rPr>
              <w:t>5 (2004)</w:t>
            </w:r>
          </w:p>
        </w:tc>
      </w:tr>
      <w:tr w:rsidR="00171C93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bottom w:val="single" w:sz="12" w:space="0" w:color="auto"/>
            </w:tcBorders>
            <w:vAlign w:val="bottom"/>
          </w:tcPr>
          <w:p w:rsidR="00171C93" w:rsidRPr="00742A04" w:rsidRDefault="00171C93" w:rsidP="007E5B4C">
            <w:pPr>
              <w:pStyle w:val="SingleTxt"/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Empl</w:t>
            </w:r>
            <w:r w:rsidR="007E5B4C" w:rsidRPr="00742A04">
              <w:rPr>
                <w:sz w:val="17"/>
                <w:szCs w:val="17"/>
              </w:rPr>
              <w:t>eados</w:t>
            </w:r>
            <w:r w:rsidRPr="00742A04">
              <w:rPr>
                <w:sz w:val="17"/>
                <w:szCs w:val="17"/>
              </w:rPr>
              <w:t xml:space="preserve"> </w:t>
            </w:r>
            <w:r w:rsidR="00101B8C" w:rsidRPr="00742A04">
              <w:rPr>
                <w:sz w:val="17"/>
                <w:szCs w:val="17"/>
              </w:rPr>
              <w:t>del sector público</w:t>
            </w:r>
            <w:r w:rsidRPr="00742A0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bottom"/>
          </w:tcPr>
          <w:p w:rsidR="00171C93" w:rsidRPr="00742A04" w:rsidRDefault="00171C93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47</w:t>
            </w:r>
            <w:r w:rsidR="00E930A0" w:rsidRPr="00742A04">
              <w:rPr>
                <w:sz w:val="17"/>
                <w:szCs w:val="17"/>
              </w:rPr>
              <w:t>,</w:t>
            </w:r>
            <w:r w:rsidR="00AF201B" w:rsidRPr="00742A04">
              <w:rPr>
                <w:sz w:val="17"/>
                <w:szCs w:val="17"/>
              </w:rPr>
              <w:t>0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bottom"/>
          </w:tcPr>
          <w:p w:rsidR="00171C93" w:rsidRPr="00742A04" w:rsidRDefault="00171C93" w:rsidP="007E5B4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decimal" w:pos="648"/>
              </w:tabs>
              <w:spacing w:before="40" w:after="40" w:line="240" w:lineRule="auto"/>
              <w:ind w:left="29" w:right="29"/>
              <w:jc w:val="lef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18</w:t>
            </w:r>
            <w:r w:rsidR="00E930A0" w:rsidRPr="00742A04">
              <w:rPr>
                <w:sz w:val="17"/>
                <w:szCs w:val="17"/>
              </w:rPr>
              <w:t>,</w:t>
            </w:r>
            <w:r w:rsidR="00AF201B" w:rsidRPr="00742A04">
              <w:rPr>
                <w:sz w:val="17"/>
                <w:szCs w:val="17"/>
              </w:rPr>
              <w:t>0</w:t>
            </w:r>
          </w:p>
        </w:tc>
      </w:tr>
    </w:tbl>
    <w:p w:rsidR="00171C93" w:rsidRPr="00742A04" w:rsidRDefault="00171C93" w:rsidP="00171C93">
      <w:pPr>
        <w:pStyle w:val="SingleTxt"/>
        <w:spacing w:after="0" w:line="120" w:lineRule="exact"/>
        <w:rPr>
          <w:sz w:val="10"/>
        </w:rPr>
      </w:pPr>
    </w:p>
    <w:p w:rsidR="00171C93" w:rsidRPr="00742A04" w:rsidRDefault="00171C93" w:rsidP="00171C93">
      <w:pPr>
        <w:pStyle w:val="SingleTxt"/>
        <w:spacing w:after="0" w:line="120" w:lineRule="exact"/>
        <w:rPr>
          <w:sz w:val="10"/>
        </w:rPr>
      </w:pPr>
    </w:p>
    <w:p w:rsidR="00545D1B" w:rsidRPr="00742A04" w:rsidRDefault="00492C77" w:rsidP="006B5613">
      <w:pPr>
        <w:pStyle w:val="SingleTxt"/>
        <w:ind w:firstLine="475"/>
      </w:pPr>
      <w:r w:rsidRPr="00742A04">
        <w:t>Para poder lograr una plena igualdad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="00BD47D3" w:rsidRPr="00742A04">
        <w:t>es</w:t>
      </w:r>
      <w:r w:rsidR="00545D1B" w:rsidRPr="00742A04">
        <w:t xml:space="preserve"> </w:t>
      </w:r>
      <w:r w:rsidR="007E0DFE" w:rsidRPr="00742A04">
        <w:t>esencial</w:t>
      </w:r>
      <w:r w:rsidR="00545D1B" w:rsidRPr="00742A04">
        <w:t xml:space="preserve"> </w:t>
      </w:r>
      <w:r w:rsidRPr="00742A04">
        <w:t>que las mujeres</w:t>
      </w:r>
      <w:r w:rsidR="00545D1B" w:rsidRPr="00742A04">
        <w:t xml:space="preserve"> </w:t>
      </w:r>
      <w:r w:rsidRPr="00742A04">
        <w:t>participen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. </w:t>
      </w:r>
      <w:r w:rsidR="008F0C8E" w:rsidRPr="00742A04">
        <w:t>De</w:t>
      </w:r>
      <w:r w:rsidRPr="00742A04">
        <w:t>sde mediados del decenio de 1970</w:t>
      </w:r>
      <w:r w:rsidR="00545D1B" w:rsidRPr="00742A04">
        <w:t xml:space="preserve"> </w:t>
      </w:r>
      <w:r w:rsidRPr="00742A04">
        <w:t>hasta el momento actual</w:t>
      </w:r>
      <w:r w:rsidR="00545D1B" w:rsidRPr="00742A04">
        <w:t xml:space="preserve">, </w:t>
      </w:r>
      <w:r w:rsidR="00E73E8E" w:rsidRPr="00742A04">
        <w:t>la proporción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mujeres económicamente activas</w:t>
      </w:r>
      <w:r w:rsidR="00545D1B" w:rsidRPr="00742A04">
        <w:t xml:space="preserve"> </w:t>
      </w:r>
      <w:r w:rsidR="003D6667" w:rsidRPr="00742A04">
        <w:t>se ha incr</w:t>
      </w:r>
      <w:r w:rsidR="003D6667" w:rsidRPr="00742A04">
        <w:t>e</w:t>
      </w:r>
      <w:r w:rsidR="003D6667" w:rsidRPr="00742A04">
        <w:t>mentado marcadamente</w:t>
      </w:r>
      <w:r w:rsidR="00BD7DD0" w:rsidRPr="00742A04">
        <w:t xml:space="preserve">. Las mujeres </w:t>
      </w:r>
      <w:r w:rsidR="003D6667" w:rsidRPr="00742A04">
        <w:t>representan actualmente el</w:t>
      </w:r>
      <w:r w:rsidR="00545D1B" w:rsidRPr="00742A04">
        <w:t xml:space="preserve"> 47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D6667" w:rsidRPr="00742A04">
        <w:t>la fuerza</w:t>
      </w:r>
      <w:r w:rsidR="00E930A0" w:rsidRPr="00742A04">
        <w:t xml:space="preserve"> de trabajo</w:t>
      </w:r>
      <w:r w:rsidR="003D6667" w:rsidRPr="00742A04">
        <w:t xml:space="preserve"> de Noruega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2005, </w:t>
      </w:r>
      <w:r w:rsidR="003D6667" w:rsidRPr="00742A04">
        <w:t xml:space="preserve">el </w:t>
      </w:r>
      <w:r w:rsidR="00545D1B" w:rsidRPr="00742A04">
        <w:t>69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D6667" w:rsidRPr="00742A04">
        <w:t xml:space="preserve">el </w:t>
      </w:r>
      <w:r w:rsidR="00545D1B" w:rsidRPr="00742A04">
        <w:t>76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42208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3D6667" w:rsidRPr="00742A04">
        <w:t xml:space="preserve">de entre 16 y </w:t>
      </w:r>
      <w:r w:rsidR="00545D1B" w:rsidRPr="00742A04">
        <w:t>74</w:t>
      </w:r>
      <w:r w:rsidR="003D6667" w:rsidRPr="00742A04">
        <w:t xml:space="preserve"> años de edad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3D6667" w:rsidRPr="00742A04">
        <w:t>económicamente activos</w:t>
      </w:r>
      <w:r w:rsidR="00545D1B" w:rsidRPr="00742A04">
        <w:t xml:space="preserve">. </w:t>
      </w:r>
      <w:r w:rsidR="00B815B8" w:rsidRPr="00742A04">
        <w:t xml:space="preserve">Desde el </w:t>
      </w:r>
      <w:r w:rsidR="009815FF" w:rsidRPr="00742A04">
        <w:t>decenio de 1980</w:t>
      </w:r>
      <w:r w:rsidR="00545D1B" w:rsidRPr="00742A04">
        <w:t xml:space="preserve"> </w:t>
      </w:r>
      <w:r w:rsidR="003D6667" w:rsidRPr="00742A04">
        <w:t>hast</w:t>
      </w:r>
      <w:r w:rsidR="0030626A" w:rsidRPr="00742A04">
        <w:t>a</w:t>
      </w:r>
      <w:r w:rsidR="00545D1B" w:rsidRPr="00742A04">
        <w:t xml:space="preserve"> </w:t>
      </w:r>
      <w:r w:rsidR="003D6667" w:rsidRPr="00742A04">
        <w:t>el momento actual</w:t>
      </w:r>
      <w:r w:rsidR="00545D1B" w:rsidRPr="00742A04">
        <w:t xml:space="preserve">, </w:t>
      </w:r>
      <w:r w:rsidR="003D6667" w:rsidRPr="00742A04">
        <w:t>h</w:t>
      </w:r>
      <w:r w:rsidR="003A4F33" w:rsidRPr="00742A04">
        <w:t>a habido</w:t>
      </w:r>
      <w:r w:rsidR="00545D1B" w:rsidRPr="00742A04">
        <w:t xml:space="preserve"> </w:t>
      </w:r>
      <w:r w:rsidR="003D6667" w:rsidRPr="00742A04">
        <w:t>un incremento</w:t>
      </w:r>
      <w:r w:rsidR="00545D1B" w:rsidRPr="00742A04">
        <w:t xml:space="preserve"> </w:t>
      </w:r>
      <w:r w:rsidR="007C3856" w:rsidRPr="00742A04">
        <w:t>especialmente</w:t>
      </w:r>
      <w:r w:rsidR="00545D1B" w:rsidRPr="00742A04">
        <w:t xml:space="preserve"> significa</w:t>
      </w:r>
      <w:r w:rsidR="003D6667" w:rsidRPr="00742A04">
        <w:t>tivo d</w:t>
      </w:r>
      <w:r w:rsidR="005E2D7A" w:rsidRPr="00742A04">
        <w:t>el empleo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="003D6667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3D6667" w:rsidRPr="00742A04">
        <w:t>del grupo de edades de</w:t>
      </w:r>
      <w:r w:rsidR="00545D1B" w:rsidRPr="00742A04">
        <w:t xml:space="preserve"> 25</w:t>
      </w:r>
      <w:r w:rsidR="003D6667" w:rsidRPr="00742A04">
        <w:t xml:space="preserve"> a </w:t>
      </w:r>
      <w:r w:rsidR="00545D1B" w:rsidRPr="00742A04">
        <w:t>40</w:t>
      </w:r>
      <w:r w:rsidR="003D6667" w:rsidRPr="00742A04">
        <w:t xml:space="preserve"> años</w:t>
      </w:r>
      <w:r w:rsidR="00545D1B" w:rsidRPr="00742A04">
        <w:t>.</w:t>
      </w:r>
    </w:p>
    <w:p w:rsidR="000A08D8" w:rsidRPr="00742A04" w:rsidRDefault="00A31FF2" w:rsidP="006B5613">
      <w:pPr>
        <w:pStyle w:val="SingleTxt"/>
        <w:ind w:firstLine="475"/>
      </w:pPr>
      <w:r w:rsidRPr="00742A04">
        <w:t>A pesar de la semejanza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D6A69" w:rsidRPr="00742A04">
        <w:t>las cifras</w:t>
      </w:r>
      <w:r w:rsidR="00545D1B" w:rsidRPr="00742A04">
        <w:t xml:space="preserve"> </w:t>
      </w:r>
      <w:r w:rsidRPr="00742A04">
        <w:t xml:space="preserve">del empleo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Pr="00742A04">
        <w:t>s</w:t>
      </w:r>
      <w:r w:rsidRPr="00742A04">
        <w:t>i</w:t>
      </w:r>
      <w:r w:rsidRPr="00742A04">
        <w:t>gue habiendo</w:t>
      </w:r>
      <w:r w:rsidR="00545D1B" w:rsidRPr="00742A04">
        <w:t xml:space="preserve"> </w:t>
      </w:r>
      <w:r w:rsidRPr="00742A04">
        <w:t>grandes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="00537384" w:rsidRPr="00742A04">
        <w:t>en lo tocante a</w:t>
      </w:r>
      <w:r w:rsidRPr="00742A04">
        <w:t xml:space="preserve"> las horas trabajadas</w:t>
      </w:r>
      <w:r w:rsidR="00545D1B" w:rsidRPr="00742A04">
        <w:t xml:space="preserve">, </w:t>
      </w:r>
      <w:r w:rsidRPr="00742A04">
        <w:t>la remuner</w:t>
      </w:r>
      <w:r w:rsidRPr="00742A04">
        <w:t>a</w:t>
      </w:r>
      <w:r w:rsidRPr="00742A04">
        <w:t>ción</w:t>
      </w:r>
      <w:r w:rsidR="00545D1B" w:rsidRPr="00742A04">
        <w:t xml:space="preserve">, </w:t>
      </w:r>
      <w:r w:rsidRPr="00742A04">
        <w:t xml:space="preserve">los </w:t>
      </w:r>
      <w:r w:rsidR="00C55B39" w:rsidRPr="00742A04">
        <w:t>sectores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las </w:t>
      </w:r>
      <w:r w:rsidR="0090270A" w:rsidRPr="00742A04">
        <w:t>pensiones</w:t>
      </w:r>
      <w:r w:rsidR="00545D1B" w:rsidRPr="00742A04">
        <w:t xml:space="preserve">. </w:t>
      </w:r>
      <w:r w:rsidRPr="00742A04">
        <w:t>Sigue habiendo</w:t>
      </w:r>
      <w:r w:rsidR="00545D1B" w:rsidRPr="00742A04">
        <w:t xml:space="preserve"> </w:t>
      </w:r>
      <w:r w:rsidRPr="00742A04">
        <w:t xml:space="preserve">muchas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1178E" w:rsidRPr="00742A04">
        <w:t>que ho</w:t>
      </w:r>
      <w:r w:rsidR="0081178E" w:rsidRPr="00742A04">
        <w:t>m</w:t>
      </w:r>
      <w:r w:rsidR="0081178E" w:rsidRPr="00742A04">
        <w:t>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42371" w:rsidRPr="00742A04">
        <w:t>empleo</w:t>
      </w:r>
      <w:r w:rsidRPr="00742A04">
        <w:t>s</w:t>
      </w:r>
      <w:r w:rsidR="00242371" w:rsidRPr="00742A04">
        <w:t xml:space="preserve"> de tiempo parcial</w:t>
      </w:r>
      <w:r w:rsidR="00545D1B" w:rsidRPr="00742A04">
        <w:t xml:space="preserve">. </w:t>
      </w:r>
      <w:r w:rsidR="00894371" w:rsidRPr="00742A04">
        <w:t>Sin embargo, actualmente hay menos mujeres y más hombr</w:t>
      </w:r>
      <w:r w:rsidR="00894371">
        <w:t>es que</w:t>
      </w:r>
      <w:r w:rsidR="00894371" w:rsidRPr="00742A04">
        <w:t xml:space="preserve"> trabajan a tiempo parcial que diez años atrás. </w:t>
      </w:r>
      <w:r w:rsidR="004A0730" w:rsidRPr="00742A04">
        <w:t>En</w:t>
      </w:r>
      <w:r w:rsidR="00545D1B" w:rsidRPr="00742A04">
        <w:t xml:space="preserve"> 1990,</w:t>
      </w:r>
      <w:r w:rsidRPr="00742A04">
        <w:t xml:space="preserve"> el</w:t>
      </w:r>
      <w:r w:rsidR="00545D1B" w:rsidRPr="00742A04">
        <w:t xml:space="preserve"> 48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447F" w:rsidRPr="00742A04">
        <w:t>trabajaba</w:t>
      </w:r>
      <w:r w:rsidR="00545D1B" w:rsidRPr="00742A04">
        <w:t xml:space="preserve"> </w:t>
      </w:r>
      <w:r w:rsidR="001633F4" w:rsidRPr="00742A04">
        <w:t>a tiempo parcial</w:t>
      </w:r>
      <w:r w:rsidR="00545D1B" w:rsidRPr="00742A04">
        <w:t xml:space="preserve"> (</w:t>
      </w:r>
      <w:r w:rsidR="00E73E8E" w:rsidRPr="00742A04">
        <w:t>en comparación con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9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42208">
        <w:t xml:space="preserve">los </w:t>
      </w:r>
      <w:r w:rsidR="00072AD7" w:rsidRPr="00742A04">
        <w:t>hombres</w:t>
      </w:r>
      <w:r w:rsidR="00545D1B" w:rsidRPr="00742A04">
        <w:t xml:space="preserve">) </w:t>
      </w:r>
      <w:r w:rsidR="00877AA0" w:rsidRPr="00742A04">
        <w:t>y</w:t>
      </w:r>
      <w:r w:rsidR="00545D1B" w:rsidRPr="00742A04">
        <w:t xml:space="preserve"> </w:t>
      </w:r>
      <w:r w:rsidRPr="00742A04">
        <w:t>a</w:t>
      </w:r>
      <w:r w:rsidRPr="00742A04">
        <w:t>c</w:t>
      </w:r>
      <w:r w:rsidRPr="00742A04">
        <w:t>tualmente la cifra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 xml:space="preserve">del </w:t>
      </w:r>
      <w:r w:rsidR="00545D1B" w:rsidRPr="00742A04">
        <w:t>42</w:t>
      </w:r>
      <w:r w:rsidR="001167D2" w:rsidRPr="00742A04">
        <w:t>%</w:t>
      </w:r>
      <w:r w:rsidR="00545D1B" w:rsidRPr="00742A04">
        <w:t xml:space="preserve"> (</w:t>
      </w:r>
      <w:r w:rsidR="00E73E8E" w:rsidRPr="00742A04">
        <w:t>en comparación con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12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42208">
        <w:t xml:space="preserve">los </w:t>
      </w:r>
      <w:r w:rsidR="00072AD7" w:rsidRPr="00742A04">
        <w:t>hombres</w:t>
      </w:r>
      <w:r w:rsidR="00545D1B" w:rsidRPr="00742A04">
        <w:t>)</w:t>
      </w:r>
      <w:r w:rsidR="00BD7DD0" w:rsidRPr="00742A04">
        <w:t>. Las m</w:t>
      </w:r>
      <w:r w:rsidR="00BD7DD0" w:rsidRPr="00742A04">
        <w:t>u</w:t>
      </w:r>
      <w:r w:rsidR="00BD7DD0" w:rsidRPr="00742A04">
        <w:t xml:space="preserve">jeres </w:t>
      </w:r>
      <w:r w:rsidR="004A0730" w:rsidRPr="00742A04">
        <w:t>con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</w:t>
      </w:r>
      <w:r w:rsidRPr="00742A04">
        <w:t>un hijo</w:t>
      </w:r>
      <w:r w:rsidR="00545D1B" w:rsidRPr="00742A04">
        <w:t xml:space="preserve"> </w:t>
      </w:r>
      <w:r w:rsidRPr="00742A04">
        <w:t xml:space="preserve">de menos </w:t>
      </w:r>
      <w:r w:rsidR="004A0730" w:rsidRPr="00742A04">
        <w:t>de</w:t>
      </w:r>
      <w:r w:rsidR="00545D1B" w:rsidRPr="00742A04">
        <w:t xml:space="preserve"> 16</w:t>
      </w:r>
      <w:r w:rsidRPr="00742A04">
        <w:t xml:space="preserve"> años</w:t>
      </w:r>
      <w:r w:rsidR="00545D1B" w:rsidRPr="00742A04">
        <w:t xml:space="preserve"> </w:t>
      </w:r>
      <w:r w:rsidRPr="00742A04">
        <w:t>de edad tienen el mayor grado de pr</w:t>
      </w:r>
      <w:r w:rsidRPr="00742A04">
        <w:t>o</w:t>
      </w:r>
      <w:r w:rsidRPr="00742A04">
        <w:t>babilidad de</w:t>
      </w:r>
      <w:r w:rsidR="00CF2F77" w:rsidRPr="00742A04">
        <w:t xml:space="preserve"> trabajar</w:t>
      </w:r>
      <w:r w:rsidR="00545D1B" w:rsidRPr="00742A04">
        <w:t xml:space="preserve"> </w:t>
      </w:r>
      <w:r w:rsidR="001633F4" w:rsidRPr="00742A04">
        <w:t>a tiempo parcial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, </w:t>
      </w:r>
      <w:r w:rsidRPr="00742A04">
        <w:t>el trabajo a tiempo parcial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Pr="00742A04">
        <w:t>común</w:t>
      </w:r>
      <w:r w:rsidR="00545D1B" w:rsidRPr="00742A04">
        <w:t xml:space="preserve"> </w:t>
      </w:r>
      <w:r w:rsidRPr="00742A04">
        <w:t>como comp</w:t>
      </w:r>
      <w:r w:rsidR="00545D1B" w:rsidRPr="00742A04">
        <w:t>lement</w:t>
      </w:r>
      <w:r w:rsidRPr="00742A04">
        <w:t>o de</w:t>
      </w:r>
      <w:r w:rsidR="00545D1B" w:rsidRPr="00742A04">
        <w:t xml:space="preserve"> </w:t>
      </w:r>
      <w:r w:rsidR="009451E4" w:rsidRPr="00742A04">
        <w:t>los estudios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>hacia el final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su </w:t>
      </w:r>
      <w:r w:rsidR="00AD0883" w:rsidRPr="00742A04">
        <w:t>vida lab</w:t>
      </w:r>
      <w:r w:rsidR="00AD0883" w:rsidRPr="00742A04">
        <w:t>o</w:t>
      </w:r>
      <w:r w:rsidR="00AD0883" w:rsidRPr="00742A04">
        <w:t>ral</w:t>
      </w:r>
      <w:r w:rsidR="000A08D8" w:rsidRPr="00742A04">
        <w:t>.</w:t>
      </w:r>
    </w:p>
    <w:p w:rsidR="00545D1B" w:rsidRPr="00742A04" w:rsidRDefault="004A0730" w:rsidP="006B5613">
      <w:pPr>
        <w:pStyle w:val="SingleTxt"/>
        <w:ind w:firstLine="475"/>
      </w:pPr>
      <w:r w:rsidRPr="00742A04">
        <w:t>En</w:t>
      </w:r>
      <w:r w:rsidR="00545D1B" w:rsidRPr="00742A04">
        <w:t xml:space="preserve"> 2005 </w:t>
      </w:r>
      <w:r w:rsidR="00A31FF2" w:rsidRPr="00742A04">
        <w:t>la tasa de desempleo</w:t>
      </w:r>
      <w:r w:rsidR="00545D1B" w:rsidRPr="00742A04">
        <w:t xml:space="preserve"> </w:t>
      </w:r>
      <w:r w:rsidR="009D1A12" w:rsidRPr="00742A04">
        <w:t>era</w:t>
      </w:r>
      <w:r w:rsidR="00EE31D6" w:rsidRPr="00742A04">
        <w:t xml:space="preserve"> </w:t>
      </w:r>
      <w:r w:rsidR="00E42208">
        <w:t xml:space="preserve">de </w:t>
      </w:r>
      <w:r w:rsidR="00EE31D6" w:rsidRPr="00742A04">
        <w:t>4,</w:t>
      </w:r>
      <w:r w:rsidR="00545D1B" w:rsidRPr="00742A04">
        <w:t>8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EE31D6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EE31D6" w:rsidRPr="00742A04">
        <w:t xml:space="preserve"> 4,</w:t>
      </w:r>
      <w:r w:rsidR="00545D1B" w:rsidRPr="00742A04">
        <w:t>4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EE31D6" w:rsidRPr="00742A04">
        <w:t xml:space="preserve">las </w:t>
      </w:r>
      <w:r w:rsidR="00072AD7" w:rsidRPr="00742A04">
        <w:t>mujeres</w:t>
      </w:r>
      <w:r w:rsidR="00545D1B" w:rsidRPr="00742A04">
        <w:t>.</w:t>
      </w:r>
    </w:p>
    <w:p w:rsidR="00545D1B" w:rsidRPr="00742A04" w:rsidRDefault="00EE31D6" w:rsidP="006B5613">
      <w:pPr>
        <w:pStyle w:val="SingleTxt"/>
        <w:ind w:firstLine="475"/>
      </w:pPr>
      <w:r w:rsidRPr="00742A04">
        <w:t>Si bien h</w:t>
      </w:r>
      <w:r w:rsidR="003A4F33" w:rsidRPr="00742A04">
        <w:t>a habido</w:t>
      </w:r>
      <w:r w:rsidR="00545D1B" w:rsidRPr="00742A04">
        <w:t xml:space="preserve"> </w:t>
      </w:r>
      <w:r w:rsidRPr="00742A04">
        <w:t>un incremento de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6A0F02" w:rsidRPr="00742A04">
        <w:t>m</w:t>
      </w:r>
      <w:r w:rsidR="006A0F02" w:rsidRPr="00742A04">
        <w:t>a</w:t>
      </w:r>
      <w:r w:rsidR="006A0F02" w:rsidRPr="00742A04">
        <w:t>yor</w:t>
      </w:r>
      <w:r w:rsidRPr="00742A04">
        <w:t>es</w:t>
      </w:r>
      <w:r w:rsidR="00545D1B" w:rsidRPr="00742A04">
        <w:t xml:space="preserve"> </w:t>
      </w:r>
      <w:r w:rsidR="004B0EC3" w:rsidRPr="00742A04">
        <w:t>cali</w:t>
      </w:r>
      <w:r w:rsidR="00545D1B" w:rsidRPr="00742A04">
        <w:t>fica</w:t>
      </w:r>
      <w:r w:rsidR="008907B8" w:rsidRPr="00742A04">
        <w:t>ciones</w:t>
      </w:r>
      <w:r w:rsidRPr="00742A04">
        <w:t xml:space="preserve"> educacional</w:t>
      </w:r>
      <w:r w:rsidR="00545D1B" w:rsidRPr="00742A04">
        <w:t xml:space="preserve">, </w:t>
      </w:r>
      <w:r w:rsidRPr="00742A04">
        <w:t xml:space="preserve">la mayoría de 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Pr="00742A04">
        <w:t>hacen</w:t>
      </w:r>
      <w:r w:rsidR="00545D1B" w:rsidRPr="00742A04">
        <w:t xml:space="preserve"> </w:t>
      </w:r>
      <w:r w:rsidRPr="00742A04">
        <w:t>o</w:t>
      </w:r>
      <w:r w:rsidRPr="00742A04">
        <w:t>p</w:t>
      </w:r>
      <w:r w:rsidRPr="00742A04">
        <w:t>ciones tradicionales en materia de carrera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 mercado de trabajo de Noruega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</w:t>
      </w:r>
      <w:r w:rsidR="00545D1B" w:rsidRPr="00742A04">
        <w:t xml:space="preserve"> </w:t>
      </w:r>
      <w:r w:rsidR="00507A11" w:rsidRPr="00742A04">
        <w:t>más</w:t>
      </w:r>
      <w:r w:rsidR="00545D1B" w:rsidRPr="00742A04">
        <w:t xml:space="preserve"> </w:t>
      </w:r>
      <w:r w:rsidR="00B306AA" w:rsidRPr="00742A04">
        <w:t>segregado</w:t>
      </w:r>
      <w:r w:rsidRPr="00742A04">
        <w:t>s</w:t>
      </w:r>
      <w:r w:rsidR="00B306AA" w:rsidRPr="00742A04">
        <w:t xml:space="preserve"> por géneros</w:t>
      </w:r>
      <w:r w:rsidR="00545D1B" w:rsidRPr="00742A04">
        <w:t xml:space="preserve"> </w:t>
      </w:r>
      <w:r w:rsidRPr="00742A04">
        <w:t>d</w:t>
      </w:r>
      <w:r w:rsidR="00C14BFF" w:rsidRPr="00742A04">
        <w:t>e</w:t>
      </w:r>
      <w:r w:rsidR="00545D1B" w:rsidRPr="00742A04">
        <w:t xml:space="preserve"> </w:t>
      </w:r>
      <w:r w:rsidRPr="00742A04">
        <w:t>Europa</w:t>
      </w:r>
      <w:r w:rsidR="00545D1B" w:rsidRPr="00742A04">
        <w:t xml:space="preserve">. </w:t>
      </w:r>
      <w:r w:rsidR="00F43124" w:rsidRPr="00742A04">
        <w:t>Hay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982243" w:rsidRPr="00742A04">
        <w:t>menos</w:t>
      </w:r>
      <w:r w:rsidR="00FC522E" w:rsidRPr="00742A04">
        <w:t xml:space="preserve"> un equilibrio</w:t>
      </w:r>
      <w:r w:rsidR="0083129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4371">
        <w:t>algunas</w:t>
      </w:r>
      <w:r w:rsidR="00545D1B" w:rsidRPr="00742A04">
        <w:t xml:space="preserve"> </w:t>
      </w:r>
      <w:r w:rsidR="00B82A08" w:rsidRPr="00742A04">
        <w:t>ocup</w:t>
      </w:r>
      <w:r w:rsidR="00545D1B" w:rsidRPr="00742A04">
        <w:t>a</w:t>
      </w:r>
      <w:r w:rsidR="008907B8" w:rsidRPr="00742A04">
        <w:t>ciones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Pr="00742A04">
        <w:t>la distribución postal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 xml:space="preserve">la </w:t>
      </w:r>
      <w:r w:rsidR="00615664" w:rsidRPr="00742A04">
        <w:t>comercial</w:t>
      </w:r>
      <w:r w:rsidR="00615664" w:rsidRPr="00742A04">
        <w:t>i</w:t>
      </w:r>
      <w:r w:rsidR="00615664" w:rsidRPr="00742A04">
        <w:t>zación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 </w:t>
      </w:r>
      <w:r w:rsidR="00615664" w:rsidRPr="00742A04">
        <w:t>publicidad</w:t>
      </w:r>
      <w:r w:rsidR="00545D1B" w:rsidRPr="00742A04">
        <w:t xml:space="preserve">. </w:t>
      </w:r>
      <w:r w:rsidRPr="00742A04">
        <w:t>En la medida en que se producen</w:t>
      </w:r>
      <w:r w:rsidR="00545D1B" w:rsidRPr="00742A04">
        <w:t xml:space="preserve"> </w:t>
      </w:r>
      <w:r w:rsidR="00935A90" w:rsidRPr="00742A04">
        <w:t>cambios</w:t>
      </w:r>
      <w:r w:rsidR="00545D1B" w:rsidRPr="00742A04">
        <w:t xml:space="preserve">, </w:t>
      </w:r>
      <w:r w:rsidRPr="00742A04">
        <w:t>hay una tendencia a</w:t>
      </w:r>
      <w:r w:rsidR="00545D1B" w:rsidRPr="00742A04">
        <w:t xml:space="preserve"> </w:t>
      </w:r>
      <w:r w:rsidRPr="00742A04">
        <w:t>que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Pr="00742A04">
        <w:t>ingresen en</w:t>
      </w:r>
      <w:r w:rsidR="00545D1B" w:rsidRPr="00742A04">
        <w:t xml:space="preserve"> </w:t>
      </w:r>
      <w:r w:rsidRPr="00742A04">
        <w:t>profesiones en que predomin</w:t>
      </w:r>
      <w:r w:rsidR="00C91923">
        <w:t>a</w:t>
      </w:r>
      <w:r w:rsidRPr="00742A04">
        <w:t>n los hombres,</w:t>
      </w:r>
      <w:r w:rsidR="00545D1B" w:rsidRPr="00742A04">
        <w:t xml:space="preserve"> </w:t>
      </w:r>
      <w:r w:rsidRPr="00742A04">
        <w:t>y no a la in</w:t>
      </w:r>
      <w:r w:rsidR="00545D1B" w:rsidRPr="00742A04">
        <w:t>versa.</w:t>
      </w:r>
    </w:p>
    <w:p w:rsidR="00545D1B" w:rsidRPr="00742A04" w:rsidRDefault="00894371" w:rsidP="006B5613">
      <w:pPr>
        <w:pStyle w:val="SingleTxt"/>
        <w:ind w:firstLine="475"/>
      </w:pPr>
      <w:r w:rsidRPr="00742A04">
        <w:t>Un</w:t>
      </w:r>
      <w:r w:rsidR="00EE31D6" w:rsidRPr="00742A04">
        <w:t xml:space="preserve"> porcentaje significativo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92C77" w:rsidRPr="00742A04">
        <w:t>mujeres económicamente activas</w:t>
      </w:r>
      <w:r w:rsidR="00545D1B" w:rsidRPr="00742A04">
        <w:t xml:space="preserve"> </w:t>
      </w:r>
      <w:r w:rsidR="00116976" w:rsidRPr="00742A04">
        <w:t>trabaj</w:t>
      </w:r>
      <w:r w:rsidR="00EE31D6" w:rsidRPr="00742A04">
        <w:t>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574C4" w:rsidRPr="00742A04">
        <w:t>el sector público</w:t>
      </w:r>
      <w:r w:rsidR="00545D1B" w:rsidRPr="00742A04">
        <w:t xml:space="preserve">. </w:t>
      </w:r>
      <w:r w:rsidR="00EE31D6" w:rsidRPr="00742A04">
        <w:t xml:space="preserve">El </w:t>
      </w:r>
      <w:r w:rsidR="00545D1B" w:rsidRPr="00742A04">
        <w:t>69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 </w:t>
      </w:r>
      <w:r w:rsidR="00EE31D6" w:rsidRPr="00742A04">
        <w:t xml:space="preserve">del sector público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E73E8E" w:rsidRPr="00742A04">
        <w:t>en comp</w:t>
      </w:r>
      <w:r w:rsidR="00E73E8E" w:rsidRPr="00742A04">
        <w:t>a</w:t>
      </w:r>
      <w:r w:rsidR="00E73E8E" w:rsidRPr="00742A04">
        <w:t>ración con</w:t>
      </w:r>
      <w:r w:rsidR="00EE31D6" w:rsidRPr="00742A04">
        <w:t xml:space="preserve"> el</w:t>
      </w:r>
      <w:r w:rsidR="00545D1B" w:rsidRPr="00742A04">
        <w:t xml:space="preserve"> 37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80AC9" w:rsidRPr="00742A04">
        <w:t>los empleados</w:t>
      </w:r>
      <w:r w:rsidR="00EE31D6" w:rsidRPr="00742A04">
        <w:t xml:space="preserve"> del sector privado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, </w:t>
      </w:r>
      <w:r w:rsidR="00E73E8E" w:rsidRPr="00742A04">
        <w:t>la pr</w:t>
      </w:r>
      <w:r w:rsidR="00E73E8E" w:rsidRPr="00742A04">
        <w:t>o</w:t>
      </w:r>
      <w:r w:rsidR="00E73E8E" w:rsidRPr="00742A04">
        <w:t>porción de mujeres</w:t>
      </w:r>
      <w:r w:rsidR="008C6468" w:rsidRPr="00742A04">
        <w:t xml:space="preserve"> se ha</w:t>
      </w:r>
      <w:r w:rsidR="00545D1B" w:rsidRPr="00742A04">
        <w:t xml:space="preserve"> </w:t>
      </w:r>
      <w:r w:rsidR="00AC1BF5" w:rsidRPr="00742A04">
        <w:t>increment</w:t>
      </w:r>
      <w:r w:rsidR="008C6468" w:rsidRPr="00742A04">
        <w:t>ado</w:t>
      </w:r>
      <w:r w:rsidR="00AC1BF5" w:rsidRPr="00742A04">
        <w:t xml:space="preserve"> </w:t>
      </w:r>
      <w:r w:rsidR="008C6468" w:rsidRPr="00742A04">
        <w:t>levemente</w:t>
      </w:r>
      <w:r w:rsidR="00545D1B" w:rsidRPr="00742A04">
        <w:t xml:space="preserve">, </w:t>
      </w:r>
      <w:r w:rsidR="008C6468" w:rsidRPr="00742A04">
        <w:t xml:space="preserve">pasando </w:t>
      </w:r>
      <w:r w:rsidR="008F0C8E" w:rsidRPr="00742A04">
        <w:t>de</w:t>
      </w:r>
      <w:r w:rsidR="008C6468" w:rsidRPr="00742A04">
        <w:t>l</w:t>
      </w:r>
      <w:r w:rsidR="00545D1B" w:rsidRPr="00742A04">
        <w:t xml:space="preserve"> 43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2000 </w:t>
      </w:r>
      <w:r w:rsidR="0030626A" w:rsidRPr="00742A04">
        <w:t>a</w:t>
      </w:r>
      <w:r w:rsidR="008C6468" w:rsidRPr="00742A04">
        <w:t>l</w:t>
      </w:r>
      <w:r w:rsidR="00545D1B" w:rsidRPr="00742A04">
        <w:t xml:space="preserve"> 45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2004. </w:t>
      </w:r>
      <w:r w:rsidRPr="00742A04">
        <w:t>Algunos</w:t>
      </w:r>
      <w:r w:rsidR="008B0D68" w:rsidRPr="00742A04">
        <w:t xml:space="preserve"> organismos estatales</w:t>
      </w:r>
      <w:r w:rsidR="00545D1B" w:rsidRPr="00742A04">
        <w:t xml:space="preserve"> (</w:t>
      </w:r>
      <w:r w:rsidR="008B0D68" w:rsidRPr="00742A04">
        <w:t>por ejemplo,</w:t>
      </w:r>
      <w:r w:rsidR="00545D1B" w:rsidRPr="00742A04">
        <w:t xml:space="preserve"> </w:t>
      </w:r>
      <w:r w:rsidR="00D515FC" w:rsidRPr="00742A04">
        <w:t>las Fuerzas de Defensa</w:t>
      </w:r>
      <w:r w:rsidR="008B0D68" w:rsidRPr="00742A04">
        <w:t>;</w:t>
      </w:r>
      <w:r w:rsidR="00545D1B" w:rsidRPr="00742A04">
        <w:t xml:space="preserve"> </w:t>
      </w:r>
      <w:r w:rsidR="008B0D68" w:rsidRPr="00742A04">
        <w:t>véas</w:t>
      </w:r>
      <w:r w:rsidR="00545D1B" w:rsidRPr="00742A04">
        <w:t xml:space="preserve">e </w:t>
      </w:r>
      <w:r w:rsidR="00CD2FF0" w:rsidRPr="00742A04">
        <w:rPr>
          <w:i/>
        </w:rPr>
        <w:t>infra</w:t>
      </w:r>
      <w:r w:rsidR="00545D1B" w:rsidRPr="00742A04">
        <w:t xml:space="preserve">) </w:t>
      </w:r>
      <w:r w:rsidR="008B0D68" w:rsidRPr="00742A04">
        <w:t>se enfrentan a</w:t>
      </w:r>
      <w:r w:rsidR="00502E16" w:rsidRPr="00742A04">
        <w:t xml:space="preserve"> desafíos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E4840" w:rsidRPr="00742A04">
        <w:t>sus</w:t>
      </w:r>
      <w:r w:rsidR="00502E16" w:rsidRPr="00742A04">
        <w:t xml:space="preserve"> </w:t>
      </w:r>
      <w:r w:rsidR="00935A90" w:rsidRPr="00742A04">
        <w:t xml:space="preserve">esfuerzos por </w:t>
      </w:r>
      <w:r w:rsidR="0058094F" w:rsidRPr="00742A04">
        <w:t>lograr</w:t>
      </w:r>
      <w:r w:rsidR="008B0D68" w:rsidRPr="00742A04">
        <w:t xml:space="preserve"> una</w:t>
      </w:r>
      <w:r w:rsidR="00545D1B" w:rsidRPr="00742A04">
        <w:t xml:space="preserve"> </w:t>
      </w:r>
      <w:r w:rsidR="005C19C7" w:rsidRPr="00742A04">
        <w:t>buena</w:t>
      </w:r>
      <w:r w:rsidR="00537384" w:rsidRPr="00742A04">
        <w:t xml:space="preserve"> distribución de género</w:t>
      </w:r>
      <w:r w:rsidR="00C27C42" w:rsidRPr="00742A04">
        <w:t>.</w:t>
      </w:r>
    </w:p>
    <w:p w:rsidR="000A08D8" w:rsidRPr="00742A04" w:rsidRDefault="00EC1B22" w:rsidP="006B5613">
      <w:pPr>
        <w:pStyle w:val="SingleTxt"/>
        <w:ind w:firstLine="475"/>
      </w:pPr>
      <w:r w:rsidRPr="00742A04">
        <w:t>Una gran</w:t>
      </w:r>
      <w:r w:rsidR="00545D1B" w:rsidRPr="00742A04">
        <w:t xml:space="preserve"> </w:t>
      </w:r>
      <w:r w:rsidR="00B0197C" w:rsidRPr="00742A04">
        <w:t>mayoría</w:t>
      </w:r>
      <w:r w:rsidR="008C4612" w:rsidRPr="00742A04">
        <w:t xml:space="preserve"> de </w:t>
      </w:r>
      <w:r w:rsidRPr="00742A04">
        <w:t xml:space="preserve">las empresas </w:t>
      </w:r>
      <w:r w:rsidR="00545D1B" w:rsidRPr="00742A04">
        <w:t>establ</w:t>
      </w:r>
      <w:r w:rsidRPr="00742A04">
        <w:t>ecidas recientemente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Pr="00742A04">
        <w:t>empresas unipersonales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Pr="00742A04">
        <w:t>representan la tercera parte del total de</w:t>
      </w:r>
      <w:r w:rsidR="00545D1B" w:rsidRPr="00742A04">
        <w:t xml:space="preserve"> </w:t>
      </w:r>
      <w:r w:rsidR="007C65B3" w:rsidRPr="00742A04">
        <w:t>nueva</w:t>
      </w:r>
      <w:r w:rsidRPr="00742A04">
        <w:t>s</w:t>
      </w:r>
      <w:r w:rsidR="00545D1B" w:rsidRPr="00742A04">
        <w:t xml:space="preserve"> </w:t>
      </w:r>
      <w:r w:rsidRPr="00742A04">
        <w:t>empr</w:t>
      </w:r>
      <w:r w:rsidRPr="00742A04">
        <w:t>e</w:t>
      </w:r>
      <w:r w:rsidRPr="00742A04">
        <w:t>sa</w:t>
      </w:r>
      <w:r w:rsidR="00545D1B" w:rsidRPr="00742A04">
        <w:t xml:space="preserve">s </w:t>
      </w:r>
      <w:r w:rsidR="00C14BFF" w:rsidRPr="00742A04">
        <w:t>en</w:t>
      </w:r>
      <w:r w:rsidR="00545D1B" w:rsidRPr="00742A04">
        <w:t xml:space="preserve"> 2005. </w:t>
      </w:r>
      <w:r w:rsidRPr="00742A04">
        <w:t>Por otro lado</w:t>
      </w:r>
      <w:r w:rsidR="00545D1B" w:rsidRPr="00742A04">
        <w:t xml:space="preserve">,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Pr="00742A04">
        <w:t>sólo representaban</w:t>
      </w:r>
      <w:r w:rsidR="00545D1B" w:rsidRPr="00742A04">
        <w:t xml:space="preserve"> </w:t>
      </w:r>
      <w:r w:rsidRPr="00742A04">
        <w:t>la cuarta parte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las e</w:t>
      </w:r>
      <w:r w:rsidRPr="00742A04">
        <w:t>m</w:t>
      </w:r>
      <w:r w:rsidRPr="00742A04">
        <w:t>presas unipersonales existentes</w:t>
      </w:r>
      <w:r w:rsidR="00545D1B" w:rsidRPr="00742A04">
        <w:t xml:space="preserve">. </w:t>
      </w:r>
      <w:r w:rsidR="006477C5" w:rsidRPr="00742A04">
        <w:t>Las mujeres</w:t>
      </w:r>
      <w:r w:rsidR="00545D1B" w:rsidRPr="00742A04">
        <w:t xml:space="preserve"> </w:t>
      </w:r>
      <w:r w:rsidRPr="00742A04">
        <w:t>empresarias</w:t>
      </w:r>
      <w:r w:rsidR="00545D1B" w:rsidRPr="00742A04">
        <w:t xml:space="preserve"> </w:t>
      </w:r>
      <w:r w:rsidR="006477C5" w:rsidRPr="00742A04">
        <w:t>se encuentran</w:t>
      </w:r>
      <w:r w:rsidR="00230F13" w:rsidRPr="00742A04">
        <w:t xml:space="preserve"> particula</w:t>
      </w:r>
      <w:r w:rsidR="00230F13" w:rsidRPr="00742A04">
        <w:t>r</w:t>
      </w:r>
      <w:r w:rsidR="006477C5" w:rsidRPr="00742A04">
        <w:t>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31D97" w:rsidRPr="00742A04">
        <w:t>los servicios</w:t>
      </w:r>
      <w:r w:rsidR="006477C5" w:rsidRPr="00742A04">
        <w:t xml:space="preserve"> sociales y de salud</w:t>
      </w:r>
      <w:r w:rsidR="00545D1B" w:rsidRPr="00742A04">
        <w:t xml:space="preserve">, </w:t>
      </w:r>
      <w:r w:rsidR="006477C5" w:rsidRPr="00742A04">
        <w:t xml:space="preserve">la </w:t>
      </w:r>
      <w:r w:rsidR="00A05847" w:rsidRPr="00742A04">
        <w:t>educación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otr</w:t>
      </w:r>
      <w:r w:rsidR="006477C5" w:rsidRPr="00742A04">
        <w:t>os</w:t>
      </w:r>
      <w:r w:rsidR="00545D1B" w:rsidRPr="00742A04">
        <w:t xml:space="preserve"> </w:t>
      </w:r>
      <w:r w:rsidR="00B31D97" w:rsidRPr="00742A04">
        <w:t>servicios</w:t>
      </w:r>
      <w:r w:rsidR="006477C5" w:rsidRPr="00742A04">
        <w:t xml:space="preserve"> sociales y personales</w:t>
      </w:r>
      <w:r w:rsidR="000A08D8" w:rsidRPr="00742A04">
        <w:t>.</w:t>
      </w:r>
    </w:p>
    <w:p w:rsidR="000A08D8" w:rsidRPr="00742A04" w:rsidRDefault="00545D1B" w:rsidP="006B5613">
      <w:pPr>
        <w:pStyle w:val="SingleTxt"/>
        <w:ind w:firstLine="475"/>
      </w:pPr>
      <w:r w:rsidRPr="00742A04">
        <w:t>Innova</w:t>
      </w:r>
      <w:r w:rsidR="00C14BFF" w:rsidRPr="00742A04">
        <w:t xml:space="preserve">ción </w:t>
      </w:r>
      <w:r w:rsidR="00EA26AB" w:rsidRPr="00742A04">
        <w:t>Noruega</w:t>
      </w:r>
      <w:r w:rsidRPr="00742A04">
        <w:t xml:space="preserve"> </w:t>
      </w:r>
      <w:r w:rsidR="006477C5" w:rsidRPr="00742A04">
        <w:t>se propone log</w:t>
      </w:r>
      <w:r w:rsidR="00A8633B" w:rsidRPr="00742A04">
        <w:t>rar que</w:t>
      </w:r>
      <w:r w:rsidRPr="00742A04">
        <w:t xml:space="preserve"> </w:t>
      </w:r>
      <w:r w:rsidR="00657260" w:rsidRPr="00742A04">
        <w:t>por lo menos</w:t>
      </w:r>
      <w:r w:rsidRPr="00742A04">
        <w:t xml:space="preserve"> </w:t>
      </w:r>
      <w:r w:rsidR="006477C5" w:rsidRPr="00742A04">
        <w:t xml:space="preserve">el </w:t>
      </w:r>
      <w:r w:rsidRPr="00742A04">
        <w:t>25</w:t>
      </w:r>
      <w:r w:rsidR="001167D2" w:rsidRPr="00742A04">
        <w:t>%</w:t>
      </w:r>
      <w:r w:rsidRPr="00742A04">
        <w:t xml:space="preserve"> </w:t>
      </w:r>
      <w:r w:rsidR="006477C5" w:rsidRPr="00742A04">
        <w:t>del total de subsidios a</w:t>
      </w:r>
      <w:r w:rsidR="00FF24A3" w:rsidRPr="00742A04">
        <w:t xml:space="preserve"> empresa</w:t>
      </w:r>
      <w:r w:rsidRPr="00742A04">
        <w:t>s (financ</w:t>
      </w:r>
      <w:r w:rsidR="006477C5" w:rsidRPr="00742A04">
        <w:t>iados por todos los</w:t>
      </w:r>
      <w:r w:rsidRPr="00742A04">
        <w:t xml:space="preserve"> </w:t>
      </w:r>
      <w:r w:rsidR="00603216" w:rsidRPr="00742A04">
        <w:t>ministerios</w:t>
      </w:r>
      <w:r w:rsidRPr="00742A04">
        <w:t xml:space="preserve">) </w:t>
      </w:r>
      <w:r w:rsidR="006477C5" w:rsidRPr="00742A04">
        <w:t>se asignen</w:t>
      </w:r>
      <w:r w:rsidRPr="00742A04">
        <w:t xml:space="preserve"> </w:t>
      </w:r>
      <w:r w:rsidR="00F43124" w:rsidRPr="00742A04">
        <w:t>par</w:t>
      </w:r>
      <w:r w:rsidR="007D653A" w:rsidRPr="00742A04">
        <w:t>a</w:t>
      </w:r>
      <w:r w:rsidR="006477C5" w:rsidRPr="00742A04">
        <w:t xml:space="preserve"> e</w:t>
      </w:r>
      <w:r w:rsidR="007D653A" w:rsidRPr="00742A04">
        <w:t>l est</w:t>
      </w:r>
      <w:r w:rsidR="007D653A" w:rsidRPr="00742A04">
        <w:t>a</w:t>
      </w:r>
      <w:r w:rsidR="007D653A" w:rsidRPr="00742A04">
        <w:t>blecimiento</w:t>
      </w:r>
      <w:r w:rsidRPr="00742A04">
        <w:t xml:space="preserve"> </w:t>
      </w:r>
      <w:r w:rsidR="004D313C" w:rsidRPr="00742A04">
        <w:t xml:space="preserve">de </w:t>
      </w:r>
      <w:r w:rsidR="006477C5" w:rsidRPr="00742A04">
        <w:t>empresas o proyectos orientados hacia la</w:t>
      </w:r>
      <w:r w:rsidR="004D313C" w:rsidRPr="00742A04">
        <w:t xml:space="preserve"> mujer</w:t>
      </w:r>
      <w:r w:rsidRPr="00742A04">
        <w:t xml:space="preserve">. </w:t>
      </w:r>
      <w:r w:rsidR="004A0730" w:rsidRPr="00742A04">
        <w:t>En</w:t>
      </w:r>
      <w:r w:rsidRPr="00742A04">
        <w:t xml:space="preserve"> 2003, </w:t>
      </w:r>
      <w:r w:rsidR="006477C5" w:rsidRPr="00742A04">
        <w:t xml:space="preserve">el </w:t>
      </w:r>
      <w:r w:rsidRPr="00742A04">
        <w:t>15</w:t>
      </w:r>
      <w:r w:rsidR="001167D2" w:rsidRPr="00742A04">
        <w:t>%</w:t>
      </w:r>
      <w:r w:rsidRPr="00742A04">
        <w:t xml:space="preserve"> </w:t>
      </w:r>
      <w:r w:rsidR="004A0730" w:rsidRPr="00742A04">
        <w:t>de</w:t>
      </w:r>
      <w:r w:rsidR="006477C5" w:rsidRPr="00742A04">
        <w:t>l</w:t>
      </w:r>
      <w:r w:rsidRPr="00742A04">
        <w:t xml:space="preserve"> total </w:t>
      </w:r>
      <w:r w:rsidR="006477C5" w:rsidRPr="00742A04">
        <w:t>de asign</w:t>
      </w:r>
      <w:r w:rsidRPr="00742A04">
        <w:t>a</w:t>
      </w:r>
      <w:r w:rsidR="008907B8" w:rsidRPr="00742A04">
        <w:t>ciones</w:t>
      </w:r>
      <w:r w:rsidRPr="00742A04">
        <w:t xml:space="preserve"> (</w:t>
      </w:r>
      <w:r w:rsidR="0063400A" w:rsidRPr="00742A04">
        <w:t>préstamo</w:t>
      </w:r>
      <w:r w:rsidR="006477C5" w:rsidRPr="00742A04">
        <w:t>s, g</w:t>
      </w:r>
      <w:r w:rsidRPr="00742A04">
        <w:t>arant</w:t>
      </w:r>
      <w:r w:rsidR="006477C5" w:rsidRPr="00742A04">
        <w:t>ía</w:t>
      </w:r>
      <w:r w:rsidRPr="00742A04">
        <w:t xml:space="preserve">s </w:t>
      </w:r>
      <w:r w:rsidR="00877AA0" w:rsidRPr="00742A04">
        <w:t>y</w:t>
      </w:r>
      <w:r w:rsidRPr="00742A04">
        <w:t xml:space="preserve"> </w:t>
      </w:r>
      <w:r w:rsidR="006477C5" w:rsidRPr="00742A04">
        <w:t>subsidio</w:t>
      </w:r>
      <w:r w:rsidR="00B13783" w:rsidRPr="00742A04">
        <w:t>s</w:t>
      </w:r>
      <w:r w:rsidRPr="00742A04">
        <w:t xml:space="preserve">) </w:t>
      </w:r>
      <w:r w:rsidR="006477C5" w:rsidRPr="00742A04">
        <w:t xml:space="preserve">se destinaron </w:t>
      </w:r>
      <w:r w:rsidR="00F43124" w:rsidRPr="00742A04">
        <w:t>a</w:t>
      </w:r>
      <w:r w:rsidRPr="00742A04">
        <w:t xml:space="preserve"> </w:t>
      </w:r>
      <w:r w:rsidR="00894371" w:rsidRPr="00742A04">
        <w:t xml:space="preserve">proyectos </w:t>
      </w:r>
      <w:r w:rsidR="00894371">
        <w:t xml:space="preserve">orientados hacia la </w:t>
      </w:r>
      <w:r w:rsidR="00072AD7" w:rsidRPr="00742A04">
        <w:t>mujer</w:t>
      </w:r>
      <w:r w:rsidRPr="00742A04">
        <w:t xml:space="preserve">. </w:t>
      </w:r>
      <w:r w:rsidR="004A0730" w:rsidRPr="00742A04">
        <w:t>En</w:t>
      </w:r>
      <w:r w:rsidRPr="00742A04">
        <w:t xml:space="preserve"> 2004 </w:t>
      </w:r>
      <w:r w:rsidR="00877AA0" w:rsidRPr="00742A04">
        <w:t>y</w:t>
      </w:r>
      <w:r w:rsidRPr="00742A04">
        <w:t xml:space="preserve"> 2005 </w:t>
      </w:r>
      <w:r w:rsidR="00537384" w:rsidRPr="00742A04">
        <w:t>las cifras</w:t>
      </w:r>
      <w:r w:rsidRPr="00742A04">
        <w:t xml:space="preserve"> </w:t>
      </w:r>
      <w:r w:rsidR="00E73E8E" w:rsidRPr="00742A04">
        <w:t>eran</w:t>
      </w:r>
      <w:r w:rsidRPr="00742A04">
        <w:t xml:space="preserve"> 18</w:t>
      </w:r>
      <w:r w:rsidR="001167D2" w:rsidRPr="00742A04">
        <w:t>%</w:t>
      </w:r>
      <w:r w:rsidRPr="00742A04">
        <w:t xml:space="preserve"> </w:t>
      </w:r>
      <w:r w:rsidR="00877AA0" w:rsidRPr="00742A04">
        <w:t>y</w:t>
      </w:r>
      <w:r w:rsidRPr="00742A04">
        <w:t xml:space="preserve"> 19</w:t>
      </w:r>
      <w:r w:rsidR="001167D2" w:rsidRPr="00742A04">
        <w:t>%</w:t>
      </w:r>
      <w:r w:rsidRPr="00742A04">
        <w:t xml:space="preserve"> </w:t>
      </w:r>
      <w:r w:rsidR="00E73E8E" w:rsidRPr="00742A04">
        <w:t>respectiv</w:t>
      </w:r>
      <w:r w:rsidR="00E73E8E" w:rsidRPr="00742A04">
        <w:t>a</w:t>
      </w:r>
      <w:r w:rsidR="00E73E8E" w:rsidRPr="00742A04">
        <w:t>mente</w:t>
      </w:r>
      <w:r w:rsidRPr="00742A04">
        <w:t xml:space="preserve">. </w:t>
      </w:r>
      <w:r w:rsidR="004A0730" w:rsidRPr="00742A04">
        <w:t>En</w:t>
      </w:r>
      <w:r w:rsidRPr="00742A04">
        <w:t xml:space="preserve"> 2005</w:t>
      </w:r>
      <w:r w:rsidR="00894371">
        <w:t>, el</w:t>
      </w:r>
      <w:r w:rsidRPr="00742A04">
        <w:t xml:space="preserve"> 24</w:t>
      </w:r>
      <w:r w:rsidR="001167D2" w:rsidRPr="00742A04">
        <w:t>%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894371">
        <w:t xml:space="preserve">los subsidios para </w:t>
      </w:r>
      <w:r w:rsidRPr="00742A04">
        <w:t>innova</w:t>
      </w:r>
      <w:r w:rsidR="00C14BFF" w:rsidRPr="00742A04">
        <w:t xml:space="preserve">ción </w:t>
      </w:r>
      <w:r w:rsidR="00894371">
        <w:t>se asignaron a</w:t>
      </w:r>
      <w:r w:rsidR="006477C5" w:rsidRPr="00742A04">
        <w:t xml:space="preserve"> proyectos orientados hacia la mujer</w:t>
      </w:r>
      <w:r w:rsidR="000A08D8" w:rsidRPr="00742A04">
        <w:t>.</w:t>
      </w:r>
    </w:p>
    <w:p w:rsidR="00545D1B" w:rsidRPr="00742A04" w:rsidRDefault="00545D1B" w:rsidP="006B5613">
      <w:pPr>
        <w:pStyle w:val="SingleTxt"/>
        <w:ind w:firstLine="475"/>
      </w:pPr>
      <w:r w:rsidRPr="00742A04">
        <w:t>Innova</w:t>
      </w:r>
      <w:r w:rsidR="00C14BFF" w:rsidRPr="00742A04">
        <w:t xml:space="preserve">ción </w:t>
      </w:r>
      <w:r w:rsidR="00EA26AB" w:rsidRPr="00742A04">
        <w:t>Noruega</w:t>
      </w:r>
      <w:r w:rsidRPr="00742A04">
        <w:t xml:space="preserve"> </w:t>
      </w:r>
      <w:r w:rsidR="0030626A" w:rsidRPr="00742A04">
        <w:t>también</w:t>
      </w:r>
      <w:r w:rsidRPr="00742A04">
        <w:t xml:space="preserve"> </w:t>
      </w:r>
      <w:r w:rsidR="006477C5" w:rsidRPr="00742A04">
        <w:t>tiene</w:t>
      </w:r>
      <w:r w:rsidRPr="00742A04">
        <w:t xml:space="preserve"> </w:t>
      </w:r>
      <w:r w:rsidR="006477C5" w:rsidRPr="00742A04">
        <w:t>un proyecto especial</w:t>
      </w:r>
      <w:r w:rsidRPr="00742A04">
        <w:t xml:space="preserve"> </w:t>
      </w:r>
      <w:r w:rsidR="008A0C75" w:rsidRPr="00742A04">
        <w:t>titulado</w:t>
      </w:r>
      <w:r w:rsidRPr="00742A04">
        <w:t xml:space="preserve"> </w:t>
      </w:r>
      <w:r w:rsidRPr="00742A04">
        <w:rPr>
          <w:i/>
        </w:rPr>
        <w:t>Kvinner i f</w:t>
      </w:r>
      <w:r w:rsidRPr="00742A04">
        <w:rPr>
          <w:i/>
        </w:rPr>
        <w:t>o</w:t>
      </w:r>
      <w:r w:rsidRPr="00742A04">
        <w:rPr>
          <w:i/>
        </w:rPr>
        <w:t>kus</w:t>
      </w:r>
      <w:r w:rsidRPr="00742A04">
        <w:t xml:space="preserve"> (</w:t>
      </w:r>
      <w:r w:rsidR="006477C5" w:rsidRPr="00742A04">
        <w:t>“</w:t>
      </w:r>
      <w:r w:rsidR="0092274F" w:rsidRPr="00742A04">
        <w:t>L</w:t>
      </w:r>
      <w:r w:rsidR="006477C5" w:rsidRPr="00742A04">
        <w:t>a</w:t>
      </w:r>
      <w:r w:rsidRPr="00742A04">
        <w:t xml:space="preserve"> </w:t>
      </w:r>
      <w:r w:rsidR="006477C5" w:rsidRPr="00742A04">
        <w:t>m</w:t>
      </w:r>
      <w:r w:rsidR="00072AD7" w:rsidRPr="00742A04">
        <w:t>ujer</w:t>
      </w:r>
      <w:r w:rsidR="0092274F" w:rsidRPr="00742A04">
        <w:t xml:space="preserve"> en el candelero”</w:t>
      </w:r>
      <w:r w:rsidR="006477C5" w:rsidRPr="00742A04">
        <w:t xml:space="preserve">) </w:t>
      </w:r>
      <w:r w:rsidR="00E575DB" w:rsidRPr="00742A04">
        <w:t>que</w:t>
      </w:r>
      <w:r w:rsidRPr="00742A04">
        <w:t xml:space="preserve"> </w:t>
      </w:r>
      <w:r w:rsidR="006477C5" w:rsidRPr="00742A04">
        <w:t>comprende</w:t>
      </w:r>
      <w:r w:rsidRPr="00742A04">
        <w:t xml:space="preserve"> </w:t>
      </w:r>
      <w:r w:rsidR="00F43124" w:rsidRPr="00742A04">
        <w:t>programa</w:t>
      </w:r>
      <w:r w:rsidRPr="00742A04">
        <w:t xml:space="preserve">s </w:t>
      </w:r>
      <w:r w:rsidR="00AD0883" w:rsidRPr="00742A04">
        <w:t>tales como</w:t>
      </w:r>
      <w:r w:rsidRPr="00742A04">
        <w:t xml:space="preserve"> </w:t>
      </w:r>
      <w:r w:rsidR="00A223F4" w:rsidRPr="00742A04">
        <w:t>Candidat</w:t>
      </w:r>
      <w:r w:rsidR="006477C5" w:rsidRPr="00742A04">
        <w:t>a</w:t>
      </w:r>
      <w:r w:rsidR="00A223F4" w:rsidRPr="00742A04">
        <w:t>s</w:t>
      </w:r>
      <w:r w:rsidR="006477C5" w:rsidRPr="00742A04">
        <w:t xml:space="preserve"> para las Juntas</w:t>
      </w:r>
      <w:r w:rsidRPr="00742A04">
        <w:t>, Mentor</w:t>
      </w:r>
      <w:r w:rsidR="006477C5" w:rsidRPr="00742A04">
        <w:t>e</w:t>
      </w:r>
      <w:r w:rsidRPr="00742A04">
        <w:t>s</w:t>
      </w:r>
      <w:r w:rsidR="006477C5" w:rsidRPr="00742A04">
        <w:t xml:space="preserve"> de Liderazgo</w:t>
      </w:r>
      <w:r w:rsidRPr="00742A04">
        <w:t xml:space="preserve">, </w:t>
      </w:r>
      <w:r w:rsidR="006477C5" w:rsidRPr="00742A04">
        <w:t>Faro</w:t>
      </w:r>
      <w:r w:rsidRPr="00742A04">
        <w:t xml:space="preserve">, </w:t>
      </w:r>
      <w:r w:rsidR="0092274F" w:rsidRPr="00742A04">
        <w:t xml:space="preserve">Empresa </w:t>
      </w:r>
      <w:r w:rsidRPr="00742A04">
        <w:t>Aca</w:t>
      </w:r>
      <w:r w:rsidR="0092274F" w:rsidRPr="00742A04">
        <w:t>dé</w:t>
      </w:r>
      <w:r w:rsidRPr="00742A04">
        <w:t>mic</w:t>
      </w:r>
      <w:r w:rsidR="0092274F" w:rsidRPr="00742A04">
        <w:t>a</w:t>
      </w:r>
      <w:r w:rsidRPr="00742A04">
        <w:t xml:space="preserve"> </w:t>
      </w:r>
      <w:r w:rsidR="0092274F" w:rsidRPr="00742A04">
        <w:t>y</w:t>
      </w:r>
      <w:r w:rsidR="002E5047" w:rsidRPr="00742A04">
        <w:t xml:space="preserve"> </w:t>
      </w:r>
      <w:r w:rsidR="00072AD7" w:rsidRPr="00742A04">
        <w:t>Mujeres</w:t>
      </w:r>
      <w:r w:rsidR="0092274F" w:rsidRPr="00742A04">
        <w:t xml:space="preserve"> Inn</w:t>
      </w:r>
      <w:r w:rsidR="0092274F" w:rsidRPr="00742A04">
        <w:t>o</w:t>
      </w:r>
      <w:r w:rsidR="0092274F" w:rsidRPr="00742A04">
        <w:t>vadoras</w:t>
      </w:r>
      <w:r w:rsidRPr="00742A04">
        <w:t xml:space="preserve">. </w:t>
      </w:r>
      <w:r w:rsidR="004A0730" w:rsidRPr="00742A04">
        <w:t>En</w:t>
      </w:r>
      <w:r w:rsidRPr="00742A04">
        <w:t xml:space="preserve"> 2004 Innova</w:t>
      </w:r>
      <w:r w:rsidR="00C14BFF" w:rsidRPr="00742A04">
        <w:t xml:space="preserve">ción </w:t>
      </w:r>
      <w:r w:rsidR="00EA26AB" w:rsidRPr="00742A04">
        <w:t>Noruega</w:t>
      </w:r>
      <w:r w:rsidRPr="00742A04">
        <w:t xml:space="preserve"> </w:t>
      </w:r>
      <w:r w:rsidR="0030626A" w:rsidRPr="00742A04">
        <w:t>también</w:t>
      </w:r>
      <w:r w:rsidRPr="00742A04">
        <w:t xml:space="preserve"> </w:t>
      </w:r>
      <w:r w:rsidR="00894371" w:rsidRPr="00742A04">
        <w:t>encabezó</w:t>
      </w:r>
      <w:r w:rsidRPr="00742A04">
        <w:t xml:space="preserve"> </w:t>
      </w:r>
      <w:r w:rsidR="007D36C8" w:rsidRPr="00742A04">
        <w:t xml:space="preserve">la </w:t>
      </w:r>
      <w:r w:rsidR="004F2F8A" w:rsidRPr="00742A04">
        <w:t>implementación</w:t>
      </w:r>
      <w:r w:rsidR="00C14BFF" w:rsidRPr="00742A04">
        <w:t xml:space="preserve"> </w:t>
      </w:r>
      <w:r w:rsidR="004A0730" w:rsidRPr="00742A04">
        <w:t>de</w:t>
      </w:r>
      <w:r w:rsidR="0092274F" w:rsidRPr="00742A04">
        <w:t xml:space="preserve"> u</w:t>
      </w:r>
      <w:r w:rsidRPr="00742A04">
        <w:t xml:space="preserve">n </w:t>
      </w:r>
      <w:r w:rsidR="00100BD0" w:rsidRPr="00742A04">
        <w:t>proyecto</w:t>
      </w:r>
      <w:r w:rsidR="00C91923">
        <w:t xml:space="preserve"> de la</w:t>
      </w:r>
      <w:r w:rsidRPr="00742A04">
        <w:t xml:space="preserve"> </w:t>
      </w:r>
      <w:r w:rsidR="0092274F" w:rsidRPr="00742A04">
        <w:t xml:space="preserve">Unión Europea encaminado </w:t>
      </w:r>
      <w:r w:rsidR="0030626A" w:rsidRPr="00742A04">
        <w:t>a</w:t>
      </w:r>
      <w:r w:rsidRPr="00742A04">
        <w:t xml:space="preserve"> investiga</w:t>
      </w:r>
      <w:r w:rsidR="0092274F" w:rsidRPr="00742A04">
        <w:t>r la trayectoria</w:t>
      </w:r>
      <w:r w:rsidRPr="00742A04">
        <w:t xml:space="preserve"> </w:t>
      </w:r>
      <w:r w:rsidR="004D313C" w:rsidRPr="00742A04">
        <w:t>de las mujeres</w:t>
      </w:r>
      <w:r w:rsidRPr="00742A04">
        <w:t xml:space="preserve"> </w:t>
      </w:r>
      <w:r w:rsidR="0092274F" w:rsidRPr="00742A04">
        <w:t>hacia l</w:t>
      </w:r>
      <w:r w:rsidR="001E30D6" w:rsidRPr="00742A04">
        <w:t xml:space="preserve">a </w:t>
      </w:r>
      <w:r w:rsidR="00BC2FBE" w:rsidRPr="00742A04">
        <w:t>propiedad</w:t>
      </w:r>
      <w:r w:rsidRPr="00742A04">
        <w:t xml:space="preserve">. </w:t>
      </w:r>
      <w:r w:rsidR="004A0730" w:rsidRPr="00742A04">
        <w:t>En</w:t>
      </w:r>
      <w:r w:rsidRPr="00742A04">
        <w:t xml:space="preserve"> </w:t>
      </w:r>
      <w:r w:rsidR="0092274F" w:rsidRPr="00742A04">
        <w:t>la carta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58094F" w:rsidRPr="00742A04">
        <w:t>asignación</w:t>
      </w:r>
      <w:r w:rsidR="0030626A" w:rsidRPr="00742A04">
        <w:t xml:space="preserve"> </w:t>
      </w:r>
      <w:r w:rsidR="0092274F" w:rsidRPr="00742A04">
        <w:t>para 2006 dirigida a Innovación N</w:t>
      </w:r>
      <w:r w:rsidR="0092274F" w:rsidRPr="00742A04">
        <w:t>o</w:t>
      </w:r>
      <w:r w:rsidR="0092274F" w:rsidRPr="00742A04">
        <w:t xml:space="preserve">ruega por </w:t>
      </w:r>
      <w:r w:rsidR="0030626A" w:rsidRPr="00742A04">
        <w:t xml:space="preserve">el </w:t>
      </w:r>
      <w:r w:rsidR="004A0730" w:rsidRPr="00742A04">
        <w:t>Ministerio</w:t>
      </w:r>
      <w:r w:rsidRPr="00742A04">
        <w:t xml:space="preserve"> </w:t>
      </w:r>
      <w:r w:rsidR="004A0730" w:rsidRPr="00742A04">
        <w:t>de</w:t>
      </w:r>
      <w:r w:rsidRPr="00742A04">
        <w:t xml:space="preserve"> </w:t>
      </w:r>
      <w:r w:rsidR="0092274F" w:rsidRPr="00742A04">
        <w:t>Comercio</w:t>
      </w:r>
      <w:r w:rsidR="002E5047" w:rsidRPr="00742A04">
        <w:t xml:space="preserve"> e </w:t>
      </w:r>
      <w:r w:rsidR="000B71AA" w:rsidRPr="00742A04">
        <w:t>Industria</w:t>
      </w:r>
      <w:r w:rsidRPr="00742A04">
        <w:t xml:space="preserve">, </w:t>
      </w:r>
      <w:r w:rsidR="00C426F1" w:rsidRPr="00742A04">
        <w:t xml:space="preserve">se destinaban </w:t>
      </w:r>
      <w:r w:rsidRPr="00742A04">
        <w:t>10 mill</w:t>
      </w:r>
      <w:r w:rsidR="00C426F1" w:rsidRPr="00742A04">
        <w:t>o</w:t>
      </w:r>
      <w:r w:rsidR="005E6919" w:rsidRPr="00742A04">
        <w:t>n</w:t>
      </w:r>
      <w:r w:rsidR="00C426F1" w:rsidRPr="00742A04">
        <w:t>es de cor</w:t>
      </w:r>
      <w:r w:rsidR="00C426F1" w:rsidRPr="00742A04">
        <w:t>o</w:t>
      </w:r>
      <w:r w:rsidR="00C426F1" w:rsidRPr="00742A04">
        <w:t>nas noruegas</w:t>
      </w:r>
      <w:r w:rsidRPr="00742A04">
        <w:t xml:space="preserve"> </w:t>
      </w:r>
      <w:r w:rsidR="00F43124" w:rsidRPr="00742A04">
        <w:t>para</w:t>
      </w:r>
      <w:r w:rsidR="00B05988" w:rsidRPr="00742A04">
        <w:t xml:space="preserve"> un nuevo</w:t>
      </w:r>
      <w:r w:rsidRPr="00742A04">
        <w:t xml:space="preserve"> </w:t>
      </w:r>
      <w:r w:rsidR="00F43124" w:rsidRPr="00742A04">
        <w:t>programa</w:t>
      </w:r>
      <w:r w:rsidRPr="00742A04">
        <w:t xml:space="preserve"> </w:t>
      </w:r>
      <w:r w:rsidR="00242371" w:rsidRPr="00742A04">
        <w:t>enca</w:t>
      </w:r>
      <w:r w:rsidR="00C426F1" w:rsidRPr="00742A04">
        <w:t>minado</w:t>
      </w:r>
      <w:r w:rsidR="00242371" w:rsidRPr="00742A04">
        <w:t xml:space="preserve"> a</w:t>
      </w:r>
      <w:r w:rsidR="00C426F1" w:rsidRPr="00742A04">
        <w:t xml:space="preserve"> la</w:t>
      </w:r>
      <w:r w:rsidRPr="00742A04">
        <w:t xml:space="preserve"> innova</w:t>
      </w:r>
      <w:r w:rsidR="00C14BFF" w:rsidRPr="00742A04">
        <w:t xml:space="preserve">ción </w:t>
      </w:r>
      <w:r w:rsidR="00877AA0" w:rsidRPr="00742A04">
        <w:t>y</w:t>
      </w:r>
      <w:r w:rsidRPr="00742A04">
        <w:t xml:space="preserve"> </w:t>
      </w:r>
      <w:r w:rsidR="00C426F1" w:rsidRPr="00742A04">
        <w:t>la capacidad empresarial</w:t>
      </w:r>
      <w:r w:rsidRPr="00742A04">
        <w:t xml:space="preserve"> </w:t>
      </w:r>
      <w:r w:rsidR="007E0DFE" w:rsidRPr="00742A04">
        <w:t>entre</w:t>
      </w:r>
      <w:r w:rsidRPr="00742A04">
        <w:t xml:space="preserve"> </w:t>
      </w:r>
      <w:r w:rsidR="00C426F1" w:rsidRPr="00742A04">
        <w:t xml:space="preserve">las </w:t>
      </w:r>
      <w:r w:rsidR="00072AD7" w:rsidRPr="00742A04">
        <w:t>mujeres</w:t>
      </w:r>
      <w:r w:rsidRPr="00742A04">
        <w:t>.</w:t>
      </w:r>
      <w:r w:rsidR="001167D2" w:rsidRPr="00742A04">
        <w:t xml:space="preserve"> </w:t>
      </w:r>
      <w:r w:rsidR="00C426F1" w:rsidRPr="00742A04">
        <w:t>E</w:t>
      </w:r>
      <w:r w:rsidR="001167D2" w:rsidRPr="00742A04">
        <w:t>l</w:t>
      </w:r>
      <w:r w:rsidR="00C426F1" w:rsidRPr="00742A04">
        <w:t xml:space="preserve"> </w:t>
      </w:r>
      <w:r w:rsidR="004A0730" w:rsidRPr="00742A04">
        <w:t>Ministerio</w:t>
      </w:r>
      <w:r w:rsidRPr="00742A04">
        <w:t xml:space="preserve"> </w:t>
      </w:r>
      <w:r w:rsidR="0030626A" w:rsidRPr="00742A04">
        <w:t>también</w:t>
      </w:r>
      <w:r w:rsidRPr="00742A04">
        <w:t xml:space="preserve"> </w:t>
      </w:r>
      <w:r w:rsidR="00C426F1" w:rsidRPr="00742A04">
        <w:t>pidió a</w:t>
      </w:r>
      <w:r w:rsidRPr="00742A04">
        <w:t xml:space="preserve"> Innova</w:t>
      </w:r>
      <w:r w:rsidR="00C14BFF" w:rsidRPr="00742A04">
        <w:t xml:space="preserve">ción </w:t>
      </w:r>
      <w:r w:rsidR="00EA26AB" w:rsidRPr="00742A04">
        <w:t>Noruega</w:t>
      </w:r>
      <w:r w:rsidRPr="00742A04">
        <w:t xml:space="preserve"> </w:t>
      </w:r>
      <w:r w:rsidR="00C426F1" w:rsidRPr="00742A04">
        <w:t>que</w:t>
      </w:r>
      <w:r w:rsidRPr="00742A04">
        <w:t xml:space="preserve"> revi</w:t>
      </w:r>
      <w:r w:rsidR="00C426F1" w:rsidRPr="00742A04">
        <w:t>s</w:t>
      </w:r>
      <w:r w:rsidR="00C91923">
        <w:t>ara</w:t>
      </w:r>
      <w:r w:rsidRPr="00742A04">
        <w:t xml:space="preserve"> </w:t>
      </w:r>
      <w:r w:rsidR="004A0730" w:rsidRPr="00742A04">
        <w:t>su</w:t>
      </w:r>
      <w:r w:rsidR="00C426F1" w:rsidRPr="00742A04">
        <w:t>s</w:t>
      </w:r>
      <w:r w:rsidRPr="00742A04">
        <w:t xml:space="preserve"> </w:t>
      </w:r>
      <w:r w:rsidR="0063400A" w:rsidRPr="00742A04">
        <w:t>planes</w:t>
      </w:r>
      <w:r w:rsidR="00C426F1" w:rsidRPr="00742A04">
        <w:t xml:space="preserve"> actuales</w:t>
      </w:r>
      <w:r w:rsidRPr="00742A04">
        <w:t xml:space="preserve"> </w:t>
      </w:r>
      <w:r w:rsidR="000F0ACC" w:rsidRPr="00742A04">
        <w:t>a fin de</w:t>
      </w:r>
      <w:r w:rsidRPr="00742A04">
        <w:t xml:space="preserve"> </w:t>
      </w:r>
      <w:r w:rsidR="00C426F1" w:rsidRPr="00742A04">
        <w:t>determinar</w:t>
      </w:r>
      <w:r w:rsidRPr="00742A04">
        <w:t xml:space="preserve"> </w:t>
      </w:r>
      <w:r w:rsidR="00232DF9" w:rsidRPr="00742A04">
        <w:t>si</w:t>
      </w:r>
      <w:r w:rsidRPr="00742A04">
        <w:t xml:space="preserve"> </w:t>
      </w:r>
      <w:r w:rsidR="00C91923">
        <w:t>era</w:t>
      </w:r>
      <w:r w:rsidRPr="00742A04">
        <w:t xml:space="preserve"> </w:t>
      </w:r>
      <w:r w:rsidR="00C27C42" w:rsidRPr="00742A04">
        <w:t>posible</w:t>
      </w:r>
      <w:r w:rsidR="00B31D97" w:rsidRPr="00742A04">
        <w:t xml:space="preserve"> mejorar</w:t>
      </w:r>
      <w:r w:rsidRPr="00742A04">
        <w:t xml:space="preserve"> </w:t>
      </w:r>
      <w:r w:rsidR="00587443" w:rsidRPr="00742A04">
        <w:t>la forma</w:t>
      </w:r>
      <w:r w:rsidRPr="00742A04">
        <w:t xml:space="preserve"> </w:t>
      </w:r>
      <w:r w:rsidR="00C14BFF" w:rsidRPr="00742A04">
        <w:t>en</w:t>
      </w:r>
      <w:r w:rsidRPr="00742A04">
        <w:t xml:space="preserve"> </w:t>
      </w:r>
      <w:r w:rsidR="00E575DB" w:rsidRPr="00742A04">
        <w:t>que</w:t>
      </w:r>
      <w:r w:rsidRPr="00742A04">
        <w:t xml:space="preserve"> pro</w:t>
      </w:r>
      <w:r w:rsidR="00C426F1" w:rsidRPr="00742A04">
        <w:t>m</w:t>
      </w:r>
      <w:r w:rsidR="00C91923">
        <w:t>ovía</w:t>
      </w:r>
      <w:r w:rsidR="00C426F1" w:rsidRPr="00742A04">
        <w:t xml:space="preserve"> la</w:t>
      </w:r>
      <w:r w:rsidRPr="00742A04">
        <w:t xml:space="preserve"> innova</w:t>
      </w:r>
      <w:r w:rsidR="00C14BFF" w:rsidRPr="00742A04">
        <w:t xml:space="preserve">ción </w:t>
      </w:r>
      <w:r w:rsidR="00877AA0" w:rsidRPr="00742A04">
        <w:t>y</w:t>
      </w:r>
      <w:r w:rsidRPr="00742A04">
        <w:t xml:space="preserve"> </w:t>
      </w:r>
      <w:r w:rsidR="00C426F1" w:rsidRPr="00742A04">
        <w:t>la capacidad empresarial</w:t>
      </w:r>
      <w:r w:rsidRPr="00742A04">
        <w:t xml:space="preserve"> </w:t>
      </w:r>
      <w:r w:rsidR="007E0DFE" w:rsidRPr="00742A04">
        <w:t>entre</w:t>
      </w:r>
      <w:r w:rsidRPr="00742A04">
        <w:t xml:space="preserve"> </w:t>
      </w:r>
      <w:r w:rsidR="00C426F1" w:rsidRPr="00742A04">
        <w:t xml:space="preserve">las </w:t>
      </w:r>
      <w:r w:rsidR="00072AD7" w:rsidRPr="00742A04">
        <w:t>mujeres</w:t>
      </w:r>
      <w:r w:rsidRPr="00742A04">
        <w:t>.</w:t>
      </w:r>
      <w:r w:rsidR="001167D2" w:rsidRPr="00742A04">
        <w:t xml:space="preserve"> </w:t>
      </w:r>
      <w:r w:rsidR="00894371" w:rsidRPr="00742A04">
        <w:t>El M</w:t>
      </w:r>
      <w:r w:rsidR="00894371" w:rsidRPr="00742A04">
        <w:t>i</w:t>
      </w:r>
      <w:r w:rsidR="00894371" w:rsidRPr="00742A04">
        <w:t xml:space="preserve">nisterio </w:t>
      </w:r>
      <w:r w:rsidR="00894371">
        <w:t>se propone completar</w:t>
      </w:r>
      <w:r w:rsidR="00894371" w:rsidRPr="00742A04">
        <w:t xml:space="preserve"> un Plan de Acción para Más Empresarias Mujeres </w:t>
      </w:r>
      <w:r w:rsidR="00894371">
        <w:t>p</w:t>
      </w:r>
      <w:r w:rsidR="00894371">
        <w:t>a</w:t>
      </w:r>
      <w:r w:rsidR="00894371">
        <w:t>ra finales de</w:t>
      </w:r>
      <w:r w:rsidR="00894371" w:rsidRPr="00742A04">
        <w:t xml:space="preserve"> 2006.</w:t>
      </w:r>
    </w:p>
    <w:p w:rsidR="00545D1B" w:rsidRPr="00742A04" w:rsidRDefault="00C426F1" w:rsidP="006B5613">
      <w:pPr>
        <w:pStyle w:val="SingleTxt"/>
        <w:ind w:firstLine="475"/>
      </w:pPr>
      <w:r w:rsidRPr="00742A04">
        <w:t>Las m</w:t>
      </w:r>
      <w:r w:rsidR="00072AD7" w:rsidRPr="00742A04">
        <w:t>ujeres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Pr="00742A04">
        <w:t>un grupo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30B35" w:rsidRPr="00742A04">
        <w:t>los esfuerzos gubernamentales</w:t>
      </w:r>
      <w:r w:rsidR="00935A90" w:rsidRPr="00742A04">
        <w:t xml:space="preserve"> por </w:t>
      </w:r>
      <w:r w:rsidR="00545D1B" w:rsidRPr="00742A04">
        <w:t>r</w:t>
      </w:r>
      <w:r w:rsidR="00545D1B" w:rsidRPr="00742A04">
        <w:t>e</w:t>
      </w:r>
      <w:r w:rsidR="00545D1B" w:rsidRPr="00742A04">
        <w:t>ver</w:t>
      </w:r>
      <w:r w:rsidR="008C4612" w:rsidRPr="00742A04">
        <w:t>tir</w:t>
      </w:r>
      <w:r w:rsidR="00545D1B" w:rsidRPr="00742A04">
        <w:t xml:space="preserve"> </w:t>
      </w:r>
      <w:r w:rsidR="008C4612" w:rsidRPr="00742A04">
        <w:t>el éxodo</w:t>
      </w:r>
      <w:r w:rsidR="00545D1B" w:rsidRPr="00742A04">
        <w:t xml:space="preserve"> </w:t>
      </w:r>
      <w:r w:rsidR="007E5B4C" w:rsidRPr="00742A04">
        <w:t>de la población</w:t>
      </w:r>
      <w:r w:rsidR="00C14BFF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8C4612" w:rsidRPr="00742A04">
        <w:t>las regiones alejadas</w:t>
      </w:r>
      <w:r w:rsidR="00BD7DD0" w:rsidRPr="00742A04">
        <w:t xml:space="preserve">. Las mujeres </w:t>
      </w:r>
      <w:r w:rsidR="006137EC" w:rsidRPr="00742A04">
        <w:t>son</w:t>
      </w:r>
      <w:r w:rsidR="00545D1B" w:rsidRPr="00742A04">
        <w:t xml:space="preserve"> </w:t>
      </w:r>
      <w:r w:rsidR="008C4612" w:rsidRPr="00742A04">
        <w:t>uno de los</w:t>
      </w:r>
      <w:r w:rsidR="00545D1B" w:rsidRPr="00742A04">
        <w:t xml:space="preserve"> </w:t>
      </w:r>
      <w:r w:rsidR="004118CA" w:rsidRPr="00742A04">
        <w:t>grupo</w:t>
      </w:r>
      <w:r w:rsidR="008C4612" w:rsidRPr="00742A04">
        <w:t>s</w:t>
      </w:r>
      <w:r w:rsidR="004118CA" w:rsidRPr="00742A04">
        <w:t xml:space="preserve"> destinatario</w:t>
      </w:r>
      <w:r w:rsidR="008C4612" w:rsidRPr="00742A04">
        <w:t>s prioritarios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93381" w:rsidRPr="00742A04">
        <w:t>Gobierno Local y Desarrollo Regional</w:t>
      </w:r>
      <w:r w:rsidR="00545D1B" w:rsidRPr="00742A04">
        <w:t xml:space="preserve"> </w:t>
      </w:r>
      <w:r w:rsidR="008C4612" w:rsidRPr="00742A04">
        <w:t>dentro de</w:t>
      </w:r>
      <w:r w:rsidR="00545D1B" w:rsidRPr="00742A04">
        <w:t xml:space="preserve"> </w:t>
      </w:r>
      <w:r w:rsidR="008C4612" w:rsidRPr="00742A04">
        <w:t xml:space="preserve">la categoría de </w:t>
      </w:r>
      <w:r w:rsidR="00F43124" w:rsidRPr="00742A04">
        <w:t>programa</w:t>
      </w:r>
      <w:r w:rsidR="00545D1B" w:rsidRPr="00742A04">
        <w:t xml:space="preserve"> </w:t>
      </w:r>
      <w:r w:rsidR="008C4612" w:rsidRPr="00742A04">
        <w:t>13.50: Política r</w:t>
      </w:r>
      <w:r w:rsidR="00545D1B" w:rsidRPr="00742A04">
        <w:t xml:space="preserve">egional </w:t>
      </w:r>
      <w:r w:rsidR="00877AA0" w:rsidRPr="00742A04">
        <w:t>y</w:t>
      </w:r>
      <w:r w:rsidR="00545D1B" w:rsidRPr="00742A04">
        <w:t xml:space="preserve"> distrit</w:t>
      </w:r>
      <w:r w:rsidR="008C4612" w:rsidRPr="00742A04">
        <w:t>al</w:t>
      </w:r>
      <w:r w:rsidR="00BD7DD0" w:rsidRPr="00742A04">
        <w:t xml:space="preserve">. Las mujeres </w:t>
      </w:r>
      <w:r w:rsidR="0030626A" w:rsidRPr="00742A04">
        <w:t>también</w:t>
      </w:r>
      <w:r w:rsidR="00545D1B" w:rsidRPr="00742A04">
        <w:t xml:space="preserve"> represent</w:t>
      </w:r>
      <w:r w:rsidR="008C4612" w:rsidRPr="00742A04">
        <w:t>an</w:t>
      </w:r>
      <w:r w:rsidR="00545D1B" w:rsidRPr="00742A04">
        <w:t xml:space="preserve"> </w:t>
      </w:r>
      <w:r w:rsidR="008C4612" w:rsidRPr="00742A04">
        <w:t>un recurso importante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8C4612" w:rsidRPr="00742A04">
        <w:t>la creación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E0DFE" w:rsidRPr="00742A04">
        <w:t>empleo</w:t>
      </w:r>
      <w:r w:rsidR="00545D1B" w:rsidRPr="00742A04">
        <w:t>s.</w:t>
      </w:r>
      <w:r w:rsidR="001167D2" w:rsidRPr="00742A04">
        <w:t xml:space="preserve"> </w:t>
      </w:r>
      <w:r w:rsidR="008C4612" w:rsidRPr="00742A04">
        <w:t>E</w:t>
      </w:r>
      <w:r w:rsidR="001167D2" w:rsidRPr="00742A04">
        <w:t>l</w:t>
      </w:r>
      <w:r w:rsidR="008C4612" w:rsidRPr="00742A04">
        <w:t xml:space="preserve"> </w:t>
      </w:r>
      <w:r w:rsidR="004A0730" w:rsidRPr="00742A04">
        <w:t>Ministerio</w:t>
      </w:r>
      <w:r w:rsidR="00545D1B" w:rsidRPr="00742A04">
        <w:t xml:space="preserve"> </w:t>
      </w:r>
      <w:r w:rsidR="008C4612" w:rsidRPr="00742A04">
        <w:t>desea alentar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94371">
        <w:t>crear</w:t>
      </w:r>
      <w:r w:rsidR="00545D1B" w:rsidRPr="00742A04">
        <w:t xml:space="preserve"> </w:t>
      </w:r>
      <w:r w:rsidR="00F97F41" w:rsidRPr="00742A04">
        <w:t>su</w:t>
      </w:r>
      <w:r w:rsidR="008C4612" w:rsidRPr="00742A04">
        <w:t>s</w:t>
      </w:r>
      <w:r w:rsidR="00545D1B" w:rsidRPr="00742A04">
        <w:t xml:space="preserve"> </w:t>
      </w:r>
      <w:r w:rsidR="007C65B3" w:rsidRPr="00742A04">
        <w:t>propio</w:t>
      </w:r>
      <w:r w:rsidR="008C4612" w:rsidRPr="00742A04">
        <w:t>s</w:t>
      </w:r>
      <w:r w:rsidR="00545D1B" w:rsidRPr="00742A04">
        <w:t xml:space="preserve"> </w:t>
      </w:r>
      <w:r w:rsidR="007E0DFE" w:rsidRPr="00742A04">
        <w:t>empleo</w:t>
      </w:r>
      <w:r w:rsidR="00545D1B" w:rsidRPr="00742A04">
        <w:t xml:space="preserve">s. </w:t>
      </w:r>
      <w:r w:rsidR="008C4612" w:rsidRPr="00742A04">
        <w:t>P</w:t>
      </w:r>
      <w:r w:rsidR="00F05119" w:rsidRPr="00742A04">
        <w:t>or consiguiente</w:t>
      </w:r>
      <w:r w:rsidR="008C4612" w:rsidRPr="00742A04">
        <w:t>, ha</w:t>
      </w:r>
      <w:r w:rsidR="00545D1B" w:rsidRPr="00742A04">
        <w:t xml:space="preserve"> </w:t>
      </w:r>
      <w:r w:rsidR="00C07ED9" w:rsidRPr="00742A04">
        <w:t>inicia</w:t>
      </w:r>
      <w:r w:rsidR="008C4612" w:rsidRPr="00742A04">
        <w:t>do</w:t>
      </w:r>
      <w:r w:rsidR="00545D1B" w:rsidRPr="00742A04">
        <w:t xml:space="preserve"> </w:t>
      </w:r>
      <w:r w:rsidR="008C4612" w:rsidRPr="00742A04">
        <w:t>un</w:t>
      </w:r>
      <w:r w:rsidR="00545D1B" w:rsidRPr="00742A04">
        <w:t xml:space="preserve">a </w:t>
      </w:r>
      <w:r w:rsidR="0058540F" w:rsidRPr="00742A04">
        <w:t>campaña</w:t>
      </w:r>
      <w:r w:rsidR="00545D1B" w:rsidRPr="00742A04">
        <w:t xml:space="preserve"> </w:t>
      </w:r>
      <w:r w:rsidR="008C4612" w:rsidRPr="00742A04">
        <w:t>especial centrada en los</w:t>
      </w:r>
      <w:r w:rsidR="00545D1B" w:rsidRPr="00742A04">
        <w:t xml:space="preserve"> “</w:t>
      </w:r>
      <w:r w:rsidR="008C4612" w:rsidRPr="00742A04">
        <w:t>jardines de empr</w:t>
      </w:r>
      <w:r w:rsidR="008C4612" w:rsidRPr="00742A04">
        <w:t>e</w:t>
      </w:r>
      <w:r w:rsidR="008C4612" w:rsidRPr="00742A04">
        <w:t>sas</w:t>
      </w:r>
      <w:r w:rsidR="00545D1B" w:rsidRPr="00742A04">
        <w:t xml:space="preserve">”, </w:t>
      </w:r>
      <w:r w:rsidR="00E575DB" w:rsidRPr="00742A04">
        <w:t>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BC2FBE" w:rsidRPr="00742A04">
        <w:t>centros</w:t>
      </w:r>
      <w:r w:rsidR="00EA6AC2" w:rsidRPr="00742A04">
        <w:t xml:space="preserve"> </w:t>
      </w:r>
      <w:r w:rsidR="008C4612" w:rsidRPr="00742A04">
        <w:t>de</w:t>
      </w:r>
      <w:r w:rsidR="00EA6AC2" w:rsidRPr="00742A04">
        <w:t xml:space="preserve"> promo</w:t>
      </w:r>
      <w:r w:rsidR="008C4612" w:rsidRPr="00742A04">
        <w:t>ción de la creación de</w:t>
      </w:r>
      <w:r w:rsidR="00EA6AC2" w:rsidRPr="00742A04">
        <w:t xml:space="preserve"> </w:t>
      </w:r>
      <w:r w:rsidR="007C65B3" w:rsidRPr="00742A04">
        <w:t>nueva</w:t>
      </w:r>
      <w:r w:rsidR="008C4612" w:rsidRPr="00742A04">
        <w:t>s empresas</w:t>
      </w:r>
      <w:r w:rsidR="00C27C42" w:rsidRPr="00742A04">
        <w:t>.</w:t>
      </w:r>
      <w:r w:rsidR="00545D1B" w:rsidRPr="00742A04">
        <w:t xml:space="preserve"> </w:t>
      </w:r>
      <w:r w:rsidR="008C4612" w:rsidRPr="00742A04">
        <w:t>Se han asi</w:t>
      </w:r>
      <w:r w:rsidR="008C4612" w:rsidRPr="00742A04">
        <w:t>g</w:t>
      </w:r>
      <w:r w:rsidR="008C4612" w:rsidRPr="00742A04">
        <w:t>nado 9 millones de coronas noruegas</w:t>
      </w:r>
      <w:r w:rsidR="00545D1B" w:rsidRPr="00742A04">
        <w:t xml:space="preserve"> </w:t>
      </w:r>
      <w:r w:rsidR="007B1F83">
        <w:t>en</w:t>
      </w:r>
      <w:r w:rsidR="008C4612" w:rsidRPr="00742A04">
        <w:t xml:space="preserve"> un trienio</w:t>
      </w:r>
      <w:r w:rsidR="00545D1B" w:rsidRPr="00742A04">
        <w:t xml:space="preserve"> (2006-2008) </w:t>
      </w:r>
      <w:r w:rsidR="008C4612" w:rsidRPr="00742A04">
        <w:t>par</w:t>
      </w:r>
      <w:r w:rsidR="0030626A" w:rsidRPr="00742A04">
        <w:t>a</w:t>
      </w:r>
      <w:r w:rsidR="008C4612" w:rsidRPr="00742A04">
        <w:t xml:space="preserve"> el</w:t>
      </w:r>
      <w:r w:rsidR="00545D1B" w:rsidRPr="00742A04">
        <w:t xml:space="preserve"> </w:t>
      </w:r>
      <w:r w:rsidR="00935A90" w:rsidRPr="00742A04">
        <w:t>apoyo</w:t>
      </w:r>
      <w:r w:rsidR="008C4612" w:rsidRPr="00742A04">
        <w:t xml:space="preserve"> a las</w:t>
      </w:r>
      <w:r w:rsidR="00545D1B" w:rsidRPr="00742A04">
        <w:t xml:space="preserve"> </w:t>
      </w:r>
      <w:r w:rsidR="000220D6" w:rsidRPr="00742A04">
        <w:t>mujeres</w:t>
      </w:r>
      <w:r w:rsidR="00545D1B" w:rsidRPr="00742A04">
        <w:t xml:space="preserve"> </w:t>
      </w:r>
      <w:r w:rsidR="00EC1B22" w:rsidRPr="00742A04">
        <w:t>empresarias</w:t>
      </w:r>
      <w:r w:rsidR="00545D1B" w:rsidRPr="00742A04">
        <w:t xml:space="preserve"> </w:t>
      </w:r>
      <w:r w:rsidR="00C14BFF" w:rsidRPr="00742A04">
        <w:t>en</w:t>
      </w:r>
      <w:r w:rsidR="008C4612" w:rsidRPr="00742A04">
        <w:t xml:space="preserve"> los</w:t>
      </w:r>
      <w:r w:rsidR="00545D1B" w:rsidRPr="00742A04">
        <w:t xml:space="preserve"> </w:t>
      </w:r>
      <w:r w:rsidR="008C4612" w:rsidRPr="00742A04">
        <w:t>jardines de empresas</w:t>
      </w:r>
      <w:r w:rsidR="00545D1B" w:rsidRPr="00742A04">
        <w:t xml:space="preserve">. </w:t>
      </w:r>
      <w:r w:rsidR="00355BCE" w:rsidRPr="00742A04">
        <w:t xml:space="preserve">Este </w:t>
      </w:r>
      <w:r w:rsidR="00100BD0" w:rsidRPr="00742A04">
        <w:t>proyecto</w:t>
      </w:r>
      <w:r w:rsidR="00545D1B" w:rsidRPr="00742A04">
        <w:t xml:space="preserve"> </w:t>
      </w:r>
      <w:r w:rsidR="00355BCE" w:rsidRPr="00742A04">
        <w:t xml:space="preserve">se dirige </w:t>
      </w:r>
      <w:r w:rsidR="00230F13" w:rsidRPr="00742A04">
        <w:t>en partic</w:t>
      </w:r>
      <w:r w:rsidR="00230F13" w:rsidRPr="00742A04">
        <w:t>u</w:t>
      </w:r>
      <w:r w:rsidR="00230F13" w:rsidRPr="00742A04">
        <w:t>lar</w:t>
      </w:r>
      <w:r w:rsidR="00545D1B" w:rsidRPr="00742A04">
        <w:t xml:space="preserve"> </w:t>
      </w:r>
      <w:r w:rsidR="00355BCE" w:rsidRPr="00742A04">
        <w:t>a l</w:t>
      </w:r>
      <w:r w:rsidR="00B81187" w:rsidRPr="00742A04">
        <w:t>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55BCE" w:rsidRPr="00742A04">
        <w:t>de</w:t>
      </w:r>
      <w:r w:rsidR="00545D1B" w:rsidRPr="00742A04">
        <w:t xml:space="preserve"> </w:t>
      </w:r>
      <w:r w:rsidR="00355BCE" w:rsidRPr="00742A04">
        <w:t>las industrias de servicios</w:t>
      </w:r>
      <w:r w:rsidR="00545D1B" w:rsidRPr="00742A04">
        <w:t xml:space="preserve">. </w:t>
      </w:r>
      <w:r w:rsidR="00355BCE" w:rsidRPr="00742A04">
        <w:t>Los</w:t>
      </w:r>
      <w:r w:rsidR="00545D1B" w:rsidRPr="00742A04">
        <w:t xml:space="preserve"> </w:t>
      </w:r>
      <w:r w:rsidR="00F43124" w:rsidRPr="00742A04">
        <w:t>fondos</w:t>
      </w:r>
      <w:r w:rsidR="00545D1B" w:rsidRPr="00742A04">
        <w:t xml:space="preserve"> </w:t>
      </w:r>
      <w:r w:rsidR="006137EC" w:rsidRPr="00742A04">
        <w:t>s</w:t>
      </w:r>
      <w:r w:rsidR="00355BCE" w:rsidRPr="00742A04">
        <w:t>e</w:t>
      </w:r>
      <w:r w:rsidR="00545D1B" w:rsidRPr="00742A04">
        <w:t xml:space="preserve"> </w:t>
      </w:r>
      <w:r w:rsidR="00894371" w:rsidRPr="00742A04">
        <w:t>canalizan</w:t>
      </w:r>
      <w:r w:rsidR="00355BCE" w:rsidRPr="00742A04">
        <w:t xml:space="preserve"> por conducto de la</w:t>
      </w:r>
      <w:r w:rsidR="00545D1B" w:rsidRPr="00742A04">
        <w:t xml:space="preserve"> </w:t>
      </w:r>
      <w:r w:rsidR="00355BCE" w:rsidRPr="00742A04">
        <w:t xml:space="preserve">Corporación de </w:t>
      </w:r>
      <w:r w:rsidR="006B65CD" w:rsidRPr="00742A04">
        <w:t>Desarrollo</w:t>
      </w:r>
      <w:r w:rsidR="00545D1B" w:rsidRPr="00742A04">
        <w:t xml:space="preserve"> </w:t>
      </w:r>
      <w:r w:rsidR="00355BCE" w:rsidRPr="00742A04">
        <w:t xml:space="preserve">Industrial de </w:t>
      </w:r>
      <w:r w:rsidR="00EA26AB" w:rsidRPr="00742A04">
        <w:t>Noruega</w:t>
      </w:r>
      <w:r w:rsidR="00545D1B" w:rsidRPr="00742A04">
        <w:t xml:space="preserve"> (SIVA), </w:t>
      </w:r>
      <w:r w:rsidR="00C14BFF" w:rsidRPr="00742A04">
        <w:t>en</w:t>
      </w:r>
      <w:r w:rsidR="00545D1B" w:rsidRPr="00742A04">
        <w:t xml:space="preserve"> </w:t>
      </w:r>
      <w:r w:rsidR="00495D7B" w:rsidRPr="00742A04">
        <w:t>estrecha cooper</w:t>
      </w:r>
      <w:r w:rsidR="00495D7B" w:rsidRPr="00742A04">
        <w:t>a</w:t>
      </w:r>
      <w:r w:rsidR="00495D7B" w:rsidRPr="00742A04">
        <w:t>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Innova</w:t>
      </w:r>
      <w:r w:rsidR="00C14BFF" w:rsidRPr="00742A04">
        <w:t xml:space="preserve">ción </w:t>
      </w:r>
      <w:r w:rsidR="00EA26AB" w:rsidRPr="00742A04">
        <w:t>Noruega</w:t>
      </w:r>
      <w:r w:rsidR="00545D1B" w:rsidRPr="00742A04">
        <w:t xml:space="preserve">.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55BCE" w:rsidRPr="00742A04">
        <w:t xml:space="preserve">los </w:t>
      </w:r>
      <w:r w:rsidR="008C4612" w:rsidRPr="00742A04">
        <w:t>jardines de empresas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DA461E" w:rsidRPr="00742A04">
        <w:t>a</w:t>
      </w:r>
      <w:r w:rsidR="00DA461E" w:rsidRPr="00742A04">
        <w:t>c</w:t>
      </w:r>
      <w:r w:rsidR="00DA461E" w:rsidRPr="00742A04">
        <w:t>tualmente</w:t>
      </w:r>
      <w:r w:rsidR="00545D1B" w:rsidRPr="00742A04">
        <w:t xml:space="preserve"> </w:t>
      </w:r>
      <w:r w:rsidR="000D5443">
        <w:t>d</w:t>
      </w:r>
      <w:r w:rsidR="00355BCE" w:rsidRPr="00742A04">
        <w:t xml:space="preserve">el </w:t>
      </w:r>
      <w:r w:rsidR="00545D1B" w:rsidRPr="00742A04">
        <w:t>38</w:t>
      </w:r>
      <w:r w:rsidR="001167D2" w:rsidRPr="00742A04">
        <w:t>%</w:t>
      </w:r>
      <w:r w:rsidR="00545D1B" w:rsidRPr="00742A04">
        <w:t>.</w:t>
      </w:r>
    </w:p>
    <w:p w:rsidR="008C4612" w:rsidRPr="00742A04" w:rsidRDefault="008C4612" w:rsidP="008C4612">
      <w:pPr>
        <w:pStyle w:val="H23"/>
        <w:spacing w:line="120" w:lineRule="exact"/>
        <w:ind w:left="1267"/>
        <w:rPr>
          <w:b w:val="0"/>
          <w:bCs/>
          <w:sz w:val="10"/>
        </w:rPr>
      </w:pPr>
    </w:p>
    <w:p w:rsidR="00545D1B" w:rsidRPr="00742A04" w:rsidRDefault="005E2D7A" w:rsidP="008C4612">
      <w:pPr>
        <w:pStyle w:val="H23"/>
        <w:ind w:left="1267"/>
        <w:rPr>
          <w:bCs/>
        </w:rPr>
      </w:pPr>
      <w:r w:rsidRPr="00742A04">
        <w:rPr>
          <w:bCs/>
        </w:rPr>
        <w:t>Los inmigrantes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AD0883" w:rsidRPr="00742A04">
        <w:rPr>
          <w:bCs/>
        </w:rPr>
        <w:t>la vida laboral</w:t>
      </w:r>
    </w:p>
    <w:p w:rsidR="008C4612" w:rsidRPr="00742A04" w:rsidRDefault="008C4612" w:rsidP="008C4612">
      <w:pPr>
        <w:pStyle w:val="SingleTxt"/>
        <w:spacing w:after="0" w:line="120" w:lineRule="exact"/>
        <w:ind w:firstLine="475"/>
        <w:rPr>
          <w:sz w:val="10"/>
        </w:rPr>
      </w:pPr>
    </w:p>
    <w:p w:rsidR="00545D1B" w:rsidRPr="00742A04" w:rsidRDefault="003B1457" w:rsidP="006B5613">
      <w:pPr>
        <w:pStyle w:val="SingleTxt"/>
        <w:ind w:firstLine="475"/>
      </w:pPr>
      <w:r w:rsidRPr="00742A04">
        <w:t>Las mujeres</w:t>
      </w:r>
      <w:r w:rsidR="005E2D7A" w:rsidRPr="00742A04">
        <w:t xml:space="preserve"> inmigrantes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</w:t>
      </w:r>
      <w:r w:rsidRPr="00742A04">
        <w:t>económicamente activa</w:t>
      </w:r>
      <w:r w:rsidR="003D6667" w:rsidRPr="00742A04">
        <w:t>s</w:t>
      </w:r>
      <w:r w:rsidR="00545D1B" w:rsidRPr="00742A04">
        <w:t xml:space="preserve"> </w:t>
      </w:r>
      <w:r w:rsidRPr="00742A04">
        <w:t xml:space="preserve">en Noruega </w:t>
      </w:r>
      <w:r w:rsidR="005C6D40" w:rsidRPr="00742A04">
        <w:t>que</w:t>
      </w:r>
      <w:r w:rsidR="00545D1B" w:rsidRPr="00742A04">
        <w:t xml:space="preserve"> </w:t>
      </w:r>
      <w:r w:rsidR="005E2D7A" w:rsidRPr="00742A04">
        <w:t>los</w:t>
      </w:r>
      <w:r w:rsidRPr="00742A04">
        <w:t xml:space="preserve"> hombres</w:t>
      </w:r>
      <w:r w:rsidR="005E2D7A" w:rsidRPr="00742A04">
        <w:t xml:space="preserve"> inmigrantes</w:t>
      </w:r>
      <w:r w:rsidR="00545D1B" w:rsidRPr="00742A04">
        <w:t>.</w:t>
      </w:r>
    </w:p>
    <w:p w:rsidR="00C93381" w:rsidRPr="00742A04" w:rsidRDefault="00C93381" w:rsidP="00C93381">
      <w:pPr>
        <w:pStyle w:val="SingleTxt"/>
        <w:tabs>
          <w:tab w:val="clear" w:pos="1267"/>
          <w:tab w:val="left" w:pos="1350"/>
        </w:tabs>
        <w:spacing w:after="0" w:line="120" w:lineRule="exact"/>
        <w:ind w:left="1350"/>
        <w:rPr>
          <w:b/>
          <w:sz w:val="10"/>
        </w:rPr>
      </w:pPr>
    </w:p>
    <w:p w:rsidR="00496A4A" w:rsidRPr="00742A04" w:rsidRDefault="003B1457" w:rsidP="00496A4A">
      <w:pPr>
        <w:pStyle w:val="SingleTxt"/>
        <w:jc w:val="left"/>
        <w:rPr>
          <w:b/>
        </w:rPr>
      </w:pPr>
      <w:r w:rsidRPr="00742A04">
        <w:rPr>
          <w:b/>
        </w:rPr>
        <w:t>A</w:t>
      </w:r>
      <w:r w:rsidRPr="00742A04">
        <w:rPr>
          <w:b/>
        </w:rPr>
        <w:t>c</w:t>
      </w:r>
      <w:r w:rsidRPr="00742A04">
        <w:rPr>
          <w:b/>
        </w:rPr>
        <w:t>tividad econó</w:t>
      </w:r>
      <w:r w:rsidR="00545D1B" w:rsidRPr="00742A04">
        <w:rPr>
          <w:b/>
        </w:rPr>
        <w:t>mic</w:t>
      </w:r>
      <w:r w:rsidRPr="00742A04">
        <w:rPr>
          <w:b/>
        </w:rPr>
        <w:t>a</w:t>
      </w:r>
      <w:r w:rsidR="00545D1B" w:rsidRPr="00742A04">
        <w:rPr>
          <w:b/>
        </w:rPr>
        <w:t xml:space="preserve"> </w:t>
      </w:r>
      <w:r w:rsidR="008C4612" w:rsidRPr="00742A04">
        <w:rPr>
          <w:b/>
        </w:rPr>
        <w:t>d</w:t>
      </w:r>
      <w:r w:rsidR="007E0DFE" w:rsidRPr="00742A04">
        <w:rPr>
          <w:b/>
        </w:rPr>
        <w:t>e</w:t>
      </w:r>
      <w:r w:rsidR="00545D1B" w:rsidRPr="00742A04">
        <w:rPr>
          <w:b/>
        </w:rPr>
        <w:t xml:space="preserve"> </w:t>
      </w:r>
      <w:r w:rsidR="005E2D7A" w:rsidRPr="00742A04">
        <w:rPr>
          <w:b/>
        </w:rPr>
        <w:t>los inmigrantes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545D1B" w:rsidRPr="00742A04">
        <w:rPr>
          <w:b/>
        </w:rPr>
        <w:t xml:space="preserve"> </w:t>
      </w:r>
      <w:r w:rsidR="008C4612" w:rsidRPr="00742A04">
        <w:rPr>
          <w:b/>
        </w:rPr>
        <w:t>la población total</w:t>
      </w:r>
      <w:r w:rsidR="00C14BFF" w:rsidRPr="00742A04">
        <w:rPr>
          <w:b/>
        </w:rPr>
        <w:t xml:space="preserve"> </w:t>
      </w:r>
      <w:r w:rsidR="001167D2" w:rsidRPr="00742A04">
        <w:rPr>
          <w:b/>
        </w:rPr>
        <w:t>por</w:t>
      </w:r>
      <w:r w:rsidR="006B5613" w:rsidRPr="00742A04">
        <w:rPr>
          <w:b/>
        </w:rPr>
        <w:t xml:space="preserve"> </w:t>
      </w:r>
      <w:r w:rsidR="00A836A1" w:rsidRPr="00742A04">
        <w:rPr>
          <w:b/>
        </w:rPr>
        <w:t>género</w:t>
      </w:r>
      <w:r w:rsidR="006B5613" w:rsidRPr="00742A04">
        <w:rPr>
          <w:b/>
        </w:rPr>
        <w:t>,</w:t>
      </w:r>
      <w:r w:rsidR="006B5613" w:rsidRPr="00742A04">
        <w:rPr>
          <w:b/>
        </w:rPr>
        <w:br/>
      </w:r>
      <w:r w:rsidR="00AC5D28" w:rsidRPr="00742A04">
        <w:rPr>
          <w:b/>
        </w:rPr>
        <w:t>cuarto</w:t>
      </w:r>
      <w:r w:rsidR="00545D1B" w:rsidRPr="00742A04">
        <w:rPr>
          <w:b/>
        </w:rPr>
        <w:t xml:space="preserve"> </w:t>
      </w:r>
      <w:r w:rsidR="008C4612" w:rsidRPr="00742A04">
        <w:rPr>
          <w:b/>
        </w:rPr>
        <w:t>trimestre de</w:t>
      </w:r>
      <w:r w:rsidR="00545D1B" w:rsidRPr="00742A04">
        <w:rPr>
          <w:b/>
        </w:rPr>
        <w:t xml:space="preserve"> 2004</w:t>
      </w:r>
    </w:p>
    <w:p w:rsidR="00496A4A" w:rsidRPr="00742A04" w:rsidRDefault="00496A4A" w:rsidP="00496A4A">
      <w:pPr>
        <w:pStyle w:val="SingleTxt"/>
        <w:keepNext/>
        <w:spacing w:after="0" w:line="120" w:lineRule="exact"/>
        <w:jc w:val="left"/>
        <w:rPr>
          <w:sz w:val="10"/>
        </w:rPr>
      </w:pPr>
      <w:r w:rsidRPr="00742A04">
        <w:rPr>
          <w:sz w:val="14"/>
        </w:rPr>
        <w:t>(</w:t>
      </w:r>
      <w:r w:rsidRPr="000D5443">
        <w:rPr>
          <w:i/>
          <w:sz w:val="14"/>
        </w:rPr>
        <w:t>En porcentajes</w:t>
      </w:r>
      <w:r w:rsidRPr="00742A04">
        <w:rPr>
          <w:sz w:val="14"/>
        </w:rPr>
        <w:t>)</w:t>
      </w:r>
    </w:p>
    <w:p w:rsidR="003C0D60" w:rsidRPr="00742A04" w:rsidRDefault="003C0D60" w:rsidP="003C0D6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jc w:val="center"/>
        <w:tblInd w:w="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035"/>
        <w:gridCol w:w="1035"/>
        <w:gridCol w:w="1035"/>
        <w:gridCol w:w="1208"/>
        <w:gridCol w:w="862"/>
        <w:gridCol w:w="1035"/>
      </w:tblGrid>
      <w:tr w:rsidR="005B4BBD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B4BBD" w:rsidRPr="00742A04" w:rsidRDefault="008C4612" w:rsidP="008C4612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Población total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B4BBD" w:rsidRPr="00742A04" w:rsidRDefault="008C4612" w:rsidP="008C4612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I</w:t>
            </w:r>
            <w:r w:rsidR="005E2D7A" w:rsidRPr="00742A04">
              <w:rPr>
                <w:i/>
                <w:sz w:val="14"/>
                <w:szCs w:val="14"/>
              </w:rPr>
              <w:t>nm</w:t>
            </w:r>
            <w:r w:rsidR="005E2D7A" w:rsidRPr="00742A04">
              <w:rPr>
                <w:i/>
                <w:sz w:val="14"/>
                <w:szCs w:val="14"/>
              </w:rPr>
              <w:t>i</w:t>
            </w:r>
            <w:r w:rsidR="005E2D7A" w:rsidRPr="00742A04">
              <w:rPr>
                <w:i/>
                <w:sz w:val="14"/>
                <w:szCs w:val="14"/>
              </w:rPr>
              <w:t>grantes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B4BBD" w:rsidRPr="00742A04" w:rsidRDefault="00EE31D6" w:rsidP="008C4612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Europa</w:t>
            </w:r>
            <w:r w:rsidR="008C4612" w:rsidRPr="00742A04">
              <w:rPr>
                <w:i/>
                <w:sz w:val="14"/>
                <w:szCs w:val="14"/>
              </w:rPr>
              <w:br/>
              <w:t>Occ</w:t>
            </w:r>
            <w:r w:rsidR="008C4612" w:rsidRPr="00742A04">
              <w:rPr>
                <w:i/>
                <w:sz w:val="14"/>
                <w:szCs w:val="14"/>
              </w:rPr>
              <w:t>i</w:t>
            </w:r>
            <w:r w:rsidR="008C4612" w:rsidRPr="00742A04">
              <w:rPr>
                <w:i/>
                <w:sz w:val="14"/>
                <w:szCs w:val="14"/>
              </w:rPr>
              <w:t>dental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B4BBD" w:rsidRPr="00742A04" w:rsidRDefault="008C4612" w:rsidP="008C4612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América del Sur</w:t>
            </w:r>
            <w:r w:rsidR="00496A4A" w:rsidRPr="00742A04">
              <w:rPr>
                <w:i/>
                <w:sz w:val="14"/>
                <w:szCs w:val="14"/>
              </w:rPr>
              <w:br/>
            </w:r>
            <w:r w:rsidR="005B4BBD" w:rsidRPr="00742A04">
              <w:rPr>
                <w:i/>
                <w:sz w:val="14"/>
                <w:szCs w:val="14"/>
              </w:rPr>
              <w:t xml:space="preserve">y Central 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B4BBD" w:rsidRPr="00742A04" w:rsidRDefault="005B4BBD" w:rsidP="008C4612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Asia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B4BBD" w:rsidRPr="00742A04" w:rsidRDefault="008C4612" w:rsidP="008C4612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África</w:t>
            </w:r>
          </w:p>
        </w:tc>
      </w:tr>
      <w:tr w:rsidR="005B4BBD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  <w:jc w:val="center"/>
        </w:trPr>
        <w:tc>
          <w:tcPr>
            <w:tcW w:w="874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5B4BBD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vAlign w:val="bottom"/>
          </w:tcPr>
          <w:p w:rsidR="005B4BBD" w:rsidRPr="00742A04" w:rsidRDefault="00072AD7" w:rsidP="008C46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9" w:right="29"/>
              <w:rPr>
                <w:sz w:val="17"/>
              </w:rPr>
            </w:pPr>
            <w:r w:rsidRPr="00742A04">
              <w:rPr>
                <w:sz w:val="17"/>
              </w:rPr>
              <w:t>Mujeres</w:t>
            </w:r>
          </w:p>
        </w:tc>
        <w:tc>
          <w:tcPr>
            <w:tcW w:w="1035" w:type="dxa"/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66</w:t>
            </w:r>
          </w:p>
        </w:tc>
        <w:tc>
          <w:tcPr>
            <w:tcW w:w="1035" w:type="dxa"/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52</w:t>
            </w:r>
          </w:p>
        </w:tc>
        <w:tc>
          <w:tcPr>
            <w:tcW w:w="1035" w:type="dxa"/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61</w:t>
            </w:r>
          </w:p>
        </w:tc>
        <w:tc>
          <w:tcPr>
            <w:tcW w:w="1208" w:type="dxa"/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54</w:t>
            </w:r>
          </w:p>
        </w:tc>
        <w:tc>
          <w:tcPr>
            <w:tcW w:w="862" w:type="dxa"/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44</w:t>
            </w:r>
          </w:p>
        </w:tc>
        <w:tc>
          <w:tcPr>
            <w:tcW w:w="1035" w:type="dxa"/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36</w:t>
            </w:r>
          </w:p>
        </w:tc>
      </w:tr>
      <w:tr w:rsidR="005B4BBD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bottom w:val="single" w:sz="12" w:space="0" w:color="auto"/>
            </w:tcBorders>
            <w:vAlign w:val="bottom"/>
          </w:tcPr>
          <w:p w:rsidR="005B4BBD" w:rsidRPr="00742A04" w:rsidRDefault="008C4612" w:rsidP="008C46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9" w:right="29"/>
              <w:rPr>
                <w:sz w:val="17"/>
              </w:rPr>
            </w:pPr>
            <w:r w:rsidRPr="00742A04">
              <w:rPr>
                <w:sz w:val="17"/>
              </w:rPr>
              <w:t>H</w:t>
            </w:r>
            <w:r w:rsidR="005C6D40" w:rsidRPr="00742A04">
              <w:rPr>
                <w:sz w:val="17"/>
              </w:rPr>
              <w:t>ombres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73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61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73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64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56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5B4BBD" w:rsidRPr="00742A04" w:rsidRDefault="005B4BBD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46</w:t>
            </w:r>
          </w:p>
        </w:tc>
      </w:tr>
    </w:tbl>
    <w:p w:rsidR="005B4BBD" w:rsidRPr="00742A04" w:rsidRDefault="005B4BBD" w:rsidP="005B4BBD">
      <w:pPr>
        <w:pStyle w:val="SingleTxt"/>
        <w:spacing w:after="0" w:line="120" w:lineRule="exact"/>
        <w:rPr>
          <w:sz w:val="10"/>
        </w:rPr>
      </w:pPr>
    </w:p>
    <w:p w:rsidR="005B4BBD" w:rsidRPr="00742A04" w:rsidRDefault="005B4BBD" w:rsidP="005B4BBD">
      <w:pPr>
        <w:pStyle w:val="SingleTxt"/>
        <w:spacing w:after="0" w:line="120" w:lineRule="exact"/>
        <w:rPr>
          <w:sz w:val="10"/>
        </w:rPr>
      </w:pPr>
    </w:p>
    <w:p w:rsidR="00545D1B" w:rsidRPr="00742A04" w:rsidRDefault="00355BCE" w:rsidP="006B5613">
      <w:pPr>
        <w:pStyle w:val="SingleTxt"/>
        <w:ind w:firstLine="475"/>
      </w:pPr>
      <w:r w:rsidRPr="00742A04">
        <w:t>El cuadro</w:t>
      </w:r>
      <w:r w:rsidR="00545D1B" w:rsidRPr="00742A04">
        <w:t xml:space="preserve"> </w:t>
      </w:r>
      <w:r w:rsidR="003E5775" w:rsidRPr="00742A04">
        <w:t>indica que</w:t>
      </w:r>
      <w:r w:rsidR="00545D1B" w:rsidRPr="00742A04">
        <w:t xml:space="preserve"> </w:t>
      </w:r>
      <w:r w:rsidRPr="00742A04">
        <w:t>la tasa de empleo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los hombres inmigrantes</w:t>
      </w:r>
      <w:r w:rsidR="00545D1B" w:rsidRPr="00742A04">
        <w:t xml:space="preserve"> </w:t>
      </w:r>
      <w:r w:rsidR="009D1A12" w:rsidRPr="00742A04">
        <w:t>era</w:t>
      </w:r>
      <w:r w:rsidRPr="00742A04">
        <w:t xml:space="preserve"> </w:t>
      </w:r>
      <w:r w:rsidR="00496A4A" w:rsidRPr="00742A04">
        <w:t>d</w:t>
      </w:r>
      <w:r w:rsidRPr="00742A04">
        <w:t>el</w:t>
      </w:r>
      <w:r w:rsidR="00545D1B" w:rsidRPr="00742A04">
        <w:t xml:space="preserve"> 61</w:t>
      </w:r>
      <w:r w:rsidR="001167D2" w:rsidRPr="00742A04">
        <w:t>%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las mujeres inmigrantes</w:t>
      </w:r>
      <w:r w:rsidR="00545D1B" w:rsidRPr="00742A04">
        <w:t xml:space="preserve"> </w:t>
      </w:r>
      <w:r w:rsidR="00496A4A" w:rsidRPr="00742A04">
        <w:t>d</w:t>
      </w:r>
      <w:r w:rsidRPr="00742A04">
        <w:t xml:space="preserve">el </w:t>
      </w:r>
      <w:r w:rsidR="00545D1B" w:rsidRPr="00742A04">
        <w:t>52</w:t>
      </w:r>
      <w:r w:rsidR="001167D2" w:rsidRPr="00742A04">
        <w:t>%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="00DD710E" w:rsidRPr="00742A04">
        <w:t>la población</w:t>
      </w:r>
      <w:r w:rsidR="00C14BFF" w:rsidRPr="00742A04">
        <w:t xml:space="preserve"> </w:t>
      </w:r>
      <w:r w:rsidR="00A742D4" w:rsidRPr="00742A04">
        <w:t>en su conjunto</w:t>
      </w:r>
      <w:r w:rsidR="00545D1B" w:rsidRPr="00742A04">
        <w:t xml:space="preserve"> </w:t>
      </w:r>
      <w:r w:rsidRPr="00742A04">
        <w:t>la t</w:t>
      </w:r>
      <w:r w:rsidRPr="00742A04">
        <w:t>a</w:t>
      </w:r>
      <w:r w:rsidRPr="00742A04">
        <w:t>sa de empleo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496A4A" w:rsidRPr="00742A04">
        <w:t>d</w:t>
      </w:r>
      <w:r w:rsidRPr="00742A04">
        <w:t xml:space="preserve">el </w:t>
      </w:r>
      <w:r w:rsidR="00545D1B" w:rsidRPr="00742A04">
        <w:t>73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Pr="00742A04">
        <w:t xml:space="preserve">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96A4A" w:rsidRPr="00742A04">
        <w:t>d</w:t>
      </w:r>
      <w:r w:rsidRPr="00742A04">
        <w:t xml:space="preserve">el </w:t>
      </w:r>
      <w:r w:rsidR="00545D1B" w:rsidRPr="00742A04">
        <w:t>66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. </w:t>
      </w:r>
      <w:r w:rsidRPr="00742A04">
        <w:t>Las</w:t>
      </w:r>
      <w:r w:rsidR="00545D1B" w:rsidRPr="00742A04">
        <w:t xml:space="preserve"> </w:t>
      </w:r>
      <w:r w:rsidR="0067405D" w:rsidRPr="00742A04">
        <w:t>estadí</w:t>
      </w:r>
      <w:r w:rsidR="0067405D" w:rsidRPr="00742A04">
        <w:t>s</w:t>
      </w:r>
      <w:r w:rsidR="0067405D" w:rsidRPr="00742A04">
        <w:t>ticas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ED6A69" w:rsidRPr="00742A04">
        <w:t>indican que</w:t>
      </w:r>
      <w:r w:rsidR="00545D1B" w:rsidRPr="00742A04">
        <w:t xml:space="preserve"> </w:t>
      </w:r>
      <w:r w:rsidR="00496A4A" w:rsidRPr="00742A04">
        <w:t xml:space="preserve">la </w:t>
      </w:r>
      <w:r w:rsidRPr="00742A04">
        <w:t>actividad económica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96A4A" w:rsidRPr="00742A04">
        <w:t xml:space="preserve">las </w:t>
      </w:r>
      <w:r w:rsidR="00537384" w:rsidRPr="00742A04">
        <w:t>diferencias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96A4A" w:rsidRPr="00742A04">
        <w:t>m</w:t>
      </w:r>
      <w:r w:rsidR="00496A4A" w:rsidRPr="00742A04">
        <w:t>a</w:t>
      </w:r>
      <w:r w:rsidR="00496A4A" w:rsidRPr="00742A04">
        <w:t xml:space="preserve">teria de </w:t>
      </w:r>
      <w:r w:rsidRPr="00742A04">
        <w:t>actividad económica</w:t>
      </w:r>
      <w:r w:rsidR="00545D1B" w:rsidRPr="00742A04">
        <w:t xml:space="preserve"> </w:t>
      </w:r>
      <w:r w:rsidR="00496A4A" w:rsidRPr="00742A04">
        <w:t>varían</w:t>
      </w:r>
      <w:r w:rsidR="00545D1B" w:rsidRPr="00742A04">
        <w:t xml:space="preserve"> </w:t>
      </w:r>
      <w:r w:rsidR="00496A4A" w:rsidRPr="00742A04">
        <w:t>según el país de origen</w:t>
      </w:r>
      <w:r w:rsidR="00545D1B" w:rsidRPr="00742A04">
        <w:t xml:space="preserve">. </w:t>
      </w:r>
      <w:r w:rsidR="001D532F" w:rsidRPr="00742A04">
        <w:t>Entre</w:t>
      </w:r>
      <w:r w:rsidR="00545D1B" w:rsidRPr="00742A04">
        <w:t xml:space="preserve"> </w:t>
      </w:r>
      <w:r w:rsidR="005E2D7A" w:rsidRPr="00742A04">
        <w:t>los inmigrantes</w:t>
      </w:r>
      <w:r w:rsidR="00545D1B" w:rsidRPr="00742A04">
        <w:t xml:space="preserve"> </w:t>
      </w:r>
      <w:r w:rsidR="00496A4A" w:rsidRPr="00742A04">
        <w:t xml:space="preserve">provenientes </w:t>
      </w:r>
      <w:r w:rsidR="008F0C8E" w:rsidRPr="00742A04">
        <w:t>de</w:t>
      </w:r>
      <w:r w:rsidR="00545D1B" w:rsidRPr="00742A04">
        <w:t xml:space="preserve"> </w:t>
      </w:r>
      <w:r w:rsidR="00263801" w:rsidRPr="00742A04">
        <w:t>Europa occidental</w:t>
      </w:r>
      <w:r w:rsidR="00545D1B" w:rsidRPr="00742A04">
        <w:t xml:space="preserve">, </w:t>
      </w:r>
      <w:r w:rsidR="000D5443">
        <w:t xml:space="preserve">el </w:t>
      </w:r>
      <w:r w:rsidR="00545D1B" w:rsidRPr="00742A04">
        <w:t>73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D5443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1A2831" w:rsidRPr="00742A04">
        <w:t>estaban empleados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0D5443">
        <w:t xml:space="preserve">el </w:t>
      </w:r>
      <w:r w:rsidR="00545D1B" w:rsidRPr="00742A04">
        <w:t>61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. </w:t>
      </w:r>
      <w:r w:rsidR="001D532F" w:rsidRPr="00742A04">
        <w:t>Entre</w:t>
      </w:r>
      <w:r w:rsidR="00545D1B" w:rsidRPr="00742A04">
        <w:t xml:space="preserve"> </w:t>
      </w:r>
      <w:r w:rsidR="005E2D7A" w:rsidRPr="00742A04">
        <w:t>los inmigrantes</w:t>
      </w:r>
      <w:r w:rsidR="00545D1B" w:rsidRPr="00742A04">
        <w:t xml:space="preserve"> </w:t>
      </w:r>
      <w:r w:rsidR="00496A4A" w:rsidRPr="00742A04">
        <w:t xml:space="preserve">provenientes </w:t>
      </w:r>
      <w:r w:rsidR="008F0C8E" w:rsidRPr="00742A04">
        <w:t>de</w:t>
      </w:r>
      <w:r w:rsidR="00545D1B" w:rsidRPr="00742A04">
        <w:t xml:space="preserve"> </w:t>
      </w:r>
      <w:r w:rsidR="00522A02" w:rsidRPr="00742A04">
        <w:t>América Central y del Sur</w:t>
      </w:r>
      <w:r w:rsidR="00545D1B" w:rsidRPr="00742A04">
        <w:t xml:space="preserve">, </w:t>
      </w:r>
      <w:r w:rsidR="00496A4A" w:rsidRPr="00742A04">
        <w:t>las cifras correspondientes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64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D5443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54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57761">
        <w:t>las</w:t>
      </w:r>
      <w:r w:rsidR="000D5443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1D532F" w:rsidRPr="00742A04">
        <w:t>Entre</w:t>
      </w:r>
      <w:r w:rsidR="00545D1B" w:rsidRPr="00742A04">
        <w:t xml:space="preserve"> </w:t>
      </w:r>
      <w:r w:rsidR="005E2D7A" w:rsidRPr="00742A04">
        <w:t>los inmigrantes</w:t>
      </w:r>
      <w:r w:rsidR="00545D1B" w:rsidRPr="00742A04">
        <w:t xml:space="preserve"> </w:t>
      </w:r>
      <w:r w:rsidR="00496A4A" w:rsidRPr="00742A04">
        <w:t>provenientes d</w:t>
      </w:r>
      <w:r w:rsidR="008F0C8E" w:rsidRPr="00742A04">
        <w:t>e</w:t>
      </w:r>
      <w:r w:rsidR="00545D1B" w:rsidRPr="00742A04">
        <w:t xml:space="preserve"> Asia </w:t>
      </w:r>
      <w:r w:rsidR="00537384" w:rsidRPr="00742A04">
        <w:t>las cifras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56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0D5443">
        <w:t xml:space="preserve">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44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0D5443">
        <w:t xml:space="preserve">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1D532F" w:rsidRPr="00742A04">
        <w:t>Entre</w:t>
      </w:r>
      <w:r w:rsidR="00545D1B" w:rsidRPr="00742A04">
        <w:t xml:space="preserve"> </w:t>
      </w:r>
      <w:r w:rsidR="005E2D7A" w:rsidRPr="00742A04">
        <w:t>los inmigrantes</w:t>
      </w:r>
      <w:r w:rsidR="00545D1B" w:rsidRPr="00742A04">
        <w:t xml:space="preserve"> </w:t>
      </w:r>
      <w:r w:rsidR="00496A4A" w:rsidRPr="00742A04">
        <w:t xml:space="preserve">provenientes </w:t>
      </w:r>
      <w:r w:rsidR="008F0C8E" w:rsidRPr="00742A04">
        <w:t>de</w:t>
      </w:r>
      <w:r w:rsidR="00545D1B" w:rsidRPr="00742A04">
        <w:t xml:space="preserve"> </w:t>
      </w:r>
      <w:r w:rsidR="008C4612" w:rsidRPr="00742A04">
        <w:t>África</w:t>
      </w:r>
      <w:r w:rsidR="00545D1B" w:rsidRPr="00742A04">
        <w:t xml:space="preserve"> </w:t>
      </w:r>
      <w:r w:rsidR="00496A4A" w:rsidRPr="00742A04">
        <w:t>las cifras correspondientes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46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D5443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36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D5443">
        <w:t xml:space="preserve">las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>.</w:t>
      </w:r>
    </w:p>
    <w:p w:rsidR="00B2025A" w:rsidRPr="00742A04" w:rsidRDefault="00B2025A" w:rsidP="006B5613">
      <w:pPr>
        <w:pStyle w:val="SingleTxt"/>
        <w:spacing w:after="0" w:line="120" w:lineRule="exact"/>
        <w:jc w:val="left"/>
        <w:rPr>
          <w:b/>
          <w:sz w:val="10"/>
        </w:rPr>
      </w:pPr>
    </w:p>
    <w:p w:rsidR="00496A4A" w:rsidRPr="00742A04" w:rsidRDefault="00355BCE" w:rsidP="00496A4A">
      <w:pPr>
        <w:pStyle w:val="SingleTxt"/>
        <w:jc w:val="left"/>
        <w:rPr>
          <w:b/>
        </w:rPr>
      </w:pPr>
      <w:r w:rsidRPr="00742A04">
        <w:rPr>
          <w:b/>
        </w:rPr>
        <w:t>Desempleo</w:t>
      </w:r>
      <w:r w:rsidR="00545D1B" w:rsidRPr="00742A04">
        <w:rPr>
          <w:b/>
        </w:rPr>
        <w:t xml:space="preserve"> </w:t>
      </w:r>
      <w:r w:rsidR="007E0DFE" w:rsidRPr="00742A04">
        <w:rPr>
          <w:b/>
        </w:rPr>
        <w:t>entre</w:t>
      </w:r>
      <w:r w:rsidR="00545D1B" w:rsidRPr="00742A04">
        <w:rPr>
          <w:b/>
        </w:rPr>
        <w:t xml:space="preserve"> </w:t>
      </w:r>
      <w:r w:rsidR="005E2D7A" w:rsidRPr="00742A04">
        <w:rPr>
          <w:b/>
        </w:rPr>
        <w:t>los inmigrantes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5B4BBD" w:rsidRPr="00742A04">
        <w:rPr>
          <w:b/>
        </w:rPr>
        <w:t xml:space="preserve"> </w:t>
      </w:r>
      <w:r w:rsidR="00DD710E" w:rsidRPr="00742A04">
        <w:rPr>
          <w:b/>
        </w:rPr>
        <w:t>la población</w:t>
      </w:r>
      <w:r w:rsidR="00C14BFF" w:rsidRPr="00742A04">
        <w:rPr>
          <w:b/>
        </w:rPr>
        <w:t xml:space="preserve"> </w:t>
      </w:r>
      <w:r w:rsidR="00A742D4" w:rsidRPr="00742A04">
        <w:rPr>
          <w:b/>
        </w:rPr>
        <w:t>en su conjunto</w:t>
      </w:r>
      <w:r w:rsidRPr="00742A04">
        <w:rPr>
          <w:b/>
        </w:rPr>
        <w:br/>
      </w:r>
      <w:r w:rsidR="00545D1B" w:rsidRPr="00742A04">
        <w:rPr>
          <w:b/>
        </w:rPr>
        <w:t>(</w:t>
      </w:r>
      <w:r w:rsidRPr="00742A04">
        <w:rPr>
          <w:b/>
        </w:rPr>
        <w:t>tercer</w:t>
      </w:r>
      <w:r w:rsidR="00545D1B" w:rsidRPr="00742A04">
        <w:rPr>
          <w:b/>
        </w:rPr>
        <w:t xml:space="preserve"> </w:t>
      </w:r>
      <w:r w:rsidR="008C4612" w:rsidRPr="00742A04">
        <w:rPr>
          <w:b/>
        </w:rPr>
        <w:t>trime</w:t>
      </w:r>
      <w:r w:rsidR="008C4612" w:rsidRPr="00742A04">
        <w:rPr>
          <w:b/>
        </w:rPr>
        <w:t>s</w:t>
      </w:r>
      <w:r w:rsidR="008C4612" w:rsidRPr="00742A04">
        <w:rPr>
          <w:b/>
        </w:rPr>
        <w:t>tre de</w:t>
      </w:r>
      <w:r w:rsidR="00545D1B" w:rsidRPr="00742A04">
        <w:rPr>
          <w:b/>
        </w:rPr>
        <w:t xml:space="preserve"> 2005)</w:t>
      </w:r>
      <w:r w:rsidR="00496A4A" w:rsidRPr="00742A04">
        <w:rPr>
          <w:b/>
        </w:rPr>
        <w:t xml:space="preserve"> </w:t>
      </w:r>
    </w:p>
    <w:p w:rsidR="00496A4A" w:rsidRPr="00742A04" w:rsidRDefault="00496A4A" w:rsidP="00496A4A">
      <w:pPr>
        <w:pStyle w:val="SingleTxt"/>
        <w:keepNext/>
        <w:spacing w:after="0" w:line="120" w:lineRule="exact"/>
        <w:jc w:val="left"/>
        <w:rPr>
          <w:sz w:val="10"/>
        </w:rPr>
      </w:pPr>
      <w:r w:rsidRPr="00742A04">
        <w:rPr>
          <w:sz w:val="14"/>
        </w:rPr>
        <w:t>(</w:t>
      </w:r>
      <w:r w:rsidRPr="000D5443">
        <w:rPr>
          <w:i/>
          <w:sz w:val="14"/>
        </w:rPr>
        <w:t>En porcentajes</w:t>
      </w:r>
      <w:r w:rsidRPr="00742A04">
        <w:rPr>
          <w:sz w:val="14"/>
        </w:rPr>
        <w:t>)</w:t>
      </w:r>
    </w:p>
    <w:p w:rsidR="005B4BBD" w:rsidRPr="00742A04" w:rsidRDefault="005B4BBD" w:rsidP="005B4BBD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jc w:val="center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012"/>
        <w:gridCol w:w="1013"/>
        <w:gridCol w:w="1013"/>
        <w:gridCol w:w="1282"/>
        <w:gridCol w:w="810"/>
        <w:gridCol w:w="946"/>
      </w:tblGrid>
      <w:tr w:rsidR="00496A4A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96A4A" w:rsidRPr="00742A04" w:rsidRDefault="00496A4A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96A4A" w:rsidRPr="00742A04" w:rsidRDefault="000D5443" w:rsidP="000D5443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</w:t>
            </w:r>
            <w:r w:rsidR="00496A4A" w:rsidRPr="00742A04">
              <w:rPr>
                <w:i/>
                <w:sz w:val="14"/>
                <w:szCs w:val="14"/>
              </w:rPr>
              <w:t>otal</w:t>
            </w:r>
            <w:r>
              <w:rPr>
                <w:i/>
                <w:sz w:val="14"/>
                <w:szCs w:val="14"/>
              </w:rPr>
              <w:t xml:space="preserve"> de</w:t>
            </w:r>
            <w:r>
              <w:rPr>
                <w:i/>
                <w:sz w:val="14"/>
                <w:szCs w:val="14"/>
              </w:rPr>
              <w:br/>
              <w:t xml:space="preserve"> N</w:t>
            </w:r>
            <w:r>
              <w:rPr>
                <w:i/>
                <w:sz w:val="14"/>
                <w:szCs w:val="14"/>
              </w:rPr>
              <w:t>o</w:t>
            </w:r>
            <w:r>
              <w:rPr>
                <w:i/>
                <w:sz w:val="14"/>
                <w:szCs w:val="14"/>
              </w:rPr>
              <w:t>ruega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96A4A" w:rsidRPr="00742A04" w:rsidRDefault="000D5443" w:rsidP="000D5443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Población de i</w:t>
            </w:r>
            <w:r w:rsidR="00496A4A" w:rsidRPr="00742A04">
              <w:rPr>
                <w:i/>
                <w:sz w:val="14"/>
                <w:szCs w:val="14"/>
              </w:rPr>
              <w:t>nm</w:t>
            </w:r>
            <w:r w:rsidR="00496A4A" w:rsidRPr="00742A04">
              <w:rPr>
                <w:i/>
                <w:sz w:val="14"/>
                <w:szCs w:val="14"/>
              </w:rPr>
              <w:t>i</w:t>
            </w:r>
            <w:r w:rsidR="00496A4A" w:rsidRPr="00742A04">
              <w:rPr>
                <w:i/>
                <w:sz w:val="14"/>
                <w:szCs w:val="14"/>
              </w:rPr>
              <w:t>grantes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96A4A" w:rsidRPr="00742A04" w:rsidRDefault="00496A4A" w:rsidP="000D5443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Europa</w:t>
            </w:r>
            <w:r w:rsidRPr="00742A04">
              <w:rPr>
                <w:i/>
                <w:sz w:val="14"/>
                <w:szCs w:val="14"/>
              </w:rPr>
              <w:br/>
              <w:t>Occ</w:t>
            </w:r>
            <w:r w:rsidRPr="00742A04">
              <w:rPr>
                <w:i/>
                <w:sz w:val="14"/>
                <w:szCs w:val="14"/>
              </w:rPr>
              <w:t>i</w:t>
            </w:r>
            <w:r w:rsidRPr="00742A04">
              <w:rPr>
                <w:i/>
                <w:sz w:val="14"/>
                <w:szCs w:val="14"/>
              </w:rPr>
              <w:t>dental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96A4A" w:rsidRPr="00742A04" w:rsidRDefault="00263801" w:rsidP="000D5443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América Central y del Sur</w:t>
            </w:r>
            <w:r w:rsidR="00496A4A" w:rsidRPr="00742A04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96A4A" w:rsidRPr="00742A04" w:rsidRDefault="00496A4A" w:rsidP="000D5443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Asia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96A4A" w:rsidRPr="00742A04" w:rsidRDefault="00496A4A" w:rsidP="000D5443">
            <w:pPr>
              <w:pStyle w:val="SingleTxt"/>
              <w:spacing w:before="40" w:after="40" w:line="240" w:lineRule="auto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África</w:t>
            </w:r>
          </w:p>
        </w:tc>
      </w:tr>
      <w:tr w:rsidR="005B4BBD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  <w:jc w:val="center"/>
        </w:trPr>
        <w:tc>
          <w:tcPr>
            <w:tcW w:w="1266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012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82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  <w:vAlign w:val="bottom"/>
          </w:tcPr>
          <w:p w:rsidR="005B4BBD" w:rsidRPr="00742A04" w:rsidRDefault="005B4BBD" w:rsidP="00B320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5B4BBD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dxa"/>
          </w:tcPr>
          <w:p w:rsidR="005B4BBD" w:rsidRPr="00742A04" w:rsidRDefault="00355BCE" w:rsidP="005B4BBD">
            <w:pPr>
              <w:pStyle w:val="SingleTxt"/>
              <w:spacing w:before="40" w:after="40" w:line="240" w:lineRule="auto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Todos</w:t>
            </w:r>
          </w:p>
        </w:tc>
        <w:tc>
          <w:tcPr>
            <w:tcW w:w="1012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3.7</w:t>
            </w:r>
          </w:p>
        </w:tc>
        <w:tc>
          <w:tcPr>
            <w:tcW w:w="1013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9.9</w:t>
            </w:r>
          </w:p>
        </w:tc>
        <w:tc>
          <w:tcPr>
            <w:tcW w:w="1013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  <w:tc>
          <w:tcPr>
            <w:tcW w:w="1282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  <w:tc>
          <w:tcPr>
            <w:tcW w:w="946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</w:tr>
      <w:tr w:rsidR="005B4BBD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dxa"/>
          </w:tcPr>
          <w:p w:rsidR="005B4BBD" w:rsidRPr="00742A04" w:rsidRDefault="00072AD7" w:rsidP="005B4BBD">
            <w:pPr>
              <w:pStyle w:val="SingleTxt"/>
              <w:spacing w:before="40" w:after="40" w:line="240" w:lineRule="auto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Muj</w:t>
            </w:r>
            <w:r w:rsidRPr="00742A04">
              <w:rPr>
                <w:sz w:val="17"/>
                <w:szCs w:val="17"/>
              </w:rPr>
              <w:t>e</w:t>
            </w:r>
            <w:r w:rsidRPr="00742A04">
              <w:rPr>
                <w:sz w:val="17"/>
                <w:szCs w:val="17"/>
              </w:rPr>
              <w:t>res</w:t>
            </w:r>
          </w:p>
        </w:tc>
        <w:tc>
          <w:tcPr>
            <w:tcW w:w="1012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3.8</w:t>
            </w:r>
          </w:p>
        </w:tc>
        <w:tc>
          <w:tcPr>
            <w:tcW w:w="1013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9.9</w:t>
            </w:r>
          </w:p>
        </w:tc>
        <w:tc>
          <w:tcPr>
            <w:tcW w:w="1013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  <w:tc>
          <w:tcPr>
            <w:tcW w:w="1282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14</w:t>
            </w:r>
            <w:r w:rsidR="00496A4A" w:rsidRPr="00742A04">
              <w:rPr>
                <w:sz w:val="17"/>
                <w:szCs w:val="17"/>
              </w:rPr>
              <w:t>,0</w:t>
            </w:r>
          </w:p>
        </w:tc>
        <w:tc>
          <w:tcPr>
            <w:tcW w:w="946" w:type="dxa"/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17</w:t>
            </w:r>
            <w:r w:rsidR="00496A4A" w:rsidRPr="00742A04">
              <w:rPr>
                <w:sz w:val="17"/>
                <w:szCs w:val="17"/>
              </w:rPr>
              <w:t>,0</w:t>
            </w:r>
          </w:p>
        </w:tc>
      </w:tr>
      <w:tr w:rsidR="005B4BBD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dxa"/>
            <w:tcBorders>
              <w:bottom w:val="single" w:sz="12" w:space="0" w:color="auto"/>
            </w:tcBorders>
          </w:tcPr>
          <w:p w:rsidR="005B4BBD" w:rsidRPr="00742A04" w:rsidRDefault="00355BCE" w:rsidP="005B4BBD">
            <w:pPr>
              <w:pStyle w:val="SingleTxt"/>
              <w:spacing w:before="40" w:after="40" w:line="240" w:lineRule="auto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H</w:t>
            </w:r>
            <w:r w:rsidR="005C6D40" w:rsidRPr="00742A04">
              <w:rPr>
                <w:sz w:val="17"/>
                <w:szCs w:val="17"/>
              </w:rPr>
              <w:t>o</w:t>
            </w:r>
            <w:r w:rsidR="005C6D40" w:rsidRPr="00742A04">
              <w:rPr>
                <w:sz w:val="17"/>
                <w:szCs w:val="17"/>
              </w:rPr>
              <w:t>m</w:t>
            </w:r>
            <w:r w:rsidR="005C6D40" w:rsidRPr="00742A04">
              <w:rPr>
                <w:sz w:val="17"/>
                <w:szCs w:val="17"/>
              </w:rPr>
              <w:t>bres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3.6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9.8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  <w:vAlign w:val="bottom"/>
          </w:tcPr>
          <w:p w:rsidR="005B4BBD" w:rsidRPr="00742A04" w:rsidRDefault="005B4BBD" w:rsidP="00D31966">
            <w:pPr>
              <w:pStyle w:val="SingleTxt"/>
              <w:spacing w:before="40" w:after="40" w:line="240" w:lineRule="auto"/>
              <w:ind w:left="115" w:right="216"/>
              <w:jc w:val="right"/>
              <w:rPr>
                <w:sz w:val="17"/>
                <w:szCs w:val="17"/>
              </w:rPr>
            </w:pPr>
          </w:p>
        </w:tc>
      </w:tr>
    </w:tbl>
    <w:p w:rsidR="00B32021" w:rsidRPr="00742A04" w:rsidRDefault="00B32021" w:rsidP="00B32021">
      <w:pPr>
        <w:pStyle w:val="SingleTxt"/>
        <w:spacing w:after="0" w:line="120" w:lineRule="exact"/>
        <w:rPr>
          <w:sz w:val="10"/>
        </w:rPr>
      </w:pPr>
    </w:p>
    <w:p w:rsidR="00B32021" w:rsidRPr="00742A04" w:rsidRDefault="00B32021" w:rsidP="00B32021">
      <w:pPr>
        <w:pStyle w:val="SingleTxt"/>
        <w:spacing w:after="0" w:line="120" w:lineRule="exact"/>
        <w:rPr>
          <w:sz w:val="10"/>
        </w:rPr>
      </w:pPr>
    </w:p>
    <w:p w:rsidR="00545D1B" w:rsidRPr="00742A04" w:rsidRDefault="000D5443" w:rsidP="006B5613">
      <w:pPr>
        <w:pStyle w:val="SingleTxt"/>
        <w:ind w:firstLine="475"/>
      </w:pPr>
      <w:r>
        <w:t xml:space="preserve">El </w:t>
      </w:r>
      <w:r w:rsidRPr="00742A04">
        <w:t xml:space="preserve">desempleo </w:t>
      </w:r>
      <w:r>
        <w:t>r</w:t>
      </w:r>
      <w:r w:rsidR="00311327" w:rsidRPr="00742A04">
        <w:t>egistra</w:t>
      </w:r>
      <w:r>
        <w:t>d</w:t>
      </w:r>
      <w:r w:rsidR="00311327" w:rsidRPr="00742A04">
        <w:t>o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="005E2D7A" w:rsidRPr="00742A04">
        <w:t>los inmigrantes</w:t>
      </w:r>
      <w:r w:rsidR="00545D1B" w:rsidRPr="00742A04">
        <w:t xml:space="preserve"> </w:t>
      </w:r>
      <w:r w:rsidR="00522A02" w:rsidRPr="00742A04">
        <w:t>descendió</w:t>
      </w:r>
      <w:r w:rsidR="00545D1B" w:rsidRPr="00742A04">
        <w:t xml:space="preserve"> </w:t>
      </w:r>
      <w:r w:rsidR="00522A02" w:rsidRPr="00742A04">
        <w:t>un</w:t>
      </w:r>
      <w:r w:rsidR="00545D1B" w:rsidRPr="00742A04">
        <w:t xml:space="preserve"> </w:t>
      </w:r>
      <w:r w:rsidR="00522A02" w:rsidRPr="00742A04">
        <w:t>punto porcentual, pasando</w:t>
      </w:r>
      <w:r w:rsidR="00545D1B" w:rsidRPr="00742A04">
        <w:t xml:space="preserve"> </w:t>
      </w:r>
      <w:r w:rsidR="008F0C8E" w:rsidRPr="00742A04">
        <w:t>de</w:t>
      </w:r>
      <w:r w:rsidR="00522A02" w:rsidRPr="00742A04">
        <w:t>l 9,</w:t>
      </w:r>
      <w:r w:rsidR="00545D1B" w:rsidRPr="00742A04">
        <w:t>4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4371">
        <w:t>el</w:t>
      </w:r>
      <w:r w:rsidR="00545D1B" w:rsidRPr="00742A04">
        <w:t xml:space="preserve"> </w:t>
      </w:r>
      <w:r w:rsidR="00AC5D28" w:rsidRPr="00742A04">
        <w:t>cuarto</w:t>
      </w:r>
      <w:r w:rsidR="00545D1B" w:rsidRPr="00742A04">
        <w:t xml:space="preserve"> </w:t>
      </w:r>
      <w:r w:rsidR="008C4612" w:rsidRPr="00742A04">
        <w:t xml:space="preserve">trimestre de </w:t>
      </w:r>
      <w:r w:rsidR="00545D1B" w:rsidRPr="00742A04">
        <w:t xml:space="preserve">2004 </w:t>
      </w:r>
      <w:r w:rsidR="0030626A" w:rsidRPr="00742A04">
        <w:t>a</w:t>
      </w:r>
      <w:r w:rsidR="00522A02" w:rsidRPr="00742A04">
        <w:t>l 8,</w:t>
      </w:r>
      <w:r w:rsidR="00545D1B" w:rsidRPr="00742A04">
        <w:t>4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4371">
        <w:t>el</w:t>
      </w:r>
      <w:r w:rsidR="00545D1B" w:rsidRPr="00742A04">
        <w:t xml:space="preserve"> </w:t>
      </w:r>
      <w:r w:rsidR="00AC5D28" w:rsidRPr="00742A04">
        <w:t>cuarto</w:t>
      </w:r>
      <w:r w:rsidR="00545D1B" w:rsidRPr="00742A04">
        <w:t xml:space="preserve"> </w:t>
      </w:r>
      <w:r w:rsidR="008C4612" w:rsidRPr="00742A04">
        <w:t xml:space="preserve">trimestre de </w:t>
      </w:r>
      <w:r w:rsidR="00545D1B" w:rsidRPr="00742A04">
        <w:t xml:space="preserve">2005. </w:t>
      </w:r>
      <w:r w:rsidR="00894371" w:rsidRPr="00742A04">
        <w:t xml:space="preserve">En el resto de la población, </w:t>
      </w:r>
      <w:r w:rsidR="00894371">
        <w:t xml:space="preserve">el </w:t>
      </w:r>
      <w:r w:rsidR="00894371" w:rsidRPr="00742A04">
        <w:t xml:space="preserve">desempleo </w:t>
      </w:r>
      <w:r w:rsidR="00894371">
        <w:t>disminuyó</w:t>
      </w:r>
      <w:r w:rsidR="00894371" w:rsidRPr="00742A04">
        <w:t xml:space="preserve"> del 3,1% al 2,6%. </w:t>
      </w:r>
      <w:r w:rsidR="00862777">
        <w:t>14.</w:t>
      </w:r>
      <w:r w:rsidR="00545D1B" w:rsidRPr="00742A04">
        <w:t xml:space="preserve">200 </w:t>
      </w:r>
      <w:r w:rsidR="005E2D7A" w:rsidRPr="00742A04">
        <w:t>inmigrantes</w:t>
      </w:r>
      <w:r w:rsidR="00545D1B" w:rsidRPr="00742A04">
        <w:t xml:space="preserve"> </w:t>
      </w:r>
      <w:r w:rsidR="00E73E8E" w:rsidRPr="00742A04">
        <w:t>e</w:t>
      </w:r>
      <w:r w:rsidR="00862777">
        <w:t>stab</w:t>
      </w:r>
      <w:r w:rsidR="00E73E8E" w:rsidRPr="00742A04">
        <w:t>an</w:t>
      </w:r>
      <w:r w:rsidR="00545D1B" w:rsidRPr="00742A04">
        <w:t xml:space="preserve"> </w:t>
      </w:r>
      <w:r w:rsidR="00311327" w:rsidRPr="00742A04">
        <w:t>registra</w:t>
      </w:r>
      <w:r w:rsidR="00862777">
        <w:t>dos como</w:t>
      </w:r>
      <w:r w:rsidR="00545D1B" w:rsidRPr="00742A04">
        <w:t xml:space="preserve"> </w:t>
      </w:r>
      <w:r w:rsidR="00862777">
        <w:t>desempleado</w:t>
      </w:r>
      <w:r w:rsidR="00126609" w:rsidRPr="00742A04">
        <w:t>s</w:t>
      </w:r>
      <w:r w:rsidR="00545D1B" w:rsidRPr="00742A04">
        <w:t xml:space="preserve">, </w:t>
      </w:r>
      <w:r w:rsidR="00862777">
        <w:t>lo cual</w:t>
      </w:r>
      <w:r w:rsidR="00545D1B" w:rsidRPr="00742A04">
        <w:t xml:space="preserve"> </w:t>
      </w:r>
      <w:r w:rsidR="00D3378F" w:rsidRPr="00742A04">
        <w:t>significa que</w:t>
      </w:r>
      <w:r w:rsidR="00545D1B" w:rsidRPr="00742A04">
        <w:t xml:space="preserve"> </w:t>
      </w:r>
      <w:r w:rsidR="00862777">
        <w:t>una</w:t>
      </w:r>
      <w:r w:rsidR="00545D1B" w:rsidRPr="00742A04">
        <w:t xml:space="preserve"> </w:t>
      </w:r>
      <w:r w:rsidR="004A3F50" w:rsidRPr="00742A04">
        <w:t>de cada</w:t>
      </w:r>
      <w:r w:rsidR="00545D1B" w:rsidRPr="00742A04">
        <w:t xml:space="preserve"> </w:t>
      </w:r>
      <w:r w:rsidR="00A5364F" w:rsidRPr="00742A04">
        <w:t>cinco</w:t>
      </w:r>
      <w:r w:rsidR="00545D1B" w:rsidRPr="00742A04">
        <w:t xml:space="preserve"> </w:t>
      </w:r>
      <w:r w:rsidR="00862777" w:rsidRPr="00742A04">
        <w:t xml:space="preserve">personas </w:t>
      </w:r>
      <w:r w:rsidR="00126609" w:rsidRPr="00742A04">
        <w:t>desempleadas</w:t>
      </w:r>
      <w:r w:rsidR="00545D1B" w:rsidRPr="00742A04">
        <w:t xml:space="preserve"> </w:t>
      </w:r>
      <w:r w:rsidR="00862777">
        <w:t>era un inmigrante</w:t>
      </w:r>
      <w:r w:rsidR="00545D1B" w:rsidRPr="00742A04">
        <w:t xml:space="preserve">. </w:t>
      </w:r>
      <w:r w:rsidR="00894371" w:rsidRPr="00742A04">
        <w:t>Para los hombres inmigra</w:t>
      </w:r>
      <w:r w:rsidR="00894371" w:rsidRPr="00742A04">
        <w:t>n</w:t>
      </w:r>
      <w:r w:rsidR="00894371" w:rsidRPr="00742A04">
        <w:t xml:space="preserve">tes, </w:t>
      </w:r>
      <w:r w:rsidR="00862777">
        <w:t xml:space="preserve">el </w:t>
      </w:r>
      <w:r w:rsidR="00894371" w:rsidRPr="00742A04">
        <w:t xml:space="preserve">desempleo </w:t>
      </w:r>
      <w:r w:rsidR="00894371">
        <w:t>disminuyó hasta</w:t>
      </w:r>
      <w:r w:rsidR="00894371" w:rsidRPr="00742A04">
        <w:t xml:space="preserve"> 1,4 puntos porcentuales de</w:t>
      </w:r>
      <w:r w:rsidR="00894371">
        <w:t>l</w:t>
      </w:r>
      <w:r w:rsidR="00894371" w:rsidRPr="00742A04">
        <w:t xml:space="preserve"> cuarto trimestre de 2004 a</w:t>
      </w:r>
      <w:r w:rsidR="00894371">
        <w:t>l</w:t>
      </w:r>
      <w:r w:rsidR="00894371" w:rsidRPr="00742A04">
        <w:t xml:space="preserve"> cuarto trimestre de 2005. </w:t>
      </w:r>
      <w:r w:rsidR="00F43124" w:rsidRPr="00742A04">
        <w:t>Para</w:t>
      </w:r>
      <w:r w:rsidR="00545D1B" w:rsidRPr="00742A04">
        <w:t xml:space="preserve"> </w:t>
      </w:r>
      <w:r w:rsidR="00862777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1D532F" w:rsidRPr="00742A04">
        <w:t>la disminución</w:t>
      </w:r>
      <w:r w:rsidR="00545D1B" w:rsidRPr="00742A04">
        <w:t xml:space="preserve"> </w:t>
      </w:r>
      <w:r w:rsidR="00E270D5" w:rsidRPr="00742A04">
        <w:t>fue de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0</w:t>
      </w:r>
      <w:r w:rsidR="00E270D5" w:rsidRPr="00742A04">
        <w:t>,4 </w:t>
      </w:r>
      <w:r w:rsidR="001D532F" w:rsidRPr="00742A04">
        <w:t>puntos</w:t>
      </w:r>
      <w:r w:rsidR="001F6F1A" w:rsidRPr="00742A04">
        <w:t xml:space="preserve"> porcentuales</w:t>
      </w:r>
      <w:r w:rsidR="00545D1B" w:rsidRPr="00742A04">
        <w:t xml:space="preserve">. </w:t>
      </w:r>
      <w:r w:rsidR="00E270D5" w:rsidRPr="00742A04">
        <w:t>Esta tendencia casi</w:t>
      </w:r>
      <w:r w:rsidR="00862777">
        <w:t xml:space="preserve"> ha</w:t>
      </w:r>
      <w:r w:rsidR="00545D1B" w:rsidRPr="00742A04">
        <w:t xml:space="preserve"> e</w:t>
      </w:r>
      <w:r w:rsidR="00E270D5" w:rsidRPr="00742A04">
        <w:t>liminado la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 </w:t>
      </w:r>
      <w:r w:rsidR="00E270D5" w:rsidRPr="00742A04">
        <w:t>de las tasas</w:t>
      </w:r>
      <w:r w:rsidR="00545D1B" w:rsidRPr="00742A04">
        <w:t xml:space="preserve"> </w:t>
      </w:r>
      <w:r w:rsidR="00E270D5" w:rsidRPr="00742A04">
        <w:t xml:space="preserve">de </w:t>
      </w:r>
      <w:r w:rsidR="00355BCE" w:rsidRPr="00742A04">
        <w:t>dese</w:t>
      </w:r>
      <w:r w:rsidR="00355BCE" w:rsidRPr="00742A04">
        <w:t>m</w:t>
      </w:r>
      <w:r w:rsidR="00355BCE" w:rsidRPr="00742A04">
        <w:t>pleo</w:t>
      </w:r>
      <w:r w:rsidR="00545D1B" w:rsidRPr="00742A04">
        <w:t xml:space="preserve"> </w:t>
      </w:r>
      <w:r w:rsidR="00E270D5" w:rsidRPr="00742A04">
        <w:t xml:space="preserve">de </w:t>
      </w:r>
      <w:r w:rsidR="00855B3B" w:rsidRPr="00742A04">
        <w:t>los hombres inmigrantes</w:t>
      </w:r>
      <w:r w:rsidR="002E5047" w:rsidRPr="00742A04">
        <w:t xml:space="preserve"> </w:t>
      </w:r>
      <w:r w:rsidR="00E270D5" w:rsidRPr="00742A04">
        <w:t>y</w:t>
      </w:r>
      <w:r w:rsidR="002E5047" w:rsidRPr="00742A04">
        <w:t xml:space="preserve"> </w:t>
      </w:r>
      <w:r w:rsidR="00855B3B" w:rsidRPr="00742A04">
        <w:t>las mujeres inmigrantes</w:t>
      </w:r>
      <w:r w:rsidR="00545D1B" w:rsidRPr="00742A04">
        <w:t xml:space="preserve"> (8</w:t>
      </w:r>
      <w:r w:rsidR="00E270D5" w:rsidRPr="00742A04">
        <w:t xml:space="preserve">,4% </w:t>
      </w:r>
      <w:r w:rsidR="00E73E8E" w:rsidRPr="00742A04">
        <w:t>en comparación con</w:t>
      </w:r>
      <w:r w:rsidR="00545D1B" w:rsidRPr="00742A04">
        <w:t xml:space="preserve"> 8</w:t>
      </w:r>
      <w:r w:rsidR="00E270D5" w:rsidRPr="00742A04">
        <w:t>,3%</w:t>
      </w:r>
      <w:r w:rsidR="00545D1B" w:rsidRPr="00742A04">
        <w:t xml:space="preserve">). </w:t>
      </w:r>
      <w:r w:rsidR="00E270D5" w:rsidRPr="00742A04">
        <w:t>Los hombres inmigrantes</w:t>
      </w:r>
      <w:r w:rsidR="00545D1B" w:rsidRPr="00742A04">
        <w:t xml:space="preserve"> ha</w:t>
      </w:r>
      <w:r w:rsidR="00E270D5" w:rsidRPr="00742A04">
        <w:t>n tenido</w:t>
      </w:r>
      <w:r w:rsidR="00545D1B" w:rsidRPr="00742A04">
        <w:t xml:space="preserve"> </w:t>
      </w:r>
      <w:r w:rsidR="00FF55CD" w:rsidRPr="00742A04">
        <w:t>tradici</w:t>
      </w:r>
      <w:r w:rsidR="00545D1B" w:rsidRPr="00742A04">
        <w:t>ona</w:t>
      </w:r>
      <w:r w:rsidR="005F7B32" w:rsidRPr="00742A04">
        <w:t xml:space="preserve">lmente </w:t>
      </w:r>
      <w:r w:rsidR="00585E84" w:rsidRPr="00742A04">
        <w:t>un</w:t>
      </w:r>
      <w:r w:rsidR="00545D1B" w:rsidRPr="00742A04">
        <w:t xml:space="preserve">a </w:t>
      </w:r>
      <w:r w:rsidR="00585E84" w:rsidRPr="00742A04">
        <w:t>tasa de de</w:t>
      </w:r>
      <w:r w:rsidR="00585E84" w:rsidRPr="00742A04">
        <w:t>s</w:t>
      </w:r>
      <w:r w:rsidR="00585E84" w:rsidRPr="00742A04">
        <w:t>empleo</w:t>
      </w:r>
      <w:r w:rsidR="00545D1B" w:rsidRPr="00742A04">
        <w:t xml:space="preserve"> </w:t>
      </w:r>
      <w:r w:rsidR="00585E84" w:rsidRPr="00742A04">
        <w:t xml:space="preserve">registrado significativamente mayor </w:t>
      </w:r>
      <w:r w:rsidR="005C6D40" w:rsidRPr="00742A04">
        <w:t>que</w:t>
      </w:r>
      <w:r w:rsidR="00545D1B" w:rsidRPr="00742A04">
        <w:t xml:space="preserve"> </w:t>
      </w:r>
      <w:r w:rsidR="00585E84" w:rsidRPr="00742A04">
        <w:t xml:space="preserve">las </w:t>
      </w:r>
      <w:r w:rsidR="00072AD7" w:rsidRPr="00742A04">
        <w:t>mujeres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="00585E84" w:rsidRPr="00742A04">
        <w:t xml:space="preserve">el resto </w:t>
      </w:r>
      <w:r w:rsidR="004A0730" w:rsidRPr="00742A04">
        <w:t>de</w:t>
      </w:r>
      <w:r w:rsidR="00545D1B" w:rsidRPr="00742A04">
        <w:t xml:space="preserve"> </w:t>
      </w:r>
      <w:r w:rsidR="00DD710E" w:rsidRPr="00742A04">
        <w:t>la p</w:t>
      </w:r>
      <w:r w:rsidR="00DD710E" w:rsidRPr="00742A04">
        <w:t>o</w:t>
      </w:r>
      <w:r w:rsidR="00DD710E" w:rsidRPr="00742A04">
        <w:t>blación</w:t>
      </w:r>
      <w:r w:rsidR="00935A90" w:rsidRPr="00742A04">
        <w:t>,</w:t>
      </w:r>
      <w:r w:rsidR="00545D1B" w:rsidRPr="00742A04">
        <w:t xml:space="preserve"> </w:t>
      </w:r>
      <w:r w:rsidR="00A31FF2" w:rsidRPr="00742A04">
        <w:t>la tasa de desempleo</w:t>
      </w:r>
      <w:r w:rsidR="00545D1B" w:rsidRPr="00742A04">
        <w:t xml:space="preserve"> </w:t>
      </w:r>
      <w:r w:rsidR="00585E84" w:rsidRPr="00742A04">
        <w:t>de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9D1A12" w:rsidRPr="00742A04">
        <w:t>era</w:t>
      </w:r>
      <w:r w:rsidR="00585E84" w:rsidRPr="00742A04">
        <w:t xml:space="preserve"> del</w:t>
      </w:r>
      <w:r w:rsidR="00545D1B" w:rsidRPr="00742A04">
        <w:t xml:space="preserve"> 2</w:t>
      </w:r>
      <w:r w:rsidR="00E270D5" w:rsidRPr="00742A04">
        <w:t>,7%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5E84" w:rsidRPr="00742A04">
        <w:t xml:space="preserve">la de las </w:t>
      </w:r>
      <w:r w:rsidR="00072AD7" w:rsidRPr="00742A04">
        <w:t>mujeres</w:t>
      </w:r>
      <w:r w:rsidR="00545D1B" w:rsidRPr="00742A04">
        <w:t xml:space="preserve"> 2</w:t>
      </w:r>
      <w:r w:rsidR="00E270D5" w:rsidRPr="00742A04">
        <w:t>,6%</w:t>
      </w:r>
      <w:r w:rsidR="00545D1B" w:rsidRPr="00742A04">
        <w:t xml:space="preserve">. </w:t>
      </w:r>
      <w:r w:rsidR="00585E84" w:rsidRPr="00742A04">
        <w:t>También e</w:t>
      </w:r>
      <w:r w:rsidR="004A0730" w:rsidRPr="00742A04">
        <w:t>n</w:t>
      </w:r>
      <w:r w:rsidR="00545D1B" w:rsidRPr="00742A04">
        <w:t xml:space="preserve"> </w:t>
      </w:r>
      <w:r w:rsidR="00585E84" w:rsidRPr="00742A04">
        <w:t>este</w:t>
      </w:r>
      <w:r w:rsidR="00545D1B" w:rsidRPr="00742A04">
        <w:t xml:space="preserve"> </w:t>
      </w:r>
      <w:r w:rsidR="00673B5D" w:rsidRPr="00742A04">
        <w:t>caso</w:t>
      </w:r>
      <w:r w:rsidR="00545D1B" w:rsidRPr="00742A04">
        <w:t xml:space="preserve">, </w:t>
      </w:r>
      <w:r w:rsidR="001D532F" w:rsidRPr="00742A04">
        <w:t>la disminución</w:t>
      </w:r>
      <w:r w:rsidR="00545D1B" w:rsidRPr="00742A04">
        <w:t xml:space="preserve"> </w:t>
      </w:r>
      <w:r w:rsidR="00585E84" w:rsidRPr="00742A04">
        <w:t xml:space="preserve">en el caso de los </w:t>
      </w:r>
      <w:r w:rsidR="00072AD7" w:rsidRPr="00742A04">
        <w:t>hombres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585E84" w:rsidRPr="00742A04">
        <w:t>algo</w:t>
      </w:r>
      <w:r w:rsidR="00982243" w:rsidRPr="00742A04">
        <w:t xml:space="preserve"> mayor</w:t>
      </w:r>
      <w:r w:rsidR="00545D1B" w:rsidRPr="00742A04">
        <w:t xml:space="preserve">, </w:t>
      </w:r>
      <w:r w:rsidR="00585E84" w:rsidRPr="00742A04">
        <w:t xml:space="preserve">de </w:t>
      </w:r>
      <w:r w:rsidR="00545D1B" w:rsidRPr="00742A04">
        <w:t>0</w:t>
      </w:r>
      <w:r w:rsidR="00E270D5" w:rsidRPr="00742A04">
        <w:t xml:space="preserve">,6 </w:t>
      </w:r>
      <w:r w:rsidR="001D532F" w:rsidRPr="00742A04">
        <w:t>puntos</w:t>
      </w:r>
      <w:r w:rsidR="001F6F1A" w:rsidRPr="00742A04">
        <w:t xml:space="preserve"> po</w:t>
      </w:r>
      <w:r w:rsidR="001F6F1A" w:rsidRPr="00742A04">
        <w:t>r</w:t>
      </w:r>
      <w:r w:rsidR="001F6F1A" w:rsidRPr="00742A04">
        <w:t>centuales</w:t>
      </w:r>
      <w:r w:rsidR="00545D1B" w:rsidRPr="00742A04">
        <w:t xml:space="preserve"> </w:t>
      </w:r>
      <w:r w:rsidR="00E73E8E" w:rsidRPr="00742A04">
        <w:t>en comparación con</w:t>
      </w:r>
      <w:r w:rsidR="00545D1B" w:rsidRPr="00742A04">
        <w:t xml:space="preserve"> 0</w:t>
      </w:r>
      <w:r w:rsidR="00E270D5" w:rsidRPr="00742A04">
        <w:t xml:space="preserve">,3 </w:t>
      </w:r>
      <w:r w:rsidR="001D532F" w:rsidRPr="00742A04">
        <w:t>puntos</w:t>
      </w:r>
      <w:r w:rsidR="001F6F1A" w:rsidRPr="00742A04">
        <w:t xml:space="preserve"> porcentuales</w:t>
      </w:r>
      <w:r w:rsidR="00545D1B" w:rsidRPr="00742A04">
        <w:t>.</w:t>
      </w:r>
    </w:p>
    <w:p w:rsidR="00545D1B" w:rsidRPr="00742A04" w:rsidRDefault="004A0730" w:rsidP="006B5613">
      <w:pPr>
        <w:pStyle w:val="SingleTxt"/>
        <w:ind w:firstLine="475"/>
      </w:pPr>
      <w:r w:rsidRPr="00742A04">
        <w:t>En</w:t>
      </w:r>
      <w:r w:rsidR="00545D1B" w:rsidRPr="00742A04">
        <w:t xml:space="preserve"> 2004, </w:t>
      </w: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909B9" w:rsidRPr="00742A04">
        <w:t>Trabajo e Integración Social</w:t>
      </w:r>
      <w:r w:rsidR="00545D1B" w:rsidRPr="00742A04">
        <w:t xml:space="preserve"> (</w:t>
      </w:r>
      <w:r w:rsidR="005E08DF" w:rsidRPr="00742A04">
        <w:t>anteriormente</w:t>
      </w:r>
      <w:r w:rsidR="00BB4DB1" w:rsidRPr="00742A04">
        <w:t xml:space="preserve"> el </w:t>
      </w:r>
      <w:r w:rsidRPr="00742A04">
        <w:t>M</w:t>
      </w:r>
      <w:r w:rsidRPr="00742A04">
        <w:t>i</w:t>
      </w:r>
      <w:r w:rsidRPr="00742A04">
        <w:t>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C93381" w:rsidRPr="00742A04">
        <w:t>Gobierno Local y Desarrollo Regional</w:t>
      </w:r>
      <w:r w:rsidR="00545D1B" w:rsidRPr="00742A04">
        <w:t xml:space="preserve">) </w:t>
      </w:r>
      <w:r w:rsidR="00C07ED9" w:rsidRPr="00742A04">
        <w:t>inici</w:t>
      </w:r>
      <w:r w:rsidR="00585E84" w:rsidRPr="00742A04">
        <w:t>ó</w:t>
      </w:r>
      <w:r w:rsidR="00545D1B" w:rsidRPr="00742A04">
        <w:t xml:space="preserve"> </w:t>
      </w:r>
      <w:r w:rsidR="0030689C" w:rsidRPr="00742A04">
        <w:t>un proyecto piloto</w:t>
      </w:r>
      <w:r w:rsidR="00545D1B" w:rsidRPr="00742A04">
        <w:t xml:space="preserve"> </w:t>
      </w:r>
      <w:r w:rsidR="00585E84" w:rsidRPr="00742A04">
        <w:t xml:space="preserve">para </w:t>
      </w:r>
      <w:r w:rsidR="002F0DC7" w:rsidRPr="00742A04">
        <w:t>o</w:t>
      </w:r>
      <w:r w:rsidR="002F0DC7" w:rsidRPr="00742A04">
        <w:t>b</w:t>
      </w:r>
      <w:r w:rsidR="002F0DC7" w:rsidRPr="00742A04">
        <w:t>tener</w:t>
      </w:r>
      <w:r w:rsidR="00545D1B" w:rsidRPr="00742A04">
        <w:t xml:space="preserve"> </w:t>
      </w:r>
      <w:r w:rsidR="00B86412" w:rsidRPr="00742A04">
        <w:t>un panorama</w:t>
      </w:r>
      <w:r w:rsidR="00545D1B" w:rsidRPr="00742A04">
        <w:t xml:space="preserve"> </w:t>
      </w:r>
      <w:r w:rsidR="00585E84" w:rsidRPr="00742A04">
        <w:t>del conocimiento existente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585E84" w:rsidRPr="00742A04">
        <w:t>acerca de</w:t>
      </w:r>
      <w:r w:rsidR="00545D1B" w:rsidRPr="00742A04">
        <w:t xml:space="preserve"> </w:t>
      </w:r>
      <w:r w:rsidR="00585E84" w:rsidRPr="00742A04">
        <w:t>las barreras</w:t>
      </w:r>
      <w:r w:rsidR="00545D1B" w:rsidRPr="00742A04">
        <w:t xml:space="preserve"> </w:t>
      </w:r>
      <w:r w:rsidR="00585E84" w:rsidRPr="00742A04">
        <w:t xml:space="preserve">que se oponen </w:t>
      </w:r>
      <w:r w:rsidR="0030626A" w:rsidRPr="00742A04">
        <w:t>a</w:t>
      </w:r>
      <w:r w:rsidR="00545D1B" w:rsidRPr="00742A04">
        <w:t xml:space="preserve"> </w:t>
      </w:r>
      <w:r w:rsidR="00585E84" w:rsidRPr="00742A04">
        <w:t xml:space="preserve">la </w:t>
      </w:r>
      <w:r w:rsidR="004B0EC3" w:rsidRPr="00742A04">
        <w:t>cali</w:t>
      </w:r>
      <w:r w:rsidR="00545D1B" w:rsidRPr="00742A04">
        <w:t>fica</w:t>
      </w:r>
      <w:r w:rsidR="008907B8" w:rsidRPr="00742A04">
        <w:t>ci</w:t>
      </w:r>
      <w:r w:rsidR="00585E84" w:rsidRPr="00742A04">
        <w:t>ó</w:t>
      </w:r>
      <w:r w:rsidR="008907B8" w:rsidRPr="00742A04">
        <w:t>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>el empleo</w:t>
      </w:r>
      <w:r w:rsidR="00545D1B" w:rsidRPr="00742A04">
        <w:t xml:space="preserve">, </w:t>
      </w:r>
      <w:r w:rsidR="007C3856" w:rsidRPr="00742A04">
        <w:t>especialmente</w:t>
      </w:r>
      <w:r w:rsidR="00545D1B" w:rsidRPr="00742A04">
        <w:t xml:space="preserve"> </w:t>
      </w:r>
      <w:r w:rsidR="00585E84" w:rsidRPr="00742A04">
        <w:t xml:space="preserve">con respecto </w:t>
      </w:r>
      <w:r w:rsidR="0030626A" w:rsidRPr="00742A04">
        <w:t>a</w:t>
      </w:r>
      <w:r w:rsidR="00545D1B" w:rsidRPr="00742A04">
        <w:t xml:space="preserve"> </w:t>
      </w:r>
      <w:r w:rsidR="00585E84" w:rsidRPr="00742A04">
        <w:t>las mujeres inmigrantes de origen no occidental</w:t>
      </w:r>
      <w:r w:rsidR="00545D1B" w:rsidRPr="00742A04">
        <w:t xml:space="preserve">. </w:t>
      </w:r>
      <w:r w:rsidR="00E83B7A" w:rsidRPr="00742A04">
        <w:t>En el otoño de 2004 se terminó u</w:t>
      </w:r>
      <w:r w:rsidR="00FC59C5" w:rsidRPr="00742A04">
        <w:t>n informe</w:t>
      </w:r>
      <w:r w:rsidR="00545D1B" w:rsidRPr="00742A04">
        <w:t xml:space="preserve">, </w:t>
      </w:r>
      <w:r w:rsidR="00585E84" w:rsidRPr="00742A04">
        <w:t>elaborado principalmente</w:t>
      </w:r>
      <w:r w:rsidR="00545D1B" w:rsidRPr="00742A04">
        <w:t xml:space="preserve"> </w:t>
      </w:r>
      <w:r w:rsidR="00D52339" w:rsidRPr="00742A04">
        <w:t xml:space="preserve">sobre la base </w:t>
      </w:r>
      <w:r w:rsidR="00C076F2" w:rsidRPr="00742A04">
        <w:t xml:space="preserve">de los </w:t>
      </w:r>
      <w:r w:rsidR="009451E4" w:rsidRPr="00742A04">
        <w:t>estudios</w:t>
      </w:r>
      <w:r w:rsidR="00545D1B" w:rsidRPr="00742A04">
        <w:t xml:space="preserve"> </w:t>
      </w:r>
      <w:r w:rsidR="00E83B7A" w:rsidRPr="00742A04">
        <w:t>disponi</w:t>
      </w:r>
      <w:r w:rsidR="00545D1B" w:rsidRPr="00742A04">
        <w:t>ble</w:t>
      </w:r>
      <w:r w:rsidR="00E83B7A" w:rsidRPr="00742A04">
        <w:t>s</w:t>
      </w:r>
      <w:r w:rsidR="00545D1B" w:rsidRPr="00742A04">
        <w:t>.</w:t>
      </w:r>
      <w:r w:rsidR="001167D2" w:rsidRPr="00742A04">
        <w:t xml:space="preserve"> </w:t>
      </w:r>
      <w:r w:rsidR="00E83B7A" w:rsidRPr="00742A04">
        <w:t>E</w:t>
      </w:r>
      <w:r w:rsidR="001167D2" w:rsidRPr="00742A04">
        <w:t xml:space="preserve">l </w:t>
      </w:r>
      <w:r w:rsidR="00FB5EDF" w:rsidRPr="00742A04">
        <w:t>informe</w:t>
      </w:r>
      <w:r w:rsidR="00545D1B" w:rsidRPr="00742A04">
        <w:t xml:space="preserve"> </w:t>
      </w:r>
      <w:r w:rsidR="00E83B7A" w:rsidRPr="00742A04">
        <w:t>me</w:t>
      </w:r>
      <w:r w:rsidR="00E83B7A" w:rsidRPr="00742A04">
        <w:t>n</w:t>
      </w:r>
      <w:r w:rsidR="00E83B7A" w:rsidRPr="00742A04">
        <w:t>ciona</w:t>
      </w:r>
      <w:r w:rsidR="00BD47D3" w:rsidRPr="00742A04">
        <w:t xml:space="preserve"> que</w:t>
      </w:r>
      <w:r w:rsidR="00545D1B" w:rsidRPr="00742A04">
        <w:t xml:space="preserve"> </w:t>
      </w:r>
      <w:r w:rsidR="00F43124" w:rsidRPr="00742A04">
        <w:t>hay</w:t>
      </w:r>
      <w:r w:rsidR="00545D1B" w:rsidRPr="00742A04">
        <w:t xml:space="preserve"> </w:t>
      </w:r>
      <w:r w:rsidR="00E83B7A" w:rsidRPr="00742A04">
        <w:t>pocas investigacio</w:t>
      </w:r>
      <w:r w:rsidR="00844FDB" w:rsidRPr="00742A04">
        <w:t>n</w:t>
      </w:r>
      <w:r w:rsidR="00E83B7A" w:rsidRPr="00742A04">
        <w:t>es</w:t>
      </w:r>
      <w:r w:rsidR="00545D1B" w:rsidRPr="00742A04">
        <w:t xml:space="preserve"> </w:t>
      </w:r>
      <w:r w:rsidR="00E83B7A" w:rsidRPr="00742A04">
        <w:t>centradas expresamente en</w:t>
      </w:r>
      <w:r w:rsidR="00545D1B" w:rsidRPr="00742A04">
        <w:t xml:space="preserve"> </w:t>
      </w:r>
      <w:r w:rsidR="00E83B7A" w:rsidRPr="00742A04">
        <w:t xml:space="preserve">la relación de las mujeres </w:t>
      </w:r>
      <w:r w:rsidR="00855B3B" w:rsidRPr="00742A04">
        <w:t>inmigrantes</w:t>
      </w:r>
      <w:r w:rsidR="00545D1B" w:rsidRPr="00742A04">
        <w:t xml:space="preserve"> </w:t>
      </w:r>
      <w:r w:rsidR="00E83B7A" w:rsidRPr="00742A04">
        <w:t>con</w:t>
      </w:r>
      <w:r w:rsidR="00545D1B" w:rsidRPr="00742A04">
        <w:t xml:space="preserve"> </w:t>
      </w:r>
      <w:r w:rsidR="00E83B7A" w:rsidRPr="00742A04">
        <w:t>el sistema de calificación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, </w:t>
      </w:r>
      <w:r w:rsidR="00024DBC" w:rsidRPr="00742A04">
        <w:t>y que</w:t>
      </w:r>
      <w:r w:rsidR="00545D1B" w:rsidRPr="00742A04">
        <w:t xml:space="preserve"> </w:t>
      </w:r>
      <w:r w:rsidR="00E83B7A" w:rsidRPr="00742A04">
        <w:t>es</w:t>
      </w:r>
      <w:r w:rsidR="00545D1B" w:rsidRPr="00742A04">
        <w:t xml:space="preserve"> </w:t>
      </w:r>
      <w:r w:rsidR="00F43124" w:rsidRPr="00742A04">
        <w:t>nec</w:t>
      </w:r>
      <w:r w:rsidR="00F43124" w:rsidRPr="00742A04">
        <w:t>e</w:t>
      </w:r>
      <w:r w:rsidR="00F43124" w:rsidRPr="00742A04">
        <w:t>s</w:t>
      </w:r>
      <w:r w:rsidR="00E83B7A" w:rsidRPr="00742A04">
        <w:t>ario contar con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informa</w:t>
      </w:r>
      <w:r w:rsidR="00C14BFF" w:rsidRPr="00742A04">
        <w:t>ción en</w:t>
      </w:r>
      <w:r w:rsidR="00545D1B" w:rsidRPr="00742A04">
        <w:t xml:space="preserve"> </w:t>
      </w:r>
      <w:r w:rsidR="004A3F50" w:rsidRPr="00742A04">
        <w:t>esta esfera</w:t>
      </w:r>
      <w:r w:rsidR="00545D1B" w:rsidRPr="00742A04">
        <w:t>.</w:t>
      </w:r>
      <w:r w:rsidR="001167D2" w:rsidRPr="00742A04">
        <w:t xml:space="preserve"> </w:t>
      </w:r>
      <w:r w:rsidR="00E83B7A" w:rsidRPr="00742A04">
        <w:t>E</w:t>
      </w:r>
      <w:r w:rsidR="001167D2" w:rsidRPr="00742A04">
        <w:t>l</w:t>
      </w:r>
      <w:r w:rsidR="00E83B7A"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="00E83B7A" w:rsidRPr="00742A04">
        <w:t>recomienda</w:t>
      </w:r>
      <w:r w:rsidR="00545D1B" w:rsidRPr="00742A04">
        <w:t xml:space="preserve"> </w:t>
      </w:r>
      <w:r w:rsidR="00E83B7A" w:rsidRPr="00742A04">
        <w:t>que</w:t>
      </w:r>
      <w:r w:rsidR="00545D1B" w:rsidRPr="00742A04">
        <w:t xml:space="preserve"> </w:t>
      </w:r>
      <w:r w:rsidR="00E83B7A" w:rsidRPr="00742A04">
        <w:t>la</w:t>
      </w:r>
      <w:r w:rsidR="00545D1B" w:rsidRPr="00742A04">
        <w:t xml:space="preserve"> </w:t>
      </w:r>
      <w:r w:rsidR="00032AA7" w:rsidRPr="00742A04">
        <w:t>per</w:t>
      </w:r>
      <w:r w:rsidR="00032AA7" w:rsidRPr="00742A04">
        <w:t>s</w:t>
      </w:r>
      <w:r w:rsidR="00032AA7" w:rsidRPr="00742A04">
        <w:t>pectiva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844FDB" w:rsidRPr="00742A04">
        <w:t>la</w:t>
      </w:r>
      <w:r w:rsidR="00E83B7A" w:rsidRPr="00742A04">
        <w:t>s futuras</w:t>
      </w:r>
      <w:r w:rsidR="00844FDB" w:rsidRPr="00742A04">
        <w:t xml:space="preserve"> investigaci</w:t>
      </w:r>
      <w:r w:rsidR="00E83B7A" w:rsidRPr="00742A04">
        <w:t>ones se oriente</w:t>
      </w:r>
      <w:r w:rsidR="00545D1B" w:rsidRPr="00742A04">
        <w:t xml:space="preserve"> </w:t>
      </w:r>
      <w:r w:rsidR="00E83B7A" w:rsidRPr="00742A04">
        <w:t>e</w:t>
      </w:r>
      <w:r w:rsidR="00982243" w:rsidRPr="00742A04">
        <w:t xml:space="preserve">n mayor grado </w:t>
      </w:r>
      <w:r w:rsidR="00E83B7A" w:rsidRPr="00742A04">
        <w:t>hacia</w:t>
      </w:r>
      <w:r w:rsidR="00545D1B" w:rsidRPr="00742A04">
        <w:t xml:space="preserve"> </w:t>
      </w:r>
      <w:r w:rsidR="00E83B7A" w:rsidRPr="00742A04">
        <w:t xml:space="preserve">la </w:t>
      </w:r>
      <w:r w:rsidR="00502E16" w:rsidRPr="00742A04">
        <w:t>igualdad</w:t>
      </w:r>
      <w:r w:rsidR="00545D1B" w:rsidRPr="00742A04">
        <w:t xml:space="preserve"> </w:t>
      </w:r>
      <w:r w:rsidR="00E83B7A" w:rsidRPr="00742A04">
        <w:t xml:space="preserve">financiera de las mujeres </w:t>
      </w:r>
      <w:r w:rsidR="00877AA0" w:rsidRPr="00742A04">
        <w:t>y</w:t>
      </w:r>
      <w:r w:rsidR="00545D1B" w:rsidRPr="00742A04">
        <w:t xml:space="preserve"> </w:t>
      </w:r>
      <w:r w:rsidR="00552CFE" w:rsidRPr="00742A04">
        <w:t xml:space="preserve">los </w:t>
      </w:r>
      <w:r w:rsidR="00657260" w:rsidRPr="00742A04">
        <w:t>factores</w:t>
      </w:r>
      <w:r w:rsidR="00545D1B" w:rsidRPr="00742A04">
        <w:t xml:space="preserve"> </w:t>
      </w:r>
      <w:r w:rsidR="00E83B7A" w:rsidRPr="00742A04">
        <w:t>que determinan que tengan</w:t>
      </w:r>
      <w:r w:rsidR="00545D1B" w:rsidRPr="00742A04">
        <w:t xml:space="preserve"> </w:t>
      </w:r>
      <w:r w:rsidR="00E83B7A" w:rsidRPr="00742A04">
        <w:t>una</w:t>
      </w:r>
      <w:r w:rsidR="00545D1B" w:rsidRPr="00742A04">
        <w:t xml:space="preserve"> posi</w:t>
      </w:r>
      <w:r w:rsidR="00C14BFF" w:rsidRPr="00742A04">
        <w:t xml:space="preserve">ción </w:t>
      </w:r>
      <w:r w:rsidR="00E83B7A" w:rsidRPr="00742A04">
        <w:t>i</w:t>
      </w:r>
      <w:r w:rsidR="00E83B7A" w:rsidRPr="00742A04">
        <w:t>n</w:t>
      </w:r>
      <w:r w:rsidR="00E83B7A" w:rsidRPr="00742A04">
        <w:t xml:space="preserve">ferior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>.</w:t>
      </w:r>
      <w:r w:rsidR="001167D2" w:rsidRPr="00742A04">
        <w:t xml:space="preserve"> </w:t>
      </w:r>
      <w:r w:rsidR="00E83B7A" w:rsidRPr="00742A04">
        <w:t>E</w:t>
      </w:r>
      <w:r w:rsidR="001167D2" w:rsidRPr="00742A04">
        <w:t>l</w:t>
      </w:r>
      <w:r w:rsidR="00E83B7A"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="00E83B7A" w:rsidRPr="00742A04">
        <w:t>fortalece el supuesto de que</w:t>
      </w:r>
      <w:r w:rsidR="00545D1B" w:rsidRPr="00742A04">
        <w:t xml:space="preserve"> </w:t>
      </w:r>
      <w:r w:rsidR="00855B3B" w:rsidRPr="00742A04">
        <w:t>las mujeres inm</w:t>
      </w:r>
      <w:r w:rsidR="00855B3B" w:rsidRPr="00742A04">
        <w:t>i</w:t>
      </w:r>
      <w:r w:rsidR="00855B3B" w:rsidRPr="00742A04">
        <w:t>grantes</w:t>
      </w:r>
      <w:r w:rsidR="00545D1B" w:rsidRPr="00742A04">
        <w:t xml:space="preserve"> </w:t>
      </w:r>
      <w:r w:rsidR="00E83B7A" w:rsidRPr="00742A04">
        <w:t>se enfrentan a</w:t>
      </w:r>
      <w:r w:rsidR="00545D1B" w:rsidRPr="00742A04">
        <w:t xml:space="preserve"> </w:t>
      </w:r>
      <w:r w:rsidR="00A60159" w:rsidRPr="00742A04">
        <w:t>obstáculo</w:t>
      </w:r>
      <w:r w:rsidR="00545D1B" w:rsidRPr="00742A04">
        <w:t xml:space="preserve">s </w:t>
      </w:r>
      <w:r w:rsidR="00E83B7A" w:rsidRPr="00742A04">
        <w:t xml:space="preserve">especiales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lab</w:t>
      </w:r>
      <w:r w:rsidR="00AD0883" w:rsidRPr="00742A04">
        <w:t>o</w:t>
      </w:r>
      <w:r w:rsidR="00AD0883" w:rsidRPr="00742A04">
        <w:t>ral</w:t>
      </w:r>
      <w:r w:rsidR="00545D1B" w:rsidRPr="00742A04">
        <w:t>.</w:t>
      </w:r>
    </w:p>
    <w:p w:rsidR="000A08D8" w:rsidRPr="00742A04" w:rsidRDefault="00E83B7A" w:rsidP="006B5613">
      <w:pPr>
        <w:pStyle w:val="SingleTxt"/>
        <w:ind w:firstLine="475"/>
      </w:pPr>
      <w:r w:rsidRPr="00742A04">
        <w:t>Los inmigrantes de segunda generación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 </w:t>
      </w:r>
      <w:r w:rsidRPr="00742A04">
        <w:t>grupo de población joven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a</w:t>
      </w:r>
      <w:r w:rsidRPr="00742A04">
        <w:t>c</w:t>
      </w:r>
      <w:r w:rsidRPr="00742A04">
        <w:t xml:space="preserve">tualmente </w:t>
      </w:r>
      <w:r w:rsidR="00CE7870" w:rsidRPr="00742A04">
        <w:t>muchos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ellos</w:t>
      </w:r>
      <w:r w:rsidR="00545D1B" w:rsidRPr="00742A04">
        <w:t xml:space="preserve"> </w:t>
      </w:r>
      <w:r w:rsidRPr="00742A04">
        <w:t>están</w:t>
      </w:r>
      <w:r w:rsidR="00545D1B" w:rsidRPr="00742A04">
        <w:t xml:space="preserve"> </w:t>
      </w:r>
      <w:r w:rsidRPr="00742A04">
        <w:t>asistiendo a</w:t>
      </w:r>
      <w:r w:rsidR="00545D1B" w:rsidRPr="00742A04">
        <w:t xml:space="preserve"> </w:t>
      </w:r>
      <w:r w:rsidRPr="00742A04">
        <w:t>instituciones educacionales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Pr="00742A04">
        <w:t>han entrado aún en</w:t>
      </w:r>
      <w:r w:rsidR="00545D1B" w:rsidRPr="00742A04">
        <w:t xml:space="preserve"> </w:t>
      </w:r>
      <w:r w:rsidR="00434891" w:rsidRPr="00742A04">
        <w:t>el mercado de trabajo</w:t>
      </w:r>
      <w:r w:rsidR="00545D1B" w:rsidRPr="00742A04">
        <w:t xml:space="preserve">. </w:t>
      </w:r>
      <w:r w:rsidR="001A2831" w:rsidRPr="00742A04">
        <w:t>L</w:t>
      </w:r>
      <w:r w:rsidR="00ED6A69" w:rsidRPr="00742A04">
        <w:t>as cifras</w:t>
      </w:r>
      <w:r w:rsidR="00545D1B" w:rsidRPr="00742A04">
        <w:t xml:space="preserve"> </w:t>
      </w:r>
      <w:r w:rsidR="001A2831" w:rsidRPr="00742A04">
        <w:t xml:space="preserve">del empleo </w:t>
      </w:r>
      <w:r w:rsidRPr="00742A04">
        <w:t>de finales del</w:t>
      </w:r>
      <w:r w:rsidR="00545D1B" w:rsidRPr="00742A04">
        <w:t xml:space="preserve"> </w:t>
      </w:r>
      <w:r w:rsidR="00AC5D28" w:rsidRPr="00742A04">
        <w:t>cuarto</w:t>
      </w:r>
      <w:r w:rsidR="00545D1B" w:rsidRPr="00742A04">
        <w:t xml:space="preserve"> </w:t>
      </w:r>
      <w:r w:rsidR="008C4612" w:rsidRPr="00742A04">
        <w:t>tr</w:t>
      </w:r>
      <w:r w:rsidR="008C4612" w:rsidRPr="00742A04">
        <w:t>i</w:t>
      </w:r>
      <w:r w:rsidR="008C4612" w:rsidRPr="00742A04">
        <w:t xml:space="preserve">mestre de </w:t>
      </w:r>
      <w:r w:rsidR="00545D1B" w:rsidRPr="00742A04">
        <w:t xml:space="preserve">2004 </w:t>
      </w:r>
      <w:r w:rsidR="00ED6A69" w:rsidRPr="00742A04">
        <w:t>indican que</w:t>
      </w:r>
      <w:r w:rsidR="00862777">
        <w:t xml:space="preserve"> estaban empleados</w:t>
      </w:r>
      <w:r w:rsidR="00545D1B" w:rsidRPr="00742A04">
        <w:t xml:space="preserve"> </w:t>
      </w:r>
      <w:r w:rsidR="00A836A1" w:rsidRPr="00742A04">
        <w:t>aproximadamente</w:t>
      </w:r>
      <w:r w:rsidRPr="00742A04">
        <w:t xml:space="preserve"> el</w:t>
      </w:r>
      <w:r w:rsidR="00545D1B" w:rsidRPr="00742A04">
        <w:t xml:space="preserve"> 66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 i</w:t>
      </w:r>
      <w:r w:rsidRPr="00742A04">
        <w:t>n</w:t>
      </w:r>
      <w:r w:rsidRPr="00742A04">
        <w:t>migrantes de segunda generación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A2831" w:rsidRPr="00742A04">
        <w:t>el</w:t>
      </w:r>
      <w:r w:rsidR="00545D1B" w:rsidRPr="00742A04">
        <w:t xml:space="preserve"> </w:t>
      </w:r>
      <w:r w:rsidR="001A2831" w:rsidRPr="00742A04">
        <w:t>grupo de edades de 20 a 24 años</w:t>
      </w:r>
      <w:r w:rsidR="00545D1B" w:rsidRPr="00742A04">
        <w:t xml:space="preserve">, </w:t>
      </w:r>
      <w:r w:rsidR="00E73E8E" w:rsidRPr="00742A04">
        <w:t>en comp</w:t>
      </w:r>
      <w:r w:rsidR="00E73E8E" w:rsidRPr="00742A04">
        <w:t>a</w:t>
      </w:r>
      <w:r w:rsidR="00E73E8E" w:rsidRPr="00742A04">
        <w:t>ración con</w:t>
      </w:r>
      <w:r w:rsidR="00545D1B" w:rsidRPr="00742A04">
        <w:t xml:space="preserve"> </w:t>
      </w:r>
      <w:r w:rsidR="00862777">
        <w:t xml:space="preserve">el </w:t>
      </w:r>
      <w:r w:rsidR="00545D1B" w:rsidRPr="00742A04">
        <w:t>50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A2831" w:rsidRPr="00742A04">
        <w:t>los inmigrantes de primera generación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1A2831" w:rsidRPr="00742A04">
        <w:t>la población no i</w:t>
      </w:r>
      <w:r w:rsidR="001A2831" w:rsidRPr="00742A04">
        <w:t>n</w:t>
      </w:r>
      <w:r w:rsidR="001A2831" w:rsidRPr="00742A04">
        <w:t>migrante</w:t>
      </w:r>
      <w:r w:rsidR="00935A90" w:rsidRPr="00742A04">
        <w:t>,</w:t>
      </w:r>
      <w:r w:rsidR="00545D1B" w:rsidRPr="00742A04">
        <w:t xml:space="preserve"> </w:t>
      </w:r>
      <w:r w:rsidR="00355BCE" w:rsidRPr="00742A04">
        <w:t>la tasa de empleo</w:t>
      </w:r>
      <w:r w:rsidR="00545D1B" w:rsidRPr="00742A04">
        <w:t xml:space="preserve"> </w:t>
      </w:r>
      <w:r w:rsidR="00C14BFF" w:rsidRPr="00742A04">
        <w:t>en</w:t>
      </w:r>
      <w:r w:rsidR="003D6667" w:rsidRPr="00742A04">
        <w:t xml:space="preserve"> </w:t>
      </w:r>
      <w:r w:rsidR="00862777">
        <w:t xml:space="preserve">este grupo </w:t>
      </w:r>
      <w:r w:rsidR="003D6667" w:rsidRPr="00742A04">
        <w:t>de edades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1A2831" w:rsidRPr="00742A04">
        <w:t xml:space="preserve">del </w:t>
      </w:r>
      <w:r w:rsidR="00545D1B" w:rsidRPr="00742A04">
        <w:t>71</w:t>
      </w:r>
      <w:r w:rsidR="00E270D5" w:rsidRPr="00742A04">
        <w:t>,6%</w:t>
      </w:r>
      <w:r w:rsidR="00545D1B" w:rsidRPr="00742A04">
        <w:t xml:space="preserve">. </w:t>
      </w:r>
      <w:r w:rsidR="00495D7B" w:rsidRPr="00742A04">
        <w:t>Un</w:t>
      </w:r>
      <w:r w:rsidR="00545D1B" w:rsidRPr="00742A04">
        <w:t xml:space="preserve"> </w:t>
      </w:r>
      <w:r w:rsidR="00544B38" w:rsidRPr="00742A04">
        <w:t>aspecto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A2831" w:rsidRPr="00742A04">
        <w:t xml:space="preserve">la situación de </w:t>
      </w:r>
      <w:r w:rsidRPr="00742A04">
        <w:t>los inmigrantes de segunda generación</w:t>
      </w:r>
      <w:r w:rsidR="00545D1B" w:rsidRPr="00742A04">
        <w:t xml:space="preserve"> </w:t>
      </w:r>
      <w:r w:rsidR="001A2831" w:rsidRPr="00742A04">
        <w:t xml:space="preserve">de origen no occidental </w:t>
      </w:r>
      <w:r w:rsidR="003315C7" w:rsidRPr="00742A04">
        <w:t>en mat</w:t>
      </w:r>
      <w:r w:rsidR="003315C7" w:rsidRPr="00742A04">
        <w:t>e</w:t>
      </w:r>
      <w:r w:rsidR="003315C7" w:rsidRPr="00742A04">
        <w:t>ria de empleo</w:t>
      </w:r>
      <w:r w:rsidR="00C14BFF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1A2831" w:rsidRPr="00742A04">
        <w:t>el gran</w:t>
      </w:r>
      <w:r w:rsidR="00545D1B" w:rsidRPr="00742A04">
        <w:t xml:space="preserve"> </w:t>
      </w:r>
      <w:r w:rsidR="001C62F9" w:rsidRPr="00742A04">
        <w:t>porcentaje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A2831" w:rsidRPr="00742A04">
        <w:t>mujeres jóvenes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1A2831" w:rsidRPr="00742A04">
        <w:t>están empleadas</w:t>
      </w:r>
      <w:r w:rsidR="00545D1B" w:rsidRPr="00742A04">
        <w:t xml:space="preserve">. </w:t>
      </w:r>
      <w:r w:rsidR="001A2831" w:rsidRPr="00742A04">
        <w:t>C</w:t>
      </w:r>
      <w:r w:rsidR="000A5430" w:rsidRPr="00742A04">
        <w:t>ontr</w:t>
      </w:r>
      <w:r w:rsidR="000A5430" w:rsidRPr="00742A04">
        <w:t>i</w:t>
      </w:r>
      <w:r w:rsidR="000A5430" w:rsidRPr="00742A04">
        <w:t>bu</w:t>
      </w:r>
      <w:r w:rsidR="001A2831" w:rsidRPr="00742A04">
        <w:t>yen</w:t>
      </w:r>
      <w:r w:rsidR="00545D1B" w:rsidRPr="00742A04">
        <w:t xml:space="preserve"> </w:t>
      </w:r>
      <w:r w:rsidR="001A2831" w:rsidRPr="00742A04">
        <w:t>a elevar</w:t>
      </w:r>
      <w:r w:rsidR="00545D1B" w:rsidRPr="00742A04">
        <w:t xml:space="preserve"> </w:t>
      </w:r>
      <w:r w:rsidR="00355BCE" w:rsidRPr="00742A04">
        <w:t>la tasa de empleo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Pr="00742A04">
        <w:t>los inmigrantes de segunda generación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D710E" w:rsidRPr="00742A04">
        <w:t>comparación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1A2831" w:rsidRPr="00742A04">
        <w:t>los inmigrantes de primera generación</w:t>
      </w:r>
      <w:r w:rsidR="00545D1B" w:rsidRPr="00742A04">
        <w:t xml:space="preserve">. </w:t>
      </w:r>
      <w:r w:rsidR="001A2831" w:rsidRPr="00742A04">
        <w:t>Una comprobación inesp</w:t>
      </w:r>
      <w:r w:rsidR="001A2831" w:rsidRPr="00742A04">
        <w:t>e</w:t>
      </w:r>
      <w:r w:rsidR="001A2831" w:rsidRPr="00742A04">
        <w:t>rada</w:t>
      </w:r>
      <w:r w:rsidR="00545D1B" w:rsidRPr="00742A04">
        <w:t xml:space="preserve"> </w:t>
      </w:r>
      <w:r w:rsidR="0081178E" w:rsidRPr="00742A04">
        <w:t>es 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A2831" w:rsidRPr="00742A04">
        <w:t>el</w:t>
      </w:r>
      <w:r w:rsidR="00545D1B" w:rsidRPr="00742A04">
        <w:t xml:space="preserve"> </w:t>
      </w:r>
      <w:r w:rsidR="001A2831" w:rsidRPr="00742A04">
        <w:t>grupo de edades de 20 a 24 años los inmigrantes de segunda gen</w:t>
      </w:r>
      <w:r w:rsidR="001A2831" w:rsidRPr="00742A04">
        <w:t>e</w:t>
      </w:r>
      <w:r w:rsidR="001A2831" w:rsidRPr="00742A04">
        <w:t xml:space="preserve">ración </w:t>
      </w:r>
      <w:r w:rsidR="008C4612" w:rsidRPr="00742A04">
        <w:t xml:space="preserve">de </w:t>
      </w:r>
      <w:r w:rsidR="00AE29D3" w:rsidRPr="00742A04">
        <w:t>origen no occidental</w:t>
      </w:r>
      <w:r w:rsidR="00545D1B" w:rsidRPr="00742A04">
        <w:t xml:space="preserve"> </w:t>
      </w:r>
      <w:r w:rsidR="001A2831" w:rsidRPr="00742A04">
        <w:t xml:space="preserve">es mayor </w:t>
      </w:r>
      <w:r w:rsidR="00355BCE" w:rsidRPr="00742A04">
        <w:t>la tasa de empleo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A2831" w:rsidRPr="00742A04">
        <w:t xml:space="preserve"> las </w:t>
      </w:r>
      <w:r w:rsidR="00072AD7" w:rsidRPr="00742A04">
        <w:t>mujeres</w:t>
      </w:r>
      <w:r w:rsidR="00545D1B" w:rsidRPr="00742A04">
        <w:t xml:space="preserve"> (67</w:t>
      </w:r>
      <w:r w:rsidR="001167D2" w:rsidRPr="00742A04">
        <w:t>%</w:t>
      </w:r>
      <w:r w:rsidR="00545D1B" w:rsidRPr="00742A04">
        <w:t xml:space="preserve">) </w:t>
      </w:r>
      <w:r w:rsidR="005C6D40" w:rsidRPr="00742A04">
        <w:t>que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A2831" w:rsidRPr="00742A04">
        <w:t xml:space="preserve">los </w:t>
      </w:r>
      <w:r w:rsidR="00072AD7" w:rsidRPr="00742A04">
        <w:t>hombres</w:t>
      </w:r>
      <w:r w:rsidR="00545D1B" w:rsidRPr="00742A04">
        <w:t xml:space="preserve"> (65</w:t>
      </w:r>
      <w:r w:rsidR="001167D2" w:rsidRPr="00742A04">
        <w:t>%</w:t>
      </w:r>
      <w:r w:rsidR="00545D1B" w:rsidRPr="00742A04">
        <w:t xml:space="preserve">). </w:t>
      </w:r>
      <w:r w:rsidR="001D532F" w:rsidRPr="00742A04">
        <w:t>Entre</w:t>
      </w:r>
      <w:r w:rsidR="00545D1B" w:rsidRPr="00742A04">
        <w:t xml:space="preserve"> </w:t>
      </w:r>
      <w:r w:rsidR="001A2831" w:rsidRPr="00742A04">
        <w:t>los inmigrantes de primera generación</w:t>
      </w:r>
      <w:r w:rsidR="00545D1B" w:rsidRPr="00742A04">
        <w:t xml:space="preserve"> </w:t>
      </w:r>
      <w:r w:rsidR="00355BCE" w:rsidRPr="00742A04">
        <w:t>la tasa de empleo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1A2831" w:rsidRPr="00742A04">
        <w:t xml:space="preserve">un </w:t>
      </w:r>
      <w:r w:rsidR="00545D1B" w:rsidRPr="00742A04">
        <w:t>8</w:t>
      </w:r>
      <w:r w:rsidR="001167D2" w:rsidRPr="00742A04">
        <w:t>%</w:t>
      </w:r>
      <w:r w:rsidR="00545D1B" w:rsidRPr="00742A04">
        <w:t xml:space="preserve"> </w:t>
      </w:r>
      <w:r w:rsidR="006A0F02" w:rsidRPr="00742A04">
        <w:t>mayor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A2831" w:rsidRPr="00742A04">
        <w:t xml:space="preserve">los </w:t>
      </w:r>
      <w:r w:rsidR="00072AD7" w:rsidRPr="00742A04">
        <w:t>hombres</w:t>
      </w:r>
      <w:r w:rsidR="00545D1B" w:rsidRPr="00742A04">
        <w:t xml:space="preserve"> (46</w:t>
      </w:r>
      <w:r w:rsidR="001167D2" w:rsidRPr="00742A04">
        <w:t>%</w:t>
      </w:r>
      <w:r w:rsidR="00545D1B" w:rsidRPr="00742A04">
        <w:t xml:space="preserve"> </w:t>
      </w:r>
      <w:r w:rsidR="00E73E8E" w:rsidRPr="00742A04">
        <w:t>en comparación con</w:t>
      </w:r>
      <w:r w:rsidR="00545D1B" w:rsidRPr="00742A04">
        <w:t xml:space="preserve"> 54</w:t>
      </w:r>
      <w:r w:rsidR="001167D2" w:rsidRPr="00742A04">
        <w:t>%</w:t>
      </w:r>
      <w:r w:rsidR="00545D1B" w:rsidRPr="00742A04">
        <w:t xml:space="preserve">), </w:t>
      </w:r>
      <w:r w:rsidR="00B8584B" w:rsidRPr="00742A04">
        <w:t>mie</w:t>
      </w:r>
      <w:r w:rsidR="00B8584B" w:rsidRPr="00742A04">
        <w:t>n</w:t>
      </w:r>
      <w:r w:rsidR="00B8584B" w:rsidRPr="00742A04">
        <w:t>tras que</w:t>
      </w:r>
      <w:r w:rsidR="00545D1B" w:rsidRPr="00742A04">
        <w:t xml:space="preserve"> </w:t>
      </w:r>
      <w:r w:rsidR="00355BCE" w:rsidRPr="00742A04">
        <w:t>la tasa de empleo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A2831" w:rsidRPr="00742A04">
        <w:t>los no inmigrantes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</w:t>
      </w:r>
      <w:r w:rsidR="003C25BF" w:rsidRPr="00742A04">
        <w:t>la misma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A2831" w:rsidRPr="00742A04">
        <w:t>ambos</w:t>
      </w:r>
      <w:r w:rsidR="00545D1B" w:rsidRPr="00742A04">
        <w:t xml:space="preserve"> </w:t>
      </w:r>
      <w:r w:rsidR="009F34B6" w:rsidRPr="00742A04">
        <w:t>sexos</w:t>
      </w:r>
      <w:r w:rsidR="00545D1B" w:rsidRPr="00742A04">
        <w:t xml:space="preserve"> (</w:t>
      </w:r>
      <w:r w:rsidR="001A2831" w:rsidRPr="00742A04">
        <w:t>aproximadamente el 71,</w:t>
      </w:r>
      <w:r w:rsidR="00545D1B" w:rsidRPr="00742A04">
        <w:t>5</w:t>
      </w:r>
      <w:r w:rsidR="001167D2" w:rsidRPr="00742A04">
        <w:t>%</w:t>
      </w:r>
      <w:r w:rsidR="00545D1B" w:rsidRPr="00742A04">
        <w:t>)</w:t>
      </w:r>
      <w:r w:rsidR="000A08D8" w:rsidRPr="00742A04">
        <w:t>.</w:t>
      </w:r>
    </w:p>
    <w:p w:rsidR="00545D1B" w:rsidRPr="00742A04" w:rsidRDefault="004A0730" w:rsidP="006B5613">
      <w:pPr>
        <w:pStyle w:val="SingleTxt"/>
        <w:ind w:firstLine="475"/>
      </w:pPr>
      <w:r w:rsidRPr="00742A04">
        <w:t>En</w:t>
      </w:r>
      <w:r w:rsidR="00545D1B" w:rsidRPr="00742A04">
        <w:t xml:space="preserve"> 2004 </w:t>
      </w: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C93381" w:rsidRPr="00742A04">
        <w:t>Gobierno Local y Desarrollo Regional</w:t>
      </w:r>
      <w:r w:rsidR="00545D1B" w:rsidRPr="00742A04">
        <w:t xml:space="preserve"> </w:t>
      </w:r>
      <w:r w:rsidR="001A2831" w:rsidRPr="00742A04">
        <w:t xml:space="preserve">prestó </w:t>
      </w:r>
      <w:r w:rsidR="00893DF9" w:rsidRPr="00742A04">
        <w:t>apoyo</w:t>
      </w:r>
      <w:r w:rsidR="001A2831" w:rsidRPr="00742A04">
        <w:t xml:space="preserve"> para</w:t>
      </w:r>
      <w:r w:rsidR="00545D1B" w:rsidRPr="00742A04">
        <w:t xml:space="preserve"> </w:t>
      </w:r>
      <w:r w:rsidR="002213CF" w:rsidRPr="00742A04">
        <w:t>el proyecto</w:t>
      </w:r>
      <w:r w:rsidR="00545D1B" w:rsidRPr="00742A04">
        <w:t xml:space="preserve"> “</w:t>
      </w:r>
      <w:r w:rsidR="001A2831" w:rsidRPr="00742A04">
        <w:t>Diez</w:t>
      </w:r>
      <w:r w:rsidR="00545D1B" w:rsidRPr="00742A04">
        <w:t xml:space="preserve"> </w:t>
      </w:r>
      <w:r w:rsidR="00072AD7" w:rsidRPr="00742A04">
        <w:t>Mujeres</w:t>
      </w:r>
      <w:r w:rsidR="001A2831" w:rsidRPr="00742A04">
        <w:t xml:space="preserve"> Internacionales de Primera Fila</w:t>
      </w:r>
      <w:r w:rsidR="00545D1B" w:rsidRPr="00742A04">
        <w:t xml:space="preserve">”, </w:t>
      </w:r>
      <w:r w:rsidR="00E575DB" w:rsidRPr="00742A04">
        <w:t>que</w:t>
      </w:r>
      <w:r w:rsidR="00545D1B" w:rsidRPr="00742A04">
        <w:t xml:space="preserve"> continu</w:t>
      </w:r>
      <w:r w:rsidR="001A2831" w:rsidRPr="00742A04">
        <w:t>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2005. </w:t>
      </w:r>
      <w:r w:rsidR="00837D84" w:rsidRPr="00742A04">
        <w:t>El objetivo</w:t>
      </w:r>
      <w:r w:rsidR="00545D1B" w:rsidRPr="00742A04">
        <w:t xml:space="preserve"> </w:t>
      </w:r>
      <w:r w:rsidR="0077058E" w:rsidRPr="00742A04">
        <w:t>del proyecto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837D84" w:rsidRPr="00742A04">
        <w:t>elev</w:t>
      </w:r>
      <w:r w:rsidR="00242371" w:rsidRPr="00742A04">
        <w:t>ar</w:t>
      </w:r>
      <w:r w:rsidR="00545D1B" w:rsidRPr="00742A04">
        <w:t xml:space="preserve"> </w:t>
      </w:r>
      <w:r w:rsidR="00B31D97" w:rsidRPr="00742A04">
        <w:t>el nivel de conciencia</w:t>
      </w:r>
      <w:r w:rsidR="00545D1B" w:rsidRPr="00742A04">
        <w:t xml:space="preserve"> </w:t>
      </w:r>
      <w:r w:rsidR="00837D84" w:rsidRPr="00742A04">
        <w:t xml:space="preserve">acerca </w:t>
      </w:r>
      <w:r w:rsidRPr="00742A04">
        <w:t>de</w:t>
      </w:r>
      <w:r w:rsidR="00545D1B" w:rsidRPr="00742A04">
        <w:t xml:space="preserve"> </w:t>
      </w:r>
      <w:r w:rsidR="00837D84" w:rsidRPr="00742A04">
        <w:t>la comp</w:t>
      </w:r>
      <w:r w:rsidR="00837D84" w:rsidRPr="00742A04">
        <w:t>e</w:t>
      </w:r>
      <w:r w:rsidR="00837D84" w:rsidRPr="00742A04">
        <w:t>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37D84" w:rsidRPr="00742A04">
        <w:t>las aptitudes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855B3B" w:rsidRPr="00742A04">
        <w:t>las mujeres inmigrantes</w:t>
      </w:r>
      <w:r w:rsidR="00545D1B" w:rsidRPr="00742A04">
        <w:t xml:space="preserve">, </w:t>
      </w:r>
      <w:r w:rsidR="007C3856" w:rsidRPr="00742A04">
        <w:t>especialmente</w:t>
      </w:r>
      <w:r w:rsidR="00545D1B" w:rsidRPr="00742A04">
        <w:t xml:space="preserve"> </w:t>
      </w:r>
      <w:r w:rsidR="00811D75" w:rsidRPr="00742A04">
        <w:t xml:space="preserve">las </w:t>
      </w:r>
      <w:r w:rsidR="00837D84" w:rsidRPr="00742A04">
        <w:t>provenientes de</w:t>
      </w:r>
      <w:r w:rsidR="00AE29D3" w:rsidRPr="00742A04">
        <w:t xml:space="preserve"> </w:t>
      </w:r>
      <w:r w:rsidR="00837D84" w:rsidRPr="00742A04">
        <w:t xml:space="preserve">países </w:t>
      </w:r>
      <w:r w:rsidR="00AE29D3" w:rsidRPr="00742A04">
        <w:t>no occidental</w:t>
      </w:r>
      <w:r w:rsidR="00837D84" w:rsidRPr="00742A04">
        <w:t>es,</w:t>
      </w:r>
      <w:r w:rsidR="00545D1B" w:rsidRPr="00742A04">
        <w:t xml:space="preserve"> </w:t>
      </w:r>
      <w:r w:rsidR="00837D84" w:rsidRPr="00742A04">
        <w:t>y promover el reconocimiento de su competencia y sus apt</w:t>
      </w:r>
      <w:r w:rsidR="00837D84" w:rsidRPr="00742A04">
        <w:t>i</w:t>
      </w:r>
      <w:r w:rsidR="00837D84" w:rsidRPr="00742A04">
        <w:t>tudes en la vida laboral de Noruega</w:t>
      </w:r>
      <w:r w:rsidR="00545D1B" w:rsidRPr="00742A04">
        <w:t xml:space="preserve">. </w:t>
      </w:r>
      <w:r w:rsidR="00837D84" w:rsidRPr="00742A04">
        <w:t>Se procura alcanzar ese objetivo encontrando</w:t>
      </w:r>
      <w:r w:rsidR="00545D1B" w:rsidRPr="00742A04">
        <w:t xml:space="preserve"> </w:t>
      </w:r>
      <w:r w:rsidR="005C19C7" w:rsidRPr="00742A04">
        <w:t>bue</w:t>
      </w:r>
      <w:r w:rsidR="00837D84" w:rsidRPr="00742A04">
        <w:t>no</w:t>
      </w:r>
      <w:r w:rsidR="005C19C7" w:rsidRPr="00742A04">
        <w:t>s</w:t>
      </w:r>
      <w:r w:rsidR="00545D1B" w:rsidRPr="00742A04">
        <w:t xml:space="preserve"> </w:t>
      </w:r>
      <w:r w:rsidR="00502E16" w:rsidRPr="00742A04">
        <w:t>ejemplos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C19C7" w:rsidRPr="00742A04">
        <w:t xml:space="preserve">han </w:t>
      </w:r>
      <w:r w:rsidR="00837D84" w:rsidRPr="00742A04">
        <w:t>tenido éxito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describi</w:t>
      </w:r>
      <w:r w:rsidR="00837D84" w:rsidRPr="00742A04">
        <w:t>endo</w:t>
      </w:r>
      <w:r w:rsidR="00545D1B" w:rsidRPr="00742A04">
        <w:t xml:space="preserve"> </w:t>
      </w:r>
      <w:r w:rsidR="00F97F41" w:rsidRPr="00742A04">
        <w:t>su</w:t>
      </w:r>
      <w:r w:rsidR="00837D84" w:rsidRPr="00742A04">
        <w:t>s</w:t>
      </w:r>
      <w:r w:rsidR="00545D1B" w:rsidRPr="00742A04">
        <w:t xml:space="preserve"> </w:t>
      </w:r>
      <w:r w:rsidR="00B2334F" w:rsidRPr="00742A04">
        <w:t>estrategias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37D84" w:rsidRPr="00742A04">
        <w:t>superar los</w:t>
      </w:r>
      <w:r w:rsidR="00545D1B" w:rsidRPr="00742A04">
        <w:t xml:space="preserve"> </w:t>
      </w:r>
      <w:r w:rsidR="00A60159" w:rsidRPr="00742A04">
        <w:t>obstáculo</w:t>
      </w:r>
      <w:r w:rsidR="00545D1B" w:rsidRPr="00742A04">
        <w:t xml:space="preserve">s. </w:t>
      </w:r>
      <w:r w:rsidR="00837D84" w:rsidRPr="00742A04">
        <w:t>Ello puede dar a otras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37D84" w:rsidRPr="00742A04">
        <w:t>una co</w:t>
      </w:r>
      <w:r w:rsidR="00837D84" w:rsidRPr="00742A04">
        <w:t>m</w:t>
      </w:r>
      <w:r w:rsidR="00837D84" w:rsidRPr="00742A04">
        <w:t>prensión de sus</w:t>
      </w:r>
      <w:r w:rsidR="00545D1B" w:rsidRPr="00742A04">
        <w:t xml:space="preserve"> </w:t>
      </w:r>
      <w:r w:rsidR="008F0C8E" w:rsidRPr="00742A04">
        <w:t>experiencia</w:t>
      </w:r>
      <w:r w:rsidR="00545D1B" w:rsidRPr="00742A04">
        <w:t xml:space="preserve">s </w:t>
      </w:r>
      <w:r w:rsidR="00837D84" w:rsidRPr="00742A04">
        <w:t>e inspirarles</w:t>
      </w:r>
      <w:r w:rsidR="00545D1B" w:rsidRPr="00742A04">
        <w:t xml:space="preserve"> ideas </w:t>
      </w:r>
      <w:r w:rsidR="00F43124" w:rsidRPr="00742A04">
        <w:t>para</w:t>
      </w:r>
      <w:r w:rsidR="00545D1B" w:rsidRPr="00742A04">
        <w:t xml:space="preserve"> </w:t>
      </w:r>
      <w:r w:rsidR="00837D84" w:rsidRPr="00742A04">
        <w:t xml:space="preserve">hallar </w:t>
      </w:r>
      <w:r w:rsidR="005C19C7" w:rsidRPr="00742A04">
        <w:t>buenas</w:t>
      </w:r>
      <w:r w:rsidR="00545D1B" w:rsidRPr="00742A04">
        <w:t xml:space="preserve"> </w:t>
      </w:r>
      <w:r w:rsidR="00B2334F" w:rsidRPr="00742A04">
        <w:t>estrategias</w:t>
      </w:r>
      <w:r w:rsidR="00545D1B" w:rsidRPr="00742A04">
        <w:t xml:space="preserve">. </w:t>
      </w:r>
      <w:r w:rsidR="00837D84" w:rsidRPr="00742A04">
        <w:t>Los medios de comunicación</w:t>
      </w:r>
      <w:r w:rsidR="00545D1B" w:rsidRPr="00742A04">
        <w:t xml:space="preserve"> </w:t>
      </w:r>
      <w:r w:rsidR="00837D84" w:rsidRPr="00742A04">
        <w:t>han demostrado interés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213CF" w:rsidRPr="00742A04">
        <w:t>el proyecto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37D84" w:rsidRPr="00742A04">
        <w:t>han contribuido a</w:t>
      </w:r>
      <w:r w:rsidR="00545D1B" w:rsidRPr="00742A04">
        <w:t xml:space="preserve"> </w:t>
      </w:r>
      <w:r w:rsidR="00C07ED9" w:rsidRPr="00742A04">
        <w:t>elevar el nivel de conciencia acerca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837D84" w:rsidRPr="00742A04">
        <w:t>las</w:t>
      </w:r>
      <w:r w:rsidR="00545D1B" w:rsidRPr="00742A04">
        <w:t xml:space="preserve"> </w:t>
      </w:r>
      <w:r w:rsidR="00A223F4" w:rsidRPr="00742A04">
        <w:t>candid</w:t>
      </w:r>
      <w:r w:rsidR="00A223F4" w:rsidRPr="00742A04">
        <w:t>a</w:t>
      </w:r>
      <w:r w:rsidR="00837D84" w:rsidRPr="00742A04">
        <w:t>ta</w:t>
      </w:r>
      <w:r w:rsidR="00A223F4" w:rsidRPr="00742A04">
        <w:t>s</w:t>
      </w:r>
      <w:r w:rsidR="00545D1B" w:rsidRPr="00742A04">
        <w:t>.</w:t>
      </w:r>
    </w:p>
    <w:p w:rsidR="00B32021" w:rsidRPr="00742A04" w:rsidRDefault="00B32021" w:rsidP="00837D84">
      <w:pPr>
        <w:pStyle w:val="H23"/>
        <w:keepNext w:val="0"/>
        <w:spacing w:line="120" w:lineRule="exact"/>
        <w:ind w:left="1267"/>
        <w:rPr>
          <w:bCs/>
          <w:sz w:val="10"/>
        </w:rPr>
      </w:pPr>
      <w:bookmarkStart w:id="56" w:name="_Toc147129471"/>
    </w:p>
    <w:p w:rsidR="00B32021" w:rsidRPr="00742A04" w:rsidRDefault="00814B5D" w:rsidP="00837D84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B32021" w:rsidRPr="00742A04">
        <w:rPr>
          <w:bCs/>
        </w:rPr>
        <w:t xml:space="preserve"> 11.1</w:t>
      </w:r>
      <w:r w:rsidR="00837D84" w:rsidRPr="00742A04">
        <w:rPr>
          <w:bCs/>
        </w:rPr>
        <w:t xml:space="preserve"> </w:t>
      </w:r>
      <w:r w:rsidR="00B32021" w:rsidRPr="00742A04">
        <w:rPr>
          <w:bCs/>
          <w:i/>
        </w:rPr>
        <w:t>b</w:t>
      </w:r>
    </w:p>
    <w:p w:rsidR="00545D1B" w:rsidRPr="00742A04" w:rsidRDefault="00A05847" w:rsidP="00837D84">
      <w:pPr>
        <w:pStyle w:val="H23"/>
        <w:ind w:left="1267"/>
        <w:rPr>
          <w:bCs/>
        </w:rPr>
      </w:pPr>
      <w:r w:rsidRPr="00742A04">
        <w:rPr>
          <w:bCs/>
        </w:rPr>
        <w:t>Igualdad de oportunidades en la vida laboral</w:t>
      </w:r>
      <w:bookmarkEnd w:id="56"/>
    </w:p>
    <w:p w:rsidR="00B32021" w:rsidRPr="00742A04" w:rsidRDefault="00B32021" w:rsidP="00837D84">
      <w:pPr>
        <w:pStyle w:val="H23"/>
        <w:ind w:left="1267"/>
        <w:rPr>
          <w:bCs/>
          <w:sz w:val="10"/>
        </w:rPr>
      </w:pPr>
    </w:p>
    <w:p w:rsidR="00545D1B" w:rsidRPr="00742A04" w:rsidRDefault="00837D84" w:rsidP="00D574C4">
      <w:pPr>
        <w:pStyle w:val="SingleTxt"/>
        <w:ind w:firstLine="475"/>
      </w:pPr>
      <w:r w:rsidRPr="00742A04">
        <w:t>El mercado de trabajo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u</w:t>
      </w:r>
      <w:r w:rsidR="00545D1B" w:rsidRPr="00742A04">
        <w:t xml:space="preserve">n </w:t>
      </w:r>
      <w:r w:rsidRPr="00742A04">
        <w:t xml:space="preserve">escenario </w:t>
      </w:r>
      <w:r w:rsidR="00AE7B93" w:rsidRPr="00742A04">
        <w:t>importante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02E16" w:rsidRPr="00742A04">
        <w:t>los esfuerzos</w:t>
      </w:r>
      <w:r w:rsidR="00EA6AC2" w:rsidRPr="00742A04">
        <w:t xml:space="preserve"> por </w:t>
      </w:r>
      <w:r w:rsidR="00B146CA" w:rsidRPr="00742A04">
        <w:t>pr</w:t>
      </w:r>
      <w:r w:rsidR="00B146CA" w:rsidRPr="00742A04">
        <w:t>o</w:t>
      </w:r>
      <w:r w:rsidR="00B146CA" w:rsidRPr="00742A04">
        <w:t>mover la igualdad</w:t>
      </w:r>
      <w:r w:rsidR="00A05847" w:rsidRPr="00742A04">
        <w:t xml:space="preserve">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en </w:t>
      </w:r>
      <w:r w:rsidR="00545D1B" w:rsidRPr="00742A04">
        <w:t>genera</w:t>
      </w:r>
      <w:r w:rsidR="005F7B32" w:rsidRPr="00742A04">
        <w:t>l</w:t>
      </w:r>
      <w:r w:rsidRPr="00742A04">
        <w:t xml:space="preserve"> para</w:t>
      </w:r>
      <w:r w:rsidR="005F7B32" w:rsidRPr="00742A04">
        <w:t xml:space="preserve"> </w:t>
      </w:r>
      <w:r w:rsidR="00B31D97" w:rsidRPr="00742A04">
        <w:t>mejorar</w:t>
      </w:r>
      <w:r w:rsidR="00545D1B" w:rsidRPr="00742A04">
        <w:t xml:space="preserve"> </w:t>
      </w:r>
      <w:r w:rsidR="003C25BF" w:rsidRPr="00742A04">
        <w:t xml:space="preserve">la condición </w:t>
      </w:r>
      <w:r w:rsidR="00F43124" w:rsidRPr="00742A04">
        <w:t xml:space="preserve">de la </w:t>
      </w:r>
      <w:r w:rsidR="003C25BF" w:rsidRPr="00742A04">
        <w:t>mujer</w:t>
      </w:r>
      <w:r w:rsidR="00545D1B" w:rsidRPr="00742A04">
        <w:t xml:space="preserve">. </w:t>
      </w:r>
      <w:r w:rsidRPr="00742A04">
        <w:t xml:space="preserve">La legislación </w:t>
      </w:r>
      <w:r w:rsidR="00BD47D3" w:rsidRPr="00742A04">
        <w:t>de Noruega</w:t>
      </w:r>
      <w:r w:rsidR="00545D1B" w:rsidRPr="00742A04">
        <w:t xml:space="preserve"> </w:t>
      </w:r>
      <w:r w:rsidRPr="00742A04">
        <w:t>sobre el ambiente de trabajo</w:t>
      </w:r>
      <w:r w:rsidR="00545D1B" w:rsidRPr="00742A04">
        <w:t xml:space="preserve"> </w:t>
      </w:r>
      <w:r w:rsidR="005E2D7A" w:rsidRPr="00742A04">
        <w:t>contiene</w:t>
      </w:r>
      <w:r w:rsidR="00545D1B" w:rsidRPr="00742A04">
        <w:t xml:space="preserve"> </w:t>
      </w:r>
      <w:r w:rsidR="008D1651" w:rsidRPr="00742A04">
        <w:t>e</w:t>
      </w:r>
      <w:r w:rsidR="00545D1B" w:rsidRPr="00742A04">
        <w:t>strict</w:t>
      </w:r>
      <w:r w:rsidR="008D1651" w:rsidRPr="00742A04">
        <w:t>as</w:t>
      </w:r>
      <w:r w:rsidR="00545D1B" w:rsidRPr="00742A04">
        <w:t xml:space="preserve"> </w:t>
      </w:r>
      <w:r w:rsidR="008D1651" w:rsidRPr="00742A04">
        <w:t>exigencias</w:t>
      </w:r>
      <w:r w:rsidR="00545D1B" w:rsidRPr="00742A04">
        <w:t xml:space="preserve"> </w:t>
      </w:r>
      <w:r w:rsidR="008D1651" w:rsidRPr="00742A04">
        <w:t xml:space="preserve">en </w:t>
      </w:r>
      <w:r w:rsidR="002F3238" w:rsidRPr="00742A04">
        <w:t>rela</w:t>
      </w:r>
      <w:r w:rsidR="008D1651" w:rsidRPr="00742A04">
        <w:t>ción con</w:t>
      </w:r>
      <w:r w:rsidR="002F3238" w:rsidRPr="00742A04">
        <w:t xml:space="preserve"> </w:t>
      </w:r>
      <w:r w:rsidR="008D1651" w:rsidRPr="00742A04">
        <w:t>e</w:t>
      </w:r>
      <w:r w:rsidR="002F3238" w:rsidRPr="00742A04">
        <w:t>l</w:t>
      </w:r>
      <w:r w:rsidR="005E2D7A" w:rsidRPr="00742A04">
        <w:t xml:space="preserve"> </w:t>
      </w:r>
      <w:r w:rsidR="008D1651" w:rsidRPr="00742A04">
        <w:t>ambiente de trabajo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D1651" w:rsidRPr="00742A04">
        <w:t xml:space="preserve">garantiza </w:t>
      </w:r>
      <w:r w:rsidR="0081178E" w:rsidRPr="00742A04">
        <w:t>que</w:t>
      </w:r>
      <w:r w:rsidR="00545D1B" w:rsidRPr="00742A04">
        <w:t xml:space="preserve"> </w:t>
      </w:r>
      <w:r w:rsidR="008D1651" w:rsidRPr="00742A04">
        <w:t xml:space="preserve">los trabajadores </w:t>
      </w:r>
      <w:r w:rsidR="000220D6" w:rsidRPr="00742A04">
        <w:t>de sexo femen</w:t>
      </w:r>
      <w:r w:rsidR="000220D6" w:rsidRPr="00742A04">
        <w:t>i</w:t>
      </w:r>
      <w:r w:rsidR="000220D6" w:rsidRPr="00742A04">
        <w:t>no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17824" w:rsidRPr="00742A04">
        <w:t>masculi</w:t>
      </w:r>
      <w:r w:rsidR="008D1651" w:rsidRPr="00742A04">
        <w:t>no</w:t>
      </w:r>
      <w:r w:rsidR="00545D1B" w:rsidRPr="00742A04">
        <w:t xml:space="preserve"> </w:t>
      </w:r>
      <w:r w:rsidR="008D1651" w:rsidRPr="00742A04">
        <w:t xml:space="preserve">tengan </w:t>
      </w:r>
      <w:r w:rsidR="00B83FEB" w:rsidRPr="00742A04">
        <w:t>derecho</w:t>
      </w:r>
      <w:r w:rsidR="00545D1B" w:rsidRPr="00742A04">
        <w:t xml:space="preserve">s </w:t>
      </w:r>
      <w:r w:rsidR="008D1651" w:rsidRPr="00742A04">
        <w:t xml:space="preserve">adecuados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8D1651" w:rsidRPr="00742A04">
        <w:t xml:space="preserve"> el</w:t>
      </w:r>
      <w:r w:rsidR="00545D1B" w:rsidRPr="00742A04">
        <w:t xml:space="preserve"> </w:t>
      </w:r>
      <w:r w:rsidR="002E5047" w:rsidRPr="00742A04">
        <w:t>embarazo</w:t>
      </w:r>
      <w:r w:rsidR="00545D1B" w:rsidRPr="00742A04">
        <w:t xml:space="preserve">, </w:t>
      </w:r>
      <w:r w:rsidR="008D1651" w:rsidRPr="00742A04">
        <w:t>el parto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D1651" w:rsidRPr="00742A04">
        <w:t>el cuidado</w:t>
      </w:r>
      <w:r w:rsidR="00545D1B" w:rsidRPr="00742A04">
        <w:t>.</w:t>
      </w:r>
    </w:p>
    <w:p w:rsidR="00545D1B" w:rsidRPr="00742A04" w:rsidRDefault="008B63DF" w:rsidP="00837D84">
      <w:pPr>
        <w:pStyle w:val="SingleTxt"/>
        <w:keepNext/>
        <w:rPr>
          <w:i/>
        </w:rPr>
      </w:pPr>
      <w:r w:rsidRPr="00742A04">
        <w:rPr>
          <w:i/>
        </w:rPr>
        <w:t xml:space="preserve">Enmiendas </w:t>
      </w:r>
      <w:r w:rsidR="003F41CA" w:rsidRPr="00742A04">
        <w:rPr>
          <w:i/>
        </w:rPr>
        <w:t xml:space="preserve">y medidas </w:t>
      </w:r>
      <w:r w:rsidRPr="00742A04">
        <w:rPr>
          <w:i/>
        </w:rPr>
        <w:t>legislativas</w:t>
      </w:r>
      <w:r w:rsidR="00545D1B" w:rsidRPr="00742A04">
        <w:rPr>
          <w:i/>
        </w:rPr>
        <w:t xml:space="preserve"> </w:t>
      </w:r>
    </w:p>
    <w:p w:rsidR="00545D1B" w:rsidRPr="00742A04" w:rsidRDefault="008E38BC" w:rsidP="00D574C4">
      <w:pPr>
        <w:pStyle w:val="SingleTxt"/>
        <w:ind w:firstLine="475"/>
      </w:pPr>
      <w:r w:rsidRPr="00742A04">
        <w:t>Se han</w:t>
      </w:r>
      <w:r w:rsidR="00545D1B" w:rsidRPr="00742A04">
        <w:t xml:space="preserve"> incorpora</w:t>
      </w:r>
      <w:r w:rsidR="003F41CA">
        <w:t>do</w:t>
      </w:r>
      <w:r w:rsidRPr="00742A04">
        <w:t xml:space="preserve"> a</w:t>
      </w:r>
      <w:r w:rsidR="00545D1B" w:rsidRPr="00742A04">
        <w:t xml:space="preserve"> </w:t>
      </w:r>
      <w:r w:rsidR="00963214" w:rsidRPr="00742A04">
        <w:t xml:space="preserve">la Ley </w:t>
      </w:r>
      <w:r w:rsidR="00AF398C" w:rsidRPr="00742A04">
        <w:t>sobre el Ambiente de Trabajo</w:t>
      </w:r>
      <w:r w:rsidR="00545D1B" w:rsidRPr="00742A04">
        <w:t xml:space="preserve"> </w:t>
      </w:r>
      <w:r w:rsidRPr="00742A04">
        <w:t>varias normas nu</w:t>
      </w:r>
      <w:r w:rsidRPr="00742A04">
        <w:t>e</w:t>
      </w:r>
      <w:r w:rsidRPr="00742A04">
        <w:t xml:space="preserve">vas </w:t>
      </w:r>
      <w:r w:rsidR="00E575DB" w:rsidRPr="00742A04">
        <w:t>que</w:t>
      </w:r>
      <w:r w:rsidR="00545D1B" w:rsidRPr="00742A04">
        <w:t xml:space="preserve"> </w:t>
      </w:r>
      <w:r w:rsidRPr="00742A04">
        <w:t>pueden</w:t>
      </w:r>
      <w:r w:rsidR="00545D1B" w:rsidRPr="00742A04">
        <w:t xml:space="preserve"> </w:t>
      </w:r>
      <w:r w:rsidR="00CE7870" w:rsidRPr="00742A04">
        <w:t>contribuir a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3C25BF" w:rsidRPr="00742A04">
        <w:t xml:space="preserve">la condición </w:t>
      </w:r>
      <w:r w:rsidR="00F43124" w:rsidRPr="00742A04">
        <w:t xml:space="preserve">de la </w:t>
      </w:r>
      <w:r w:rsidR="003C25BF" w:rsidRPr="00742A04">
        <w:t>mujer</w:t>
      </w:r>
      <w:r w:rsidRPr="00742A04">
        <w:t xml:space="preserve"> e</w:t>
      </w:r>
      <w:r w:rsidR="00545D1B" w:rsidRPr="00742A04">
        <w:t xml:space="preserve">n </w:t>
      </w:r>
      <w:r w:rsidR="00434891" w:rsidRPr="00742A04">
        <w:t>el mercado de trabajo</w:t>
      </w:r>
      <w:r w:rsidR="00545D1B" w:rsidRPr="00742A04">
        <w:t xml:space="preserve">.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D1651" w:rsidRPr="00742A04">
        <w:t>los objetivos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reducir</w:t>
      </w:r>
      <w:r w:rsidR="00545D1B" w:rsidRPr="00742A04">
        <w:t xml:space="preserve"> </w:t>
      </w:r>
      <w:r w:rsidR="008D1651" w:rsidRPr="00742A04">
        <w:t>el subempleo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Pr="00742A04">
        <w:t xml:space="preserve">los </w:t>
      </w:r>
      <w:r w:rsidR="007E5B4C" w:rsidRPr="00742A04">
        <w:t>trabajadores a tiempo parcial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Pr="00742A04">
        <w:t>la mayoría de las personas</w:t>
      </w:r>
      <w:r w:rsidR="00545D1B" w:rsidRPr="00742A04">
        <w:t xml:space="preserve">, </w:t>
      </w:r>
      <w:r w:rsidR="008D1651" w:rsidRPr="00742A04">
        <w:t>el subempleo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 xml:space="preserve">un </w:t>
      </w:r>
      <w:r w:rsidR="00507A11" w:rsidRPr="00742A04">
        <w:t>fenómeno</w:t>
      </w:r>
      <w:r w:rsidRPr="00742A04">
        <w:t xml:space="preserve"> de duración relativ</w:t>
      </w:r>
      <w:r w:rsidRPr="00742A04">
        <w:t>a</w:t>
      </w:r>
      <w:r w:rsidRPr="00742A04">
        <w:t>mente breve</w:t>
      </w:r>
      <w:r w:rsidR="00545D1B" w:rsidRPr="00742A04">
        <w:t xml:space="preserve">. </w:t>
      </w:r>
      <w:r w:rsidR="002213CF" w:rsidRPr="00742A04">
        <w:t>Sin embargo</w:t>
      </w:r>
      <w:r w:rsidR="00545D1B" w:rsidRPr="00742A04">
        <w:t xml:space="preserve">, </w:t>
      </w:r>
      <w:r w:rsidRPr="00742A04">
        <w:t xml:space="preserve">el </w:t>
      </w:r>
      <w:r w:rsidR="00545D1B" w:rsidRPr="00742A04">
        <w:t>15</w:t>
      </w:r>
      <w:r w:rsidR="001167D2" w:rsidRPr="00742A04">
        <w:t>%</w:t>
      </w:r>
      <w:r w:rsidR="00545D1B" w:rsidRPr="00742A04">
        <w:t xml:space="preserve"> </w:t>
      </w:r>
      <w:r w:rsidR="00FC4C8D" w:rsidRPr="00742A04">
        <w:t>siguen estando</w:t>
      </w:r>
      <w:r w:rsidR="00545D1B" w:rsidRPr="00742A04">
        <w:t xml:space="preserve"> </w:t>
      </w:r>
      <w:r w:rsidR="00A31FF2" w:rsidRPr="00742A04">
        <w:t>subemplead</w:t>
      </w:r>
      <w:r w:rsidR="007E5B4C" w:rsidRPr="00742A04">
        <w:t>os</w:t>
      </w:r>
      <w:r w:rsidR="00545D1B" w:rsidRPr="00742A04">
        <w:t xml:space="preserve"> </w:t>
      </w:r>
      <w:r w:rsidR="003E4840" w:rsidRPr="00742A04">
        <w:t>después de</w:t>
      </w:r>
      <w:r w:rsidR="00545D1B" w:rsidRPr="00742A04">
        <w:t xml:space="preserve"> </w:t>
      </w:r>
      <w:r w:rsidR="00876D57" w:rsidRPr="00742A04">
        <w:t>nueve</w:t>
      </w:r>
      <w:r w:rsidR="00545D1B" w:rsidRPr="00742A04">
        <w:t xml:space="preserve"> </w:t>
      </w:r>
      <w:r w:rsidR="00AD5494" w:rsidRPr="00742A04">
        <w:t>meses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. </w:t>
      </w:r>
      <w:r w:rsidRPr="00742A04">
        <w:t>Como</w:t>
      </w:r>
      <w:r w:rsidR="006C1297" w:rsidRPr="00742A04">
        <w:t xml:space="preserve"> medio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94371">
        <w:t>reducir</w:t>
      </w:r>
      <w:r w:rsidR="00545D1B" w:rsidRPr="00742A04">
        <w:t xml:space="preserve"> </w:t>
      </w:r>
      <w:r w:rsidR="008D1651" w:rsidRPr="00742A04">
        <w:t>el subempleo</w:t>
      </w:r>
      <w:r w:rsidR="00545D1B" w:rsidRPr="00742A04">
        <w:t xml:space="preserve">, </w:t>
      </w:r>
      <w:r w:rsidRPr="00742A04">
        <w:t xml:space="preserve">ahora los </w:t>
      </w:r>
      <w:r w:rsidR="007E5B4C" w:rsidRPr="00742A04">
        <w:t>trabajadores a tiempo parcial</w:t>
      </w:r>
      <w:r w:rsidR="00545D1B" w:rsidRPr="00742A04">
        <w:t xml:space="preserve"> </w:t>
      </w:r>
      <w:r w:rsidRPr="00742A04">
        <w:t>tienen por ley el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Pr="00742A04">
        <w:t>su horario de trabajo</w:t>
      </w:r>
      <w:r w:rsidR="00545D1B" w:rsidRPr="00742A04">
        <w:t xml:space="preserve"> </w:t>
      </w:r>
      <w:r w:rsidR="00A826CB" w:rsidRPr="00742A04">
        <w:t xml:space="preserve">antes </w:t>
      </w:r>
      <w:r w:rsidR="00C076F2" w:rsidRPr="00742A04">
        <w:t xml:space="preserve">de </w:t>
      </w:r>
      <w:r w:rsidRPr="00742A04">
        <w:t xml:space="preserve">que </w:t>
      </w:r>
      <w:r w:rsidR="00C076F2" w:rsidRPr="00742A04">
        <w:t xml:space="preserve">los </w:t>
      </w:r>
      <w:r w:rsidR="00AD0883" w:rsidRPr="00742A04">
        <w:t>empleadores</w:t>
      </w:r>
      <w:r w:rsidR="00545D1B" w:rsidRPr="00742A04">
        <w:t xml:space="preserve"> </w:t>
      </w:r>
      <w:r w:rsidRPr="00742A04">
        <w:t>contraten</w:t>
      </w:r>
      <w:r w:rsidR="00545D1B" w:rsidRPr="00742A04">
        <w:t xml:space="preserve"> </w:t>
      </w:r>
      <w:r w:rsidR="007C65B3" w:rsidRPr="00742A04">
        <w:t>nuev</w:t>
      </w:r>
      <w:r w:rsidRPr="00742A04">
        <w:t>o personal</w:t>
      </w:r>
      <w:r w:rsidR="00545D1B" w:rsidRPr="00742A04">
        <w:t xml:space="preserve">. </w:t>
      </w:r>
      <w:r w:rsidRPr="00742A04">
        <w:t>El nuevo</w:t>
      </w:r>
      <w:r w:rsidR="00545D1B" w:rsidRPr="00742A04">
        <w:t xml:space="preserve"> </w:t>
      </w:r>
      <w:r w:rsidRPr="00742A04">
        <w:t>Servicio de Trabajo y Asi</w:t>
      </w:r>
      <w:r w:rsidRPr="00742A04">
        <w:t>s</w:t>
      </w:r>
      <w:r w:rsidRPr="00742A04">
        <w:t>tencia</w:t>
      </w:r>
      <w:r w:rsidR="00545D1B" w:rsidRPr="00742A04">
        <w:t xml:space="preserve"> (NAV), </w:t>
      </w:r>
      <w:r w:rsidR="00E575DB" w:rsidRPr="00742A04">
        <w:t>que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894371" w:rsidRPr="00742A04">
        <w:t>responsable</w:t>
      </w:r>
      <w:r w:rsidR="00545D1B" w:rsidRPr="00742A04">
        <w:t xml:space="preserve"> </w:t>
      </w:r>
      <w:r w:rsidR="00126609" w:rsidRPr="00742A04">
        <w:t>de los organismos</w:t>
      </w:r>
      <w:r w:rsidR="00545D1B" w:rsidRPr="00742A04">
        <w:t xml:space="preserve"> </w:t>
      </w:r>
      <w:r w:rsidR="00CE1CFC" w:rsidRPr="00742A04">
        <w:t>ofi</w:t>
      </w:r>
      <w:r w:rsidR="00545D1B" w:rsidRPr="00742A04">
        <w:t>cial</w:t>
      </w:r>
      <w:r w:rsidR="00126609" w:rsidRPr="00742A04">
        <w:t>es</w:t>
      </w:r>
      <w:r w:rsidR="00545D1B" w:rsidRPr="00742A04">
        <w:t xml:space="preserve"> </w:t>
      </w:r>
      <w:r w:rsidR="00126609" w:rsidRPr="00742A04">
        <w:t>d</w:t>
      </w:r>
      <w:r w:rsidR="005E2D7A" w:rsidRPr="00742A04">
        <w:t>e empleo</w:t>
      </w:r>
      <w:r w:rsidR="00545D1B" w:rsidRPr="00742A04">
        <w:t xml:space="preserve">, </w:t>
      </w:r>
      <w:r w:rsidR="00126609" w:rsidRPr="00742A04">
        <w:t>tien</w:t>
      </w:r>
      <w:r w:rsidR="00BB4DB1" w:rsidRPr="00742A04">
        <w:t>e</w:t>
      </w:r>
      <w:r w:rsidR="00545D1B" w:rsidRPr="00742A04">
        <w:t xml:space="preserve"> </w:t>
      </w:r>
      <w:r w:rsidR="0030626A" w:rsidRPr="00742A04">
        <w:t>ta</w:t>
      </w:r>
      <w:r w:rsidR="0030626A" w:rsidRPr="00742A04">
        <w:t>m</w:t>
      </w:r>
      <w:r w:rsidR="0030626A" w:rsidRPr="00742A04">
        <w:t>bién</w:t>
      </w:r>
      <w:r w:rsidR="00545D1B" w:rsidRPr="00742A04">
        <w:t xml:space="preserve"> </w:t>
      </w:r>
      <w:r w:rsidR="00126609" w:rsidRPr="00742A04">
        <w:t>la obligación de</w:t>
      </w:r>
      <w:r w:rsidR="00545D1B" w:rsidRPr="00742A04">
        <w:t xml:space="preserve"> </w:t>
      </w:r>
      <w:r w:rsidR="00126609" w:rsidRPr="00742A04">
        <w:t>asistir</w:t>
      </w:r>
      <w:r w:rsidR="00545D1B" w:rsidRPr="00742A04">
        <w:t xml:space="preserve"> </w:t>
      </w:r>
      <w:r w:rsidR="00126609" w:rsidRPr="00742A04">
        <w:t>a las personas parc</w:t>
      </w:r>
      <w:r w:rsidR="00545D1B" w:rsidRPr="00742A04">
        <w:t>ia</w:t>
      </w:r>
      <w:r w:rsidR="005F7B32" w:rsidRPr="00742A04">
        <w:t xml:space="preserve">lmente </w:t>
      </w:r>
      <w:r w:rsidR="00126609" w:rsidRPr="00742A04">
        <w:t>desempleadas</w:t>
      </w:r>
      <w:r w:rsidR="00545D1B" w:rsidRPr="00742A04">
        <w:t xml:space="preserve"> </w:t>
      </w:r>
      <w:r w:rsidR="00126609" w:rsidRPr="00742A04">
        <w:t>en pie de igualdad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126609" w:rsidRPr="00742A04">
        <w:t>las que están</w:t>
      </w:r>
      <w:r w:rsidR="00545D1B" w:rsidRPr="00742A04">
        <w:t xml:space="preserve"> </w:t>
      </w:r>
      <w:r w:rsidR="005F7B32" w:rsidRPr="00742A04">
        <w:t xml:space="preserve">completamente </w:t>
      </w:r>
      <w:r w:rsidR="00126609" w:rsidRPr="00742A04">
        <w:t>desempleadas</w:t>
      </w:r>
      <w:r w:rsidR="00545D1B" w:rsidRPr="00742A04">
        <w:t xml:space="preserve">. </w:t>
      </w:r>
      <w:r w:rsidR="00126609" w:rsidRPr="00742A04">
        <w:t xml:space="preserve">Los </w:t>
      </w:r>
      <w:r w:rsidR="007E5B4C" w:rsidRPr="00742A04">
        <w:t>trabajadores a tiempo parcial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126609" w:rsidRPr="00742A04">
        <w:t>deseen</w:t>
      </w:r>
      <w:r w:rsidR="00CF2F77" w:rsidRPr="00742A04">
        <w:t xml:space="preserve"> trabajar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C57E4" w:rsidRPr="00742A04">
        <w:t>s</w:t>
      </w:r>
      <w:r w:rsidR="003E5775" w:rsidRPr="00742A04">
        <w:t>e</w:t>
      </w:r>
      <w:r w:rsidR="00545D1B" w:rsidRPr="00742A04">
        <w:t xml:space="preserve"> registr</w:t>
      </w:r>
      <w:r w:rsidR="004C57E4" w:rsidRPr="00742A04">
        <w:t>en ante el NAV como</w:t>
      </w:r>
      <w:r w:rsidR="00545D1B" w:rsidRPr="00742A04">
        <w:t xml:space="preserve"> par</w:t>
      </w:r>
      <w:r w:rsidR="004C57E4" w:rsidRPr="00742A04">
        <w:t>c</w:t>
      </w:r>
      <w:r w:rsidR="00545D1B" w:rsidRPr="00742A04">
        <w:t>ia</w:t>
      </w:r>
      <w:r w:rsidR="005F7B32" w:rsidRPr="00742A04">
        <w:t xml:space="preserve">lmente </w:t>
      </w:r>
      <w:r w:rsidR="004C57E4" w:rsidRPr="00742A04">
        <w:t>de</w:t>
      </w:r>
      <w:r w:rsidR="004C57E4" w:rsidRPr="00742A04">
        <w:t>s</w:t>
      </w:r>
      <w:r w:rsidR="004C57E4" w:rsidRPr="00742A04">
        <w:t>empleado</w:t>
      </w:r>
      <w:r w:rsidR="00126609" w:rsidRPr="00742A04">
        <w:t>s</w:t>
      </w:r>
      <w:r w:rsidR="00545D1B" w:rsidRPr="00742A04">
        <w:t xml:space="preserve"> </w:t>
      </w:r>
      <w:r w:rsidR="004C57E4" w:rsidRPr="00742A04">
        <w:t>tienen</w:t>
      </w:r>
      <w:r w:rsidR="002213CF" w:rsidRPr="00742A04">
        <w:t xml:space="preserve"> acceso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 </w:t>
      </w:r>
      <w:r w:rsidR="00B31D97" w:rsidRPr="00742A04">
        <w:t>los servicios</w:t>
      </w:r>
      <w:r w:rsidRPr="00742A04">
        <w:t xml:space="preserve"> del NAV</w:t>
      </w:r>
      <w:r w:rsidR="00545D1B" w:rsidRPr="00742A04">
        <w:t xml:space="preserve">. </w:t>
      </w:r>
      <w:r w:rsidR="004C57E4" w:rsidRPr="00742A04">
        <w:t>Los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4C57E4" w:rsidRPr="00742A04">
        <w:t>prest</w:t>
      </w:r>
      <w:r w:rsidR="004C57E4" w:rsidRPr="00742A04">
        <w:t>a</w:t>
      </w:r>
      <w:r w:rsidR="004C57E4" w:rsidRPr="00742A04">
        <w:t>ciones diarias de</w:t>
      </w:r>
      <w:r w:rsidR="00545D1B" w:rsidRPr="00742A04">
        <w:t xml:space="preserve"> </w:t>
      </w:r>
      <w:r w:rsidR="00355BCE" w:rsidRPr="00742A04">
        <w:t>desempleo</w:t>
      </w:r>
      <w:r w:rsidR="00545D1B" w:rsidRPr="00742A04">
        <w:t xml:space="preserve"> </w:t>
      </w:r>
      <w:r w:rsidR="004C57E4" w:rsidRPr="00742A04">
        <w:t>las perciben</w:t>
      </w:r>
      <w:r w:rsidR="00545D1B" w:rsidRPr="00742A04">
        <w:t>.</w:t>
      </w:r>
    </w:p>
    <w:p w:rsidR="000A08D8" w:rsidRPr="00742A04" w:rsidRDefault="000B41AF" w:rsidP="00D574C4">
      <w:pPr>
        <w:pStyle w:val="SingleTxt"/>
        <w:ind w:firstLine="475"/>
      </w:pPr>
      <w:r w:rsidRPr="00742A04">
        <w:t>La Ley</w:t>
      </w:r>
      <w:r w:rsidR="00AF398C" w:rsidRPr="00742A04">
        <w:t xml:space="preserve"> sobre el Ambiente de Trabajo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Pr="00742A04">
        <w:t>comprende</w:t>
      </w:r>
      <w:r w:rsidR="00B05988" w:rsidRPr="00742A04">
        <w:t xml:space="preserve"> un nuevo</w:t>
      </w:r>
      <w:r w:rsidR="00545D1B" w:rsidRPr="00742A04">
        <w:t xml:space="preserve"> </w:t>
      </w:r>
      <w:r w:rsidR="00E84FBD">
        <w:t>c</w:t>
      </w:r>
      <w:r w:rsidR="00232DF9" w:rsidRPr="00742A04">
        <w:t>apítulo</w:t>
      </w:r>
      <w:r w:rsidR="00545D1B" w:rsidRPr="00742A04">
        <w:t xml:space="preserve"> </w:t>
      </w:r>
      <w:r w:rsidR="00E84FBD">
        <w:t xml:space="preserve">sobre </w:t>
      </w:r>
      <w:r w:rsidR="0077058E" w:rsidRPr="00742A04">
        <w:t>la igualdad</w:t>
      </w:r>
      <w:r w:rsidR="00B82A08" w:rsidRPr="00742A04">
        <w:t xml:space="preserve"> de trato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. </w:t>
      </w:r>
      <w:r w:rsidRPr="00742A04">
        <w:t>La principal</w:t>
      </w:r>
      <w:r w:rsidR="00545D1B" w:rsidRPr="00742A04">
        <w:t xml:space="preserve"> </w:t>
      </w:r>
      <w:r w:rsidR="002E2883" w:rsidRPr="00742A04">
        <w:t>disposición</w:t>
      </w:r>
      <w:r w:rsidR="005E6919" w:rsidRPr="00742A04">
        <w:t xml:space="preserve"> </w:t>
      </w:r>
      <w:r w:rsidRPr="00742A04">
        <w:t>d</w:t>
      </w:r>
      <w:r w:rsidR="00C14BFF" w:rsidRPr="00742A04">
        <w:t>e</w:t>
      </w:r>
      <w:r w:rsidRPr="00742A04">
        <w:t xml:space="preserve"> este</w:t>
      </w:r>
      <w:r w:rsidR="00545D1B" w:rsidRPr="00742A04">
        <w:t xml:space="preserve"> </w:t>
      </w:r>
      <w:r w:rsidR="00E84FBD">
        <w:t>c</w:t>
      </w:r>
      <w:r w:rsidR="00232DF9" w:rsidRPr="00742A04">
        <w:t>apít</w:t>
      </w:r>
      <w:r w:rsidR="00232DF9" w:rsidRPr="00742A04">
        <w:t>u</w:t>
      </w:r>
      <w:r w:rsidR="00232DF9" w:rsidRPr="00742A04">
        <w:t>lo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un</w:t>
      </w:r>
      <w:r w:rsidR="00545D1B" w:rsidRPr="00742A04">
        <w:t>a prohibi</w:t>
      </w:r>
      <w:r w:rsidR="00C14BFF" w:rsidRPr="00742A04">
        <w:t xml:space="preserve">ción </w:t>
      </w:r>
      <w:r w:rsidR="00232DF9" w:rsidRPr="00742A04">
        <w:t>contra la discriminación</w:t>
      </w:r>
      <w:r w:rsidR="00545D1B" w:rsidRPr="00742A04">
        <w:t xml:space="preserve"> </w:t>
      </w:r>
      <w:r w:rsidRPr="00742A04">
        <w:t>por motivos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836A1" w:rsidRPr="00742A04">
        <w:t>género</w:t>
      </w:r>
      <w:r w:rsidR="00545D1B" w:rsidRPr="00742A04">
        <w:t xml:space="preserve">, etc. </w:t>
      </w:r>
      <w:r w:rsidR="00230F13" w:rsidRPr="00742A04">
        <w:t>La Ley</w:t>
      </w:r>
      <w:r w:rsidR="00545D1B" w:rsidRPr="00742A04">
        <w:t xml:space="preserve"> </w:t>
      </w:r>
      <w:r w:rsidR="005E2D7A" w:rsidRPr="00742A04">
        <w:t>contiene</w:t>
      </w:r>
      <w:r w:rsidR="00545D1B" w:rsidRPr="00742A04">
        <w:t xml:space="preserve"> </w:t>
      </w:r>
      <w:r w:rsidRPr="00742A04">
        <w:t>una remisión especial</w:t>
      </w:r>
      <w:r w:rsidR="001E30D6" w:rsidRPr="00742A04">
        <w:t xml:space="preserve"> </w:t>
      </w:r>
      <w:r w:rsidRPr="00742A04">
        <w:t>a l</w:t>
      </w:r>
      <w:r w:rsidR="001E30D6" w:rsidRPr="00742A04">
        <w:t xml:space="preserve">a </w:t>
      </w:r>
      <w:r w:rsidR="00A05847" w:rsidRPr="00742A04">
        <w:t xml:space="preserve">Ley sobre la </w:t>
      </w:r>
      <w:r w:rsidR="00B31AE8" w:rsidRPr="00742A04">
        <w:t>Igualdad de Género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CE7870" w:rsidRPr="00742A04">
        <w:t>contribuirá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E84FBD">
        <w:t>a</w:t>
      </w:r>
      <w:r w:rsidR="00C07ED9" w:rsidRPr="00742A04">
        <w:t>cla</w:t>
      </w:r>
      <w:r w:rsidR="00E84FBD">
        <w:t>rar</w:t>
      </w:r>
      <w:r w:rsidR="00545D1B" w:rsidRPr="00742A04">
        <w:t xml:space="preserve"> </w:t>
      </w:r>
      <w:r w:rsidRPr="00742A04">
        <w:t>que las</w:t>
      </w:r>
      <w:r w:rsidR="00545D1B" w:rsidRPr="00742A04">
        <w:t xml:space="preserve"> </w:t>
      </w:r>
      <w:r w:rsidRPr="00742A04">
        <w:t>disposiciones sobr</w:t>
      </w:r>
      <w:r w:rsidR="00545D1B" w:rsidRPr="00742A04">
        <w:t xml:space="preserve">e </w:t>
      </w:r>
      <w:r w:rsidR="00AD0883" w:rsidRPr="00742A04">
        <w:t>lucha contra la discriminación</w:t>
      </w:r>
      <w:r w:rsidR="00545D1B" w:rsidRPr="00742A04">
        <w:t xml:space="preserve"> </w:t>
      </w:r>
      <w:r w:rsidRPr="00742A04">
        <w:t xml:space="preserve">contenidas </w:t>
      </w:r>
      <w:r w:rsidR="00F43124" w:rsidRPr="00742A04">
        <w:t>e</w:t>
      </w:r>
      <w:r w:rsidRPr="00742A04">
        <w:t>n</w:t>
      </w:r>
      <w:r w:rsidR="00F43124" w:rsidRPr="00742A04">
        <w:t xml:space="preserve"> la </w:t>
      </w:r>
      <w:r w:rsidR="00A05847" w:rsidRPr="00742A04">
        <w:t xml:space="preserve">Ley sobre la </w:t>
      </w:r>
      <w:r w:rsidR="00B31AE8" w:rsidRPr="00742A04">
        <w:t>Igualdad de Género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Pr="00742A04">
        <w:t>están comprendidas en el</w:t>
      </w:r>
      <w:r w:rsidR="00032136" w:rsidRPr="00742A04">
        <w:t xml:space="preserve"> alcance</w:t>
      </w:r>
      <w:r w:rsidR="00545D1B" w:rsidRPr="00742A04">
        <w:t xml:space="preserve"> </w:t>
      </w:r>
      <w:r w:rsidR="00F43124" w:rsidRPr="00742A04">
        <w:t xml:space="preserve">de la </w:t>
      </w:r>
      <w:r w:rsidR="00963214" w:rsidRPr="00742A04">
        <w:t xml:space="preserve">Ley </w:t>
      </w:r>
      <w:r w:rsidR="00AF398C" w:rsidRPr="00742A04">
        <w:t>sobre el Ambiente de Trabajo</w:t>
      </w:r>
      <w:r w:rsidR="00545D1B" w:rsidRPr="00742A04">
        <w:t xml:space="preserve">. </w:t>
      </w:r>
      <w:r w:rsidRPr="00742A04">
        <w:t>Otra</w:t>
      </w:r>
      <w:r w:rsidR="00545D1B" w:rsidRPr="00742A04">
        <w:t xml:space="preserve"> </w:t>
      </w:r>
      <w:r w:rsidR="002E2883" w:rsidRPr="00742A04">
        <w:t>disposición</w:t>
      </w:r>
      <w:r w:rsidR="005E6919" w:rsidRPr="00742A04">
        <w:t xml:space="preserve"> </w:t>
      </w:r>
      <w:r w:rsidRPr="00742A04">
        <w:t>nueva d</w:t>
      </w:r>
      <w:r w:rsidR="00C14BFF" w:rsidRPr="00742A04">
        <w:t>e</w:t>
      </w:r>
      <w:r w:rsidR="00545D1B" w:rsidRPr="00742A04">
        <w:t xml:space="preserve"> </w:t>
      </w:r>
      <w:r w:rsidR="00963214" w:rsidRPr="00742A04">
        <w:t xml:space="preserve">la Ley </w:t>
      </w:r>
      <w:r w:rsidR="00AF398C" w:rsidRPr="00742A04">
        <w:t>sobre el A</w:t>
      </w:r>
      <w:r w:rsidR="00AF398C" w:rsidRPr="00742A04">
        <w:t>m</w:t>
      </w:r>
      <w:r w:rsidR="00AF398C" w:rsidRPr="00742A04">
        <w:t>biente de Trabajo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1C6742" w:rsidRPr="00742A04">
        <w:t xml:space="preserve">el derecho </w:t>
      </w:r>
      <w:r w:rsidR="0030626A" w:rsidRPr="00742A04">
        <w:t>a</w:t>
      </w:r>
      <w:r w:rsidRPr="00742A04">
        <w:t xml:space="preserve"> un</w:t>
      </w:r>
      <w:r w:rsidR="00545D1B" w:rsidRPr="00742A04">
        <w:t xml:space="preserve"> </w:t>
      </w:r>
      <w:r w:rsidRPr="00742A04">
        <w:t>horario de trabajo flexible,</w:t>
      </w:r>
      <w:r w:rsidR="00545D1B" w:rsidRPr="00742A04">
        <w:t xml:space="preserve"> </w:t>
      </w:r>
      <w:r w:rsidRPr="00742A04">
        <w:t>siempre que</w:t>
      </w:r>
      <w:r w:rsidR="00545D1B" w:rsidRPr="00742A04">
        <w:t xml:space="preserve"> </w:t>
      </w:r>
      <w:r w:rsidRPr="00742A04">
        <w:t>ello pueda</w:t>
      </w:r>
      <w:r w:rsidR="00545D1B" w:rsidRPr="00742A04">
        <w:t xml:space="preserve"> </w:t>
      </w:r>
      <w:r w:rsidR="0058094F" w:rsidRPr="00742A04">
        <w:t>lograr</w:t>
      </w:r>
      <w:r w:rsidRPr="00742A04">
        <w:t>se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Pr="00742A04">
        <w:t>una significativa</w:t>
      </w:r>
      <w:r w:rsidR="00545D1B" w:rsidRPr="00742A04">
        <w:t xml:space="preserve"> </w:t>
      </w:r>
      <w:r w:rsidRPr="00742A04">
        <w:t>desventaja</w:t>
      </w:r>
      <w:r w:rsidR="00545D1B" w:rsidRPr="00742A04">
        <w:t xml:space="preserve"> </w:t>
      </w:r>
      <w:r w:rsidRPr="00742A04">
        <w:t>par</w:t>
      </w:r>
      <w:r w:rsidR="0030626A" w:rsidRPr="00742A04">
        <w:t>a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</w:t>
      </w:r>
      <w:r w:rsidR="00EC1B22" w:rsidRPr="00742A04">
        <w:t>empresa</w:t>
      </w:r>
      <w:r w:rsidR="00545D1B" w:rsidRPr="00742A04">
        <w:t xml:space="preserve"> </w:t>
      </w:r>
      <w:r w:rsidRPr="00742A04">
        <w:t>de que se trate</w:t>
      </w:r>
      <w:r w:rsidR="00545D1B" w:rsidRPr="00742A04">
        <w:t xml:space="preserve">. </w:t>
      </w:r>
      <w:r w:rsidRPr="00742A04">
        <w:t xml:space="preserve">Por </w:t>
      </w:r>
      <w:r w:rsidR="00545D1B" w:rsidRPr="00742A04">
        <w:t>“</w:t>
      </w:r>
      <w:r w:rsidRPr="00742A04">
        <w:t>h</w:t>
      </w:r>
      <w:r w:rsidR="005F7B32" w:rsidRPr="00742A04">
        <w:t>orario de traba</w:t>
      </w:r>
      <w:r w:rsidRPr="00742A04">
        <w:t>jo flexible</w:t>
      </w:r>
      <w:r w:rsidR="00545D1B" w:rsidRPr="00742A04">
        <w:t xml:space="preserve">” </w:t>
      </w:r>
      <w:r w:rsidR="00D3378F" w:rsidRPr="00742A04">
        <w:t>s</w:t>
      </w:r>
      <w:r w:rsidRPr="00742A04">
        <w:t>e entiende</w:t>
      </w:r>
      <w:r w:rsidR="00D3378F" w:rsidRPr="00742A04">
        <w:t xml:space="preserve"> que</w:t>
      </w:r>
      <w:r w:rsidR="00545D1B" w:rsidRPr="00742A04">
        <w:t xml:space="preserve"> </w:t>
      </w:r>
      <w:r w:rsidRPr="00742A04">
        <w:t>el empleado</w:t>
      </w:r>
      <w:r w:rsidR="00545D1B" w:rsidRPr="00742A04">
        <w:t xml:space="preserve"> </w:t>
      </w:r>
      <w:r w:rsidRPr="00742A04">
        <w:t>puede</w:t>
      </w:r>
      <w:r w:rsidR="00545D1B" w:rsidRPr="00742A04">
        <w:t xml:space="preserve">, </w:t>
      </w:r>
      <w:r w:rsidR="00C07ED9" w:rsidRPr="00742A04">
        <w:t>dentro de</w:t>
      </w:r>
      <w:r w:rsidR="00545D1B" w:rsidRPr="00742A04">
        <w:t xml:space="preserve"> </w:t>
      </w:r>
      <w:r w:rsidRPr="00742A04">
        <w:t>ciertos límites</w:t>
      </w:r>
      <w:r w:rsidR="00545D1B" w:rsidRPr="00742A04">
        <w:t xml:space="preserve">, </w:t>
      </w:r>
      <w:r w:rsidRPr="00742A04">
        <w:t>decidir por sí</w:t>
      </w:r>
      <w:r w:rsidR="00545D1B" w:rsidRPr="00742A04">
        <w:t xml:space="preserve"> </w:t>
      </w:r>
      <w:r w:rsidR="003C25BF" w:rsidRPr="00742A04">
        <w:t>cuando</w:t>
      </w:r>
      <w:r w:rsidRPr="00742A04">
        <w:t xml:space="preserve"> ha de</w:t>
      </w:r>
      <w:r w:rsidR="00CF2F77" w:rsidRPr="00742A04">
        <w:t xml:space="preserve"> trabajar</w:t>
      </w:r>
      <w:r w:rsidR="00545D1B" w:rsidRPr="00742A04">
        <w:t xml:space="preserve">. </w:t>
      </w:r>
      <w:r w:rsidRPr="00742A04">
        <w:t>Ello permitirá tener</w:t>
      </w:r>
      <w:r w:rsidR="00545D1B" w:rsidRPr="00742A04">
        <w:t xml:space="preserve"> </w:t>
      </w:r>
      <w:r w:rsidR="00982243" w:rsidRPr="00742A04">
        <w:t>un mayor grado de</w:t>
      </w:r>
      <w:r w:rsidR="00545D1B" w:rsidRPr="00742A04">
        <w:t xml:space="preserve"> flexib</w:t>
      </w:r>
      <w:r w:rsidR="00502E16" w:rsidRPr="00742A04">
        <w:t>ilidad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 vida cotidiana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04011" w:rsidRPr="00742A04">
        <w:t>será</w:t>
      </w:r>
      <w:r w:rsidR="00545D1B" w:rsidRPr="00742A04">
        <w:t xml:space="preserve"> </w:t>
      </w:r>
      <w:r w:rsidR="007C3856" w:rsidRPr="00742A04">
        <w:t>especialmente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los padres y madres que te</w:t>
      </w:r>
      <w:r w:rsidRPr="00742A04">
        <w:t>n</w:t>
      </w:r>
      <w:r w:rsidRPr="00742A04">
        <w:t>gan</w:t>
      </w:r>
      <w:r w:rsidR="00545D1B" w:rsidRPr="00742A04">
        <w:t xml:space="preserve"> </w:t>
      </w:r>
      <w:r w:rsidRPr="00742A04">
        <w:t>hijo</w:t>
      </w:r>
      <w:r w:rsidR="002F3238" w:rsidRPr="00742A04">
        <w:t>s</w:t>
      </w:r>
      <w:r w:rsidR="00545D1B" w:rsidRPr="00742A04">
        <w:t xml:space="preserve"> </w:t>
      </w:r>
      <w:r w:rsidRPr="00742A04">
        <w:t>u otras personas a las que deban cuidar</w:t>
      </w:r>
      <w:r w:rsidR="000A08D8" w:rsidRPr="00742A04">
        <w:t>.</w:t>
      </w:r>
    </w:p>
    <w:p w:rsidR="00545D1B" w:rsidRPr="00742A04" w:rsidRDefault="000B41AF" w:rsidP="00D574C4">
      <w:pPr>
        <w:pStyle w:val="SingleTxt"/>
        <w:ind w:firstLine="475"/>
      </w:pPr>
      <w:r w:rsidRPr="00742A04">
        <w:t>La Ley</w:t>
      </w:r>
      <w:r w:rsidR="00AF398C" w:rsidRPr="00742A04">
        <w:t xml:space="preserve"> sobre el Ambiente de Trabajo</w:t>
      </w:r>
      <w:r w:rsidR="00545D1B" w:rsidRPr="00742A04">
        <w:t xml:space="preserve"> </w:t>
      </w:r>
      <w:r w:rsidR="00300623" w:rsidRPr="00742A04">
        <w:t>dispone que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 </w:t>
      </w:r>
      <w:r w:rsidR="00B73629" w:rsidRPr="00742A04">
        <w:t>que trabajan</w:t>
      </w:r>
      <w:r w:rsidR="00545D1B" w:rsidRPr="00742A04">
        <w:t xml:space="preserve"> </w:t>
      </w:r>
      <w:r w:rsidR="00300623" w:rsidRPr="00742A04">
        <w:t>por turnos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1167D2" w:rsidRPr="00742A04">
        <w:t>sistema</w:t>
      </w:r>
      <w:r w:rsidR="00545D1B" w:rsidRPr="00742A04">
        <w:t>s</w:t>
      </w:r>
      <w:r w:rsidR="00300623" w:rsidRPr="00742A04">
        <w:t xml:space="preserve"> de rotación análogos</w:t>
      </w:r>
      <w:r w:rsidR="00545D1B" w:rsidRPr="00742A04">
        <w:t xml:space="preserve"> </w:t>
      </w:r>
      <w:r w:rsidR="00300623" w:rsidRPr="00742A04">
        <w:t>tienen</w:t>
      </w:r>
      <w:r w:rsidR="001C6742" w:rsidRPr="00742A04">
        <w:t xml:space="preserve"> derecho </w:t>
      </w:r>
      <w:r w:rsidR="0030626A" w:rsidRPr="00742A04">
        <w:t>a</w:t>
      </w:r>
      <w:r w:rsidR="00545D1B" w:rsidRPr="00742A04">
        <w:t xml:space="preserve"> </w:t>
      </w:r>
      <w:r w:rsidR="00300623" w:rsidRPr="00742A04">
        <w:t>un menor horario</w:t>
      </w:r>
      <w:r w:rsidR="00545D1B" w:rsidRPr="00742A04">
        <w:t xml:space="preserve"> </w:t>
      </w:r>
      <w:r w:rsidR="00311327" w:rsidRPr="00742A04">
        <w:t>sem</w:t>
      </w:r>
      <w:r w:rsidR="00311327" w:rsidRPr="00742A04">
        <w:t>a</w:t>
      </w:r>
      <w:r w:rsidR="00311327" w:rsidRPr="00742A04">
        <w:t>na</w:t>
      </w:r>
      <w:r w:rsidR="00545D1B" w:rsidRPr="00742A04">
        <w:t xml:space="preserve">l </w:t>
      </w:r>
      <w:r w:rsidR="00300623" w:rsidRPr="00742A04">
        <w:t>d</w:t>
      </w:r>
      <w:r w:rsidR="002232C2" w:rsidRPr="00742A04">
        <w:t>e trabaj</w:t>
      </w:r>
      <w:r w:rsidR="00300623" w:rsidRPr="00742A04">
        <w:t>o</w:t>
      </w:r>
      <w:r w:rsidR="00545D1B" w:rsidRPr="00742A04">
        <w:t xml:space="preserve">. </w:t>
      </w:r>
      <w:r w:rsidR="004D313C" w:rsidRPr="00742A04">
        <w:t>Vari</w:t>
      </w:r>
      <w:r w:rsidR="00300623" w:rsidRPr="00742A04">
        <w:t>as personas han sostenido que el mé</w:t>
      </w:r>
      <w:r w:rsidR="00545D1B" w:rsidRPr="00742A04">
        <w:t>tod</w:t>
      </w:r>
      <w:r w:rsidR="00300623" w:rsidRPr="00742A04">
        <w:t>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compar</w:t>
      </w:r>
      <w:r w:rsidR="00300623" w:rsidRPr="00742A04">
        <w:t>ar</w:t>
      </w:r>
      <w:r w:rsidR="00545D1B" w:rsidRPr="00742A04">
        <w:t xml:space="preserve"> </w:t>
      </w:r>
      <w:r w:rsidR="009739AE" w:rsidRPr="00742A04">
        <w:t>los hor</w:t>
      </w:r>
      <w:r w:rsidR="009739AE" w:rsidRPr="00742A04">
        <w:t>a</w:t>
      </w:r>
      <w:r w:rsidR="009739AE" w:rsidRPr="00742A04">
        <w:t>rios de trabajo de los</w:t>
      </w:r>
      <w:r w:rsidR="00545D1B" w:rsidRPr="00742A04">
        <w:t xml:space="preserve"> </w:t>
      </w:r>
      <w:r w:rsidR="009739AE" w:rsidRPr="00742A04">
        <w:t>sistemas de rotación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739AE" w:rsidRPr="00742A04">
        <w:t>el trabajo por turnos</w:t>
      </w:r>
      <w:r w:rsidR="00545D1B" w:rsidRPr="00742A04">
        <w:t xml:space="preserve"> </w:t>
      </w:r>
      <w:r w:rsidR="009739AE" w:rsidRPr="00742A04">
        <w:t>tiene</w:t>
      </w:r>
      <w:r w:rsidR="00545D1B" w:rsidRPr="00742A04">
        <w:t xml:space="preserve"> </w:t>
      </w:r>
      <w:r w:rsidR="004F2F8A" w:rsidRPr="00742A04">
        <w:t>resultados</w:t>
      </w:r>
      <w:r w:rsidR="00545D1B" w:rsidRPr="00742A04">
        <w:t xml:space="preserve"> </w:t>
      </w:r>
      <w:r w:rsidR="00E84FBD">
        <w:t>i</w:t>
      </w:r>
      <w:r w:rsidR="00E84FBD">
        <w:t>n</w:t>
      </w:r>
      <w:r w:rsidR="00E84FBD">
        <w:t>convenientes</w:t>
      </w:r>
      <w:r w:rsidR="009739AE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 </w:t>
      </w:r>
      <w:r w:rsidR="002232C2" w:rsidRPr="00742A04">
        <w:t>que trabajan</w:t>
      </w:r>
      <w:r w:rsidR="00545D1B" w:rsidRPr="00742A04">
        <w:t xml:space="preserve"> </w:t>
      </w:r>
      <w:r w:rsidR="00D81031" w:rsidRPr="00742A04">
        <w:t>en un</w:t>
      </w:r>
      <w:r w:rsidR="00545D1B" w:rsidRPr="00742A04">
        <w:t xml:space="preserve"> </w:t>
      </w:r>
      <w:r w:rsidR="009739AE" w:rsidRPr="00742A04">
        <w:t>sistema de rotación</w:t>
      </w:r>
      <w:r w:rsidR="00545D1B" w:rsidRPr="00742A04">
        <w:t xml:space="preserve">. </w:t>
      </w:r>
      <w:r w:rsidR="00D81031" w:rsidRPr="00742A04">
        <w:t>Estos últ</w:t>
      </w:r>
      <w:r w:rsidR="00D81031" w:rsidRPr="00742A04">
        <w:t>i</w:t>
      </w:r>
      <w:r w:rsidR="00D81031" w:rsidRPr="00742A04">
        <w:t>mos se dan en la mayoría de los casos</w:t>
      </w:r>
      <w:r w:rsidR="00BC2FBE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220D6" w:rsidRPr="00742A04">
        <w:t xml:space="preserve">las profesiones en que </w:t>
      </w:r>
      <w:r w:rsidR="00D81031" w:rsidRPr="00742A04">
        <w:t xml:space="preserve">típicamente </w:t>
      </w:r>
      <w:r w:rsidR="000220D6" w:rsidRPr="00742A04">
        <w:t>pred</w:t>
      </w:r>
      <w:r w:rsidR="000220D6" w:rsidRPr="00742A04">
        <w:t>o</w:t>
      </w:r>
      <w:r w:rsidR="000220D6" w:rsidRPr="00742A04">
        <w:t>minan las mujeres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BD7DD0" w:rsidRPr="00742A04">
        <w:t>enfermería</w:t>
      </w:r>
      <w:r w:rsidR="00545D1B" w:rsidRPr="00742A04">
        <w:t>.</w:t>
      </w:r>
      <w:r w:rsidR="001167D2" w:rsidRPr="00742A04">
        <w:t xml:space="preserve"> </w:t>
      </w:r>
      <w:r w:rsidR="00D81031" w:rsidRPr="00742A04">
        <w:t>E</w:t>
      </w:r>
      <w:r w:rsidR="001167D2" w:rsidRPr="00742A04">
        <w:t>l</w:t>
      </w:r>
      <w:r w:rsidR="00D81031" w:rsidRPr="00742A04">
        <w:t xml:space="preserve"> </w:t>
      </w:r>
      <w:r w:rsidR="008F0C8E" w:rsidRPr="00742A04">
        <w:t>Gobierno</w:t>
      </w:r>
      <w:r w:rsidR="00545D1B" w:rsidRPr="00742A04">
        <w:t xml:space="preserve"> </w:t>
      </w:r>
      <w:r w:rsidR="00D81031" w:rsidRPr="00742A04">
        <w:t>tomó la iniciativa de</w:t>
      </w:r>
      <w:r w:rsidR="00AC1BF5" w:rsidRPr="00742A04">
        <w:t xml:space="preserve"> est</w:t>
      </w:r>
      <w:r w:rsidR="00AC1BF5" w:rsidRPr="00742A04">
        <w:t>a</w:t>
      </w:r>
      <w:r w:rsidR="00AC1BF5" w:rsidRPr="00742A04">
        <w:t>blec</w:t>
      </w:r>
      <w:r w:rsidR="00D81031" w:rsidRPr="00742A04">
        <w:t>er</w:t>
      </w:r>
      <w:r w:rsidR="00545D1B" w:rsidRPr="00742A04">
        <w:t xml:space="preserve"> </w:t>
      </w:r>
      <w:r w:rsidR="009B122F" w:rsidRPr="00742A04">
        <w:t>un grupo</w:t>
      </w:r>
      <w:r w:rsidR="005E2D7A" w:rsidRPr="00742A04">
        <w:t xml:space="preserve"> de trabajo</w:t>
      </w:r>
      <w:r w:rsidR="00545D1B" w:rsidRPr="00742A04">
        <w:t xml:space="preserve"> </w:t>
      </w:r>
      <w:r w:rsidR="00D81031" w:rsidRPr="00742A04">
        <w:t>integrado por</w:t>
      </w:r>
      <w:r w:rsidR="00545D1B" w:rsidRPr="00742A04">
        <w:t xml:space="preserve"> </w:t>
      </w:r>
      <w:r w:rsidR="007A4A10" w:rsidRPr="00742A04">
        <w:t>representantes</w:t>
      </w:r>
      <w:r w:rsidR="00545D1B" w:rsidRPr="00742A04">
        <w:t xml:space="preserve"> </w:t>
      </w:r>
      <w:r w:rsidR="00C076F2" w:rsidRPr="00742A04">
        <w:t>de l</w:t>
      </w:r>
      <w:r w:rsidR="00D81031" w:rsidRPr="00742A04">
        <w:t>as partes</w:t>
      </w:r>
      <w:r w:rsidR="008F0C8E" w:rsidRPr="00742A04">
        <w:t xml:space="preserve"> sociales</w:t>
      </w:r>
      <w:r w:rsidR="00545D1B" w:rsidRPr="00742A04">
        <w:t xml:space="preserve">, </w:t>
      </w:r>
      <w:r w:rsidR="00D81031" w:rsidRPr="00742A04">
        <w:t xml:space="preserve">al </w:t>
      </w:r>
      <w:r w:rsidR="00E575DB" w:rsidRPr="00742A04">
        <w:t>que</w:t>
      </w:r>
      <w:r w:rsidR="00545D1B" w:rsidRPr="00742A04">
        <w:t xml:space="preserve"> </w:t>
      </w:r>
      <w:r w:rsidR="00D81031" w:rsidRPr="00742A04">
        <w:t xml:space="preserve">se le </w:t>
      </w:r>
      <w:r w:rsidR="006D7D2F" w:rsidRPr="00742A04">
        <w:t xml:space="preserve">ha </w:t>
      </w:r>
      <w:r w:rsidR="00D81031" w:rsidRPr="00742A04">
        <w:t>dado el</w:t>
      </w:r>
      <w:r w:rsidR="00545D1B" w:rsidRPr="00742A04">
        <w:t xml:space="preserve"> </w:t>
      </w:r>
      <w:r w:rsidR="00232DF9" w:rsidRPr="00742A04">
        <w:t>mandato</w:t>
      </w:r>
      <w:r w:rsidR="00D81031" w:rsidRPr="00742A04">
        <w:t xml:space="preserve"> </w:t>
      </w:r>
      <w:r w:rsidR="00545D1B" w:rsidRPr="00742A04">
        <w:t>d</w:t>
      </w:r>
      <w:r w:rsidR="00D81031" w:rsidRPr="00742A04">
        <w:t>e</w:t>
      </w:r>
      <w:r w:rsidR="00545D1B" w:rsidRPr="00742A04">
        <w:t xml:space="preserve"> </w:t>
      </w:r>
      <w:r w:rsidR="00D81031" w:rsidRPr="00742A04">
        <w:t xml:space="preserve">convenir en una </w:t>
      </w:r>
      <w:r w:rsidR="00545D1B" w:rsidRPr="00742A04">
        <w:t>defini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D81031" w:rsidRPr="00742A04">
        <w:t>los</w:t>
      </w:r>
      <w:r w:rsidR="00545D1B" w:rsidRPr="00742A04">
        <w:t xml:space="preserve"> criteri</w:t>
      </w:r>
      <w:r w:rsidR="00D81031" w:rsidRPr="00742A04">
        <w:t>os que han de exigirse para que un</w:t>
      </w:r>
      <w:r w:rsidR="00545D1B" w:rsidRPr="00742A04">
        <w:t xml:space="preserve"> </w:t>
      </w:r>
      <w:r w:rsidR="009739AE" w:rsidRPr="00742A04">
        <w:t xml:space="preserve">sistema </w:t>
      </w:r>
      <w:r w:rsidR="00D81031" w:rsidRPr="00742A04">
        <w:t xml:space="preserve">tripartito </w:t>
      </w:r>
      <w:r w:rsidR="009739AE" w:rsidRPr="00742A04">
        <w:t>de rotación</w:t>
      </w:r>
      <w:r w:rsidR="00545D1B" w:rsidRPr="00742A04">
        <w:t xml:space="preserve"> </w:t>
      </w:r>
      <w:r w:rsidR="00D81031" w:rsidRPr="00742A04">
        <w:t>sea</w:t>
      </w:r>
      <w:r w:rsidR="00545D1B" w:rsidRPr="00742A04">
        <w:t xml:space="preserve"> comparable </w:t>
      </w:r>
      <w:r w:rsidR="004A0730" w:rsidRPr="00742A04">
        <w:t>con</w:t>
      </w:r>
      <w:r w:rsidR="00545D1B" w:rsidRPr="00742A04">
        <w:t xml:space="preserve"> </w:t>
      </w:r>
      <w:r w:rsidR="00D81031" w:rsidRPr="00742A04">
        <w:t xml:space="preserve">un </w:t>
      </w:r>
      <w:r w:rsidR="001167D2" w:rsidRPr="00742A04">
        <w:t>sistema</w:t>
      </w:r>
      <w:r w:rsidR="00D81031" w:rsidRPr="00742A04">
        <w:t xml:space="preserve"> de turnos</w:t>
      </w:r>
      <w:r w:rsidR="00E84FBD">
        <w:t xml:space="preserve"> </w:t>
      </w:r>
      <w:r w:rsidR="00E84FBD" w:rsidRPr="00742A04">
        <w:t>continuo</w:t>
      </w:r>
      <w:r w:rsidR="00E84FBD">
        <w:t>s</w:t>
      </w:r>
      <w:r w:rsidR="00545D1B" w:rsidRPr="00742A04">
        <w:t xml:space="preserve">. </w:t>
      </w:r>
      <w:r w:rsidR="00DD5E1A" w:rsidRPr="00742A04">
        <w:t>El grupo</w:t>
      </w:r>
      <w:r w:rsidR="005E2D7A" w:rsidRPr="00742A04">
        <w:t xml:space="preserve"> de trabajo</w:t>
      </w:r>
      <w:r w:rsidR="00545D1B" w:rsidRPr="00742A04">
        <w:t xml:space="preserve"> </w:t>
      </w:r>
      <w:r w:rsidR="00D81031" w:rsidRPr="00742A04">
        <w:t xml:space="preserve">se propone </w:t>
      </w:r>
      <w:r w:rsidR="00545D1B" w:rsidRPr="00742A04">
        <w:t>co</w:t>
      </w:r>
      <w:r w:rsidR="00D81031" w:rsidRPr="00742A04">
        <w:t>ncluir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D81031" w:rsidRPr="00742A04">
        <w:t>labor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D5494" w:rsidRPr="00742A04">
        <w:t>el verano de</w:t>
      </w:r>
      <w:r w:rsidR="00E84FBD">
        <w:t> </w:t>
      </w:r>
      <w:r w:rsidR="00545D1B" w:rsidRPr="00742A04">
        <w:t>2006.</w:t>
      </w:r>
    </w:p>
    <w:p w:rsidR="00545D1B" w:rsidRPr="00742A04" w:rsidRDefault="00D81031" w:rsidP="00837D84">
      <w:pPr>
        <w:pStyle w:val="SingleTxt"/>
        <w:keepNext/>
        <w:rPr>
          <w:i/>
        </w:rPr>
      </w:pPr>
      <w:r w:rsidRPr="00742A04">
        <w:rPr>
          <w:i/>
        </w:rPr>
        <w:t>Trabajo no deseado a tiempo parcial</w:t>
      </w:r>
    </w:p>
    <w:p w:rsidR="00545D1B" w:rsidRPr="00742A04" w:rsidRDefault="00D81031" w:rsidP="00D574C4">
      <w:pPr>
        <w:pStyle w:val="SingleTxt"/>
        <w:ind w:firstLine="475"/>
      </w:pPr>
      <w:r w:rsidRPr="00742A04">
        <w:t>El trabajo no deseado a tiempo parcial</w:t>
      </w:r>
      <w:r w:rsidR="00545D1B" w:rsidRPr="00742A04">
        <w:t xml:space="preserve"> </w:t>
      </w:r>
      <w:r w:rsidRPr="00742A04">
        <w:t>se</w:t>
      </w:r>
      <w:r w:rsidR="00545D1B" w:rsidRPr="00742A04">
        <w:t xml:space="preserve"> </w:t>
      </w:r>
      <w:r w:rsidR="00154FBB" w:rsidRPr="00742A04">
        <w:t>relaciona con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ti</w:t>
      </w:r>
      <w:r w:rsidRPr="00742A04">
        <w:t>e</w:t>
      </w:r>
      <w:r w:rsidRPr="00742A04">
        <w:t>nen</w:t>
      </w:r>
      <w:r w:rsidR="00545D1B" w:rsidRPr="00742A04">
        <w:t xml:space="preserve"> </w:t>
      </w:r>
      <w:r w:rsidR="007E0DFE" w:rsidRPr="00742A04">
        <w:t>empleo</w:t>
      </w:r>
      <w:r w:rsidR="00545D1B" w:rsidRPr="00742A04">
        <w:t xml:space="preserve">s </w:t>
      </w:r>
      <w:r w:rsidR="00E77E20" w:rsidRPr="00742A04">
        <w:t>pero</w:t>
      </w:r>
      <w:r w:rsidR="00545D1B" w:rsidRPr="00742A04">
        <w:t xml:space="preserve"> </w:t>
      </w:r>
      <w:r w:rsidRPr="00742A04">
        <w:t>quieren</w:t>
      </w:r>
      <w:r w:rsidR="00CF2F77" w:rsidRPr="00742A04">
        <w:t xml:space="preserve"> trabajar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61771B" w:rsidRPr="00742A04">
        <w:t>horas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no tienen</w:t>
      </w:r>
      <w:r w:rsidR="00545D1B" w:rsidRPr="00742A04">
        <w:t xml:space="preserve"> </w:t>
      </w:r>
      <w:r w:rsidR="005C6D40" w:rsidRPr="00742A04">
        <w:t xml:space="preserve">la </w:t>
      </w:r>
      <w:r w:rsidR="005C19C7" w:rsidRPr="00742A04">
        <w:t xml:space="preserve">oportunidad de </w:t>
      </w:r>
      <w:r w:rsidRPr="00742A04">
        <w:t>hacerlo</w:t>
      </w:r>
      <w:r w:rsidR="00545D1B" w:rsidRPr="00742A04">
        <w:t xml:space="preserve">, </w:t>
      </w:r>
      <w:r w:rsidR="002E2883" w:rsidRPr="00742A04">
        <w:t>por distintas razones</w:t>
      </w:r>
      <w:r w:rsidR="00545D1B" w:rsidRPr="00742A04">
        <w:t xml:space="preserve">. </w:t>
      </w:r>
      <w:r w:rsidRPr="00742A04">
        <w:t>El trabajo no deseado a tiempo parcial</w:t>
      </w:r>
      <w:r w:rsidR="00545D1B" w:rsidRPr="00742A04">
        <w:t xml:space="preserve"> </w:t>
      </w:r>
      <w:r w:rsidR="00E84FBD">
        <w:t>equivale a</w:t>
      </w:r>
      <w:r w:rsidR="008D1651" w:rsidRPr="00742A04">
        <w:t>l subempleo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1B18DE" w:rsidRPr="00742A04">
        <w:t xml:space="preserve">el </w:t>
      </w:r>
      <w:r w:rsidR="00355BCE" w:rsidRPr="00742A04">
        <w:t>desempleo</w:t>
      </w:r>
      <w:r w:rsidR="00545D1B" w:rsidRPr="00742A04">
        <w:t xml:space="preserve"> </w:t>
      </w:r>
      <w:r w:rsidR="001B18DE" w:rsidRPr="00742A04">
        <w:t>a tiempo parcial d</w:t>
      </w:r>
      <w:r w:rsidR="007E0DFE" w:rsidRPr="00742A04">
        <w:t>e</w:t>
      </w:r>
      <w:r w:rsidR="00545D1B" w:rsidRPr="00742A04">
        <w:t xml:space="preserve"> </w:t>
      </w:r>
      <w:r w:rsidR="0081178E" w:rsidRPr="00742A04">
        <w:t>grupos</w:t>
      </w:r>
      <w:r w:rsidR="004F2F8A" w:rsidRPr="00742A04">
        <w:t xml:space="preserve"> d</w:t>
      </w:r>
      <w:r w:rsidR="001B18DE" w:rsidRPr="00742A04">
        <w:t>e</w:t>
      </w:r>
      <w:r w:rsidR="008D1651" w:rsidRPr="00742A04">
        <w:t xml:space="preserve"> trabajadores</w:t>
      </w:r>
      <w:r w:rsidR="00545D1B" w:rsidRPr="00742A04">
        <w:t xml:space="preserve">. </w:t>
      </w:r>
      <w:r w:rsidR="00B75B05" w:rsidRPr="00742A04">
        <w:t>Dichos</w:t>
      </w:r>
      <w:r w:rsidR="00545D1B" w:rsidRPr="00742A04">
        <w:t xml:space="preserve"> </w:t>
      </w:r>
      <w:r w:rsidR="0081178E" w:rsidRPr="00742A04">
        <w:t>grupos</w:t>
      </w:r>
      <w:r w:rsidR="00545D1B" w:rsidRPr="00742A04">
        <w:t xml:space="preserve"> </w:t>
      </w:r>
      <w:r w:rsidR="00B75B05" w:rsidRPr="00742A04">
        <w:t>están</w:t>
      </w:r>
      <w:r w:rsidR="00545D1B" w:rsidRPr="00742A04">
        <w:t xml:space="preserve"> </w:t>
      </w:r>
      <w:r w:rsidR="007C3856" w:rsidRPr="00742A04">
        <w:t>e</w:t>
      </w:r>
      <w:r w:rsidR="007C3856" w:rsidRPr="00742A04">
        <w:t>s</w:t>
      </w:r>
      <w:r w:rsidR="007C3856" w:rsidRPr="00742A04">
        <w:t>pecialmente</w:t>
      </w:r>
      <w:r w:rsidR="00545D1B" w:rsidRPr="00742A04">
        <w:t xml:space="preserve"> </w:t>
      </w:r>
      <w:r w:rsidR="00B75B05" w:rsidRPr="00742A04">
        <w:t>vinculados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B75B05" w:rsidRPr="00742A04">
        <w:t>el comercio minorista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B75B05" w:rsidRPr="00742A04">
        <w:t xml:space="preserve">el problema </w:t>
      </w:r>
      <w:r w:rsidR="0030626A" w:rsidRPr="00742A04">
        <w:t>también</w:t>
      </w:r>
      <w:r w:rsidR="00545D1B" w:rsidRPr="00742A04">
        <w:t xml:space="preserve"> </w:t>
      </w:r>
      <w:r w:rsidR="008E5EBF" w:rsidRPr="00742A04">
        <w:t>se 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75B05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75B05" w:rsidRPr="00742A04">
        <w:t xml:space="preserve">el </w:t>
      </w:r>
      <w:r w:rsidR="00545D1B" w:rsidRPr="00742A04">
        <w:t xml:space="preserve">sector </w:t>
      </w:r>
      <w:r w:rsidR="00B75B05" w:rsidRPr="00742A04">
        <w:t>social y de la salud y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75B05" w:rsidRPr="00742A04">
        <w:t>algunas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75B05" w:rsidRPr="00742A04">
        <w:t>el sector educacional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75B05" w:rsidRPr="00742A04">
        <w:t xml:space="preserve">la </w:t>
      </w:r>
      <w:r w:rsidR="00545D1B" w:rsidRPr="00742A04">
        <w:t>divis</w:t>
      </w:r>
      <w:r w:rsidR="005E6919" w:rsidRPr="00742A04">
        <w:t>ión</w:t>
      </w:r>
      <w:r w:rsidR="00B75B05" w:rsidRPr="00742A04">
        <w:t xml:space="preserve"> técnica </w:t>
      </w:r>
      <w:r w:rsidR="004F2F8A" w:rsidRPr="00742A04">
        <w:t xml:space="preserve">del </w:t>
      </w:r>
      <w:r w:rsidR="00975A9E" w:rsidRPr="00742A04">
        <w:t>sector municipal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B75B05" w:rsidRPr="00742A04">
        <w:t>el sector social y de la s</w:t>
      </w:r>
      <w:r w:rsidR="00B75B05" w:rsidRPr="00742A04">
        <w:t>a</w:t>
      </w:r>
      <w:r w:rsidR="00B75B05" w:rsidRPr="00742A04">
        <w:t>lud</w:t>
      </w:r>
      <w:r w:rsidR="00545D1B" w:rsidRPr="00742A04">
        <w:t xml:space="preserve">, </w:t>
      </w:r>
      <w:r w:rsidR="00B75B05" w:rsidRPr="00742A04">
        <w:t>esto</w:t>
      </w:r>
      <w:r w:rsidR="00545D1B" w:rsidRPr="00742A04">
        <w:t xml:space="preserve"> re</w:t>
      </w:r>
      <w:r w:rsidR="00B86412" w:rsidRPr="00742A04">
        <w:t>presenta</w:t>
      </w:r>
      <w:r w:rsidR="00545D1B" w:rsidRPr="00742A04">
        <w:t xml:space="preserve"> </w:t>
      </w:r>
      <w:r w:rsidR="00B75B05" w:rsidRPr="00742A04">
        <w:t>un</w:t>
      </w:r>
      <w:r w:rsidR="00545D1B" w:rsidRPr="00742A04">
        <w:t xml:space="preserve">a </w:t>
      </w:r>
      <w:r w:rsidR="00B75B05" w:rsidRPr="00742A04">
        <w:t>fuerza de trabajo de reserva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B75B05" w:rsidRPr="00742A04">
        <w:t>la cifra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B75B05" w:rsidRPr="00742A04">
        <w:t>menor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B75B05" w:rsidRPr="00742A04">
        <w:t xml:space="preserve">lo que </w:t>
      </w:r>
      <w:r w:rsidR="00041F24" w:rsidRPr="00742A04">
        <w:t>anteriormente</w:t>
      </w:r>
      <w:r w:rsidR="00545D1B" w:rsidRPr="00742A04">
        <w:t xml:space="preserve"> </w:t>
      </w:r>
      <w:r w:rsidR="00B75B05" w:rsidRPr="00742A04">
        <w:t>se suponía</w:t>
      </w:r>
      <w:r w:rsidR="00545D1B" w:rsidRPr="00742A04">
        <w:t xml:space="preserve">. </w:t>
      </w:r>
      <w:r w:rsidR="00B75B05" w:rsidRPr="00742A04">
        <w:t>Algunos casos de</w:t>
      </w:r>
      <w:r w:rsidR="00545D1B" w:rsidRPr="00742A04">
        <w:t xml:space="preserve"> </w:t>
      </w:r>
      <w:r w:rsidRPr="00742A04">
        <w:t>trabajo no deseado a tiempo parcial</w:t>
      </w:r>
      <w:r w:rsidR="00545D1B" w:rsidRPr="00742A04">
        <w:t xml:space="preserve"> </w:t>
      </w:r>
      <w:r w:rsidR="00B75B05" w:rsidRPr="00742A04">
        <w:t>tienen lugar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75B05" w:rsidRPr="00742A04">
        <w:t>determinadas</w:t>
      </w:r>
      <w:r w:rsidR="00545D1B" w:rsidRPr="00742A04">
        <w:t xml:space="preserve"> </w:t>
      </w:r>
      <w:r w:rsidR="00A8633B" w:rsidRPr="00742A04">
        <w:t>esferas</w:t>
      </w:r>
      <w:r w:rsidR="00545D1B" w:rsidRPr="00742A04">
        <w:t xml:space="preserve"> </w:t>
      </w:r>
      <w:r w:rsidR="00B75B05" w:rsidRPr="00742A04">
        <w:t>que tienen</w:t>
      </w:r>
      <w:r w:rsidR="00545D1B" w:rsidRPr="00742A04">
        <w:t xml:space="preserve"> </w:t>
      </w:r>
      <w:r w:rsidR="00B75B05" w:rsidRPr="00742A04">
        <w:t>períodos de alta densidad de mano de obra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11327" w:rsidRPr="00742A04">
        <w:t>el curso</w:t>
      </w:r>
      <w:r w:rsidR="00545D1B" w:rsidRPr="00742A04">
        <w:t xml:space="preserve"> </w:t>
      </w:r>
      <w:r w:rsidR="00B75B05" w:rsidRPr="00742A04">
        <w:t>del día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B75B05" w:rsidRPr="00742A04">
        <w:t>de la semana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B75B05" w:rsidRPr="00742A04">
        <w:t>los servicios de guardería</w:t>
      </w:r>
      <w:r w:rsidR="00545D1B" w:rsidRPr="00742A04">
        <w:t xml:space="preserve"> </w:t>
      </w:r>
      <w:r w:rsidR="00B75B05" w:rsidRPr="00742A04">
        <w:t>p</w:t>
      </w:r>
      <w:r w:rsidR="00B75B05" w:rsidRPr="00742A04">
        <w:t>a</w:t>
      </w:r>
      <w:r w:rsidR="00B75B05" w:rsidRPr="00742A04">
        <w:t>ra escolares</w:t>
      </w:r>
      <w:r w:rsidR="00545D1B" w:rsidRPr="00742A04">
        <w:t>.</w:t>
      </w:r>
    </w:p>
    <w:p w:rsidR="00545D1B" w:rsidRPr="00742A04" w:rsidRDefault="00B75B05" w:rsidP="00D574C4">
      <w:pPr>
        <w:pStyle w:val="SingleTxt"/>
        <w:ind w:firstLine="475"/>
      </w:pPr>
      <w:r w:rsidRPr="00742A04">
        <w:t xml:space="preserve">La Asociación de Autoridades Locales y </w:t>
      </w:r>
      <w:r w:rsidR="00FB41B0" w:rsidRPr="00742A04">
        <w:t>Regionales de</w:t>
      </w:r>
      <w:r w:rsidRPr="00742A04">
        <w:t xml:space="preserve"> Noruega (KS)</w:t>
      </w:r>
      <w:r w:rsidR="00545D1B" w:rsidRPr="00742A04">
        <w:t xml:space="preserve"> </w:t>
      </w:r>
      <w:r w:rsidRPr="00742A04">
        <w:t>está haciendo</w:t>
      </w:r>
      <w:r w:rsidR="00545D1B" w:rsidRPr="00742A04">
        <w:t xml:space="preserve"> </w:t>
      </w:r>
      <w:r w:rsidR="00AE7B93" w:rsidRPr="00742A04">
        <w:t>activos</w:t>
      </w:r>
      <w:r w:rsidR="00502E16" w:rsidRPr="00742A04">
        <w:t xml:space="preserve"> </w:t>
      </w:r>
      <w:r w:rsidR="00935A90" w:rsidRPr="00742A04">
        <w:t xml:space="preserve">esfuerzos por </w:t>
      </w:r>
      <w:r w:rsidRPr="00742A04">
        <w:t>dar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116976" w:rsidRPr="00742A04">
        <w:t>trabajo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los empleados a tiempo parcial</w:t>
      </w:r>
      <w:r w:rsidR="00545D1B" w:rsidRPr="00742A04">
        <w:t xml:space="preserve">. </w:t>
      </w:r>
      <w:r w:rsidR="00FB41B0" w:rsidRPr="00742A04">
        <w:t>Ello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, </w:t>
      </w:r>
      <w:r w:rsidR="00FB41B0" w:rsidRPr="00742A04">
        <w:t>tanto par</w:t>
      </w:r>
      <w:r w:rsidR="0030626A" w:rsidRPr="00742A04">
        <w:t>a</w:t>
      </w:r>
      <w:r w:rsidR="00FB41B0" w:rsidRPr="00742A04">
        <w:t xml:space="preserve"> reducir el</w:t>
      </w:r>
      <w:r w:rsidR="00545D1B" w:rsidRPr="00742A04">
        <w:t xml:space="preserve"> </w:t>
      </w:r>
      <w:r w:rsidR="00D81031" w:rsidRPr="00742A04">
        <w:t>trabajo no deseado a tiempo parcial</w:t>
      </w:r>
      <w:r w:rsidR="00545D1B" w:rsidRPr="00742A04">
        <w:t xml:space="preserve"> </w:t>
      </w:r>
      <w:r w:rsidR="00FB41B0" w:rsidRPr="00742A04">
        <w:t>como</w:t>
      </w:r>
      <w:r w:rsidR="00545D1B" w:rsidRPr="00742A04">
        <w:t xml:space="preserve"> </w:t>
      </w:r>
      <w:r w:rsidR="00FB41B0" w:rsidRPr="00742A04">
        <w:t>par</w:t>
      </w:r>
      <w:r w:rsidR="0030626A" w:rsidRPr="00742A04">
        <w:t>a</w:t>
      </w:r>
      <w:r w:rsidR="00545D1B" w:rsidRPr="00742A04">
        <w:t xml:space="preserve"> </w:t>
      </w:r>
      <w:r w:rsidR="00FB41B0" w:rsidRPr="00742A04">
        <w:t xml:space="preserve">satisfacer la </w:t>
      </w:r>
      <w:r w:rsidR="00E84FBD" w:rsidRPr="00742A04">
        <w:t xml:space="preserve">necesidad </w:t>
      </w:r>
      <w:r w:rsidR="00FB41B0" w:rsidRPr="00742A04">
        <w:t>cada vez mayor</w:t>
      </w:r>
      <w:r w:rsidR="00545D1B" w:rsidRPr="00742A04">
        <w:t xml:space="preserve"> </w:t>
      </w:r>
      <w:r w:rsidR="00FB41B0" w:rsidRPr="00742A04">
        <w:t>de mano de obra</w:t>
      </w:r>
      <w:r w:rsidR="00BD7DD0" w:rsidRPr="00742A04">
        <w:t xml:space="preserve">. </w:t>
      </w:r>
      <w:r w:rsidR="00894371" w:rsidRPr="00742A04">
        <w:t>Es frecuente que las mujer</w:t>
      </w:r>
      <w:r w:rsidR="00894371">
        <w:t>es que trabajan</w:t>
      </w:r>
      <w:r w:rsidR="00894371" w:rsidRPr="00742A04">
        <w:t xml:space="preserve"> en sistemas de rotación opten por trabajar a tiempo parcial a fin de evitar los horarios de trabajo inconvenientes. Muchas municipalidades han e</w:t>
      </w:r>
      <w:r w:rsidR="00894371" w:rsidRPr="00742A04">
        <w:t>s</w:t>
      </w:r>
      <w:r w:rsidR="00894371" w:rsidRPr="00742A04">
        <w:t>tablecido horarios de trabajo flexibles, frecuentemente denominados “rotaciones d</w:t>
      </w:r>
      <w:r w:rsidR="00894371" w:rsidRPr="00742A04">
        <w:t>e</w:t>
      </w:r>
      <w:r w:rsidR="00894371" w:rsidRPr="00742A04">
        <w:t>seadas”, en los que el empleado part</w:t>
      </w:r>
      <w:r w:rsidR="00E84FBD">
        <w:t>icipa</w:t>
      </w:r>
      <w:r w:rsidR="00894371" w:rsidRPr="00742A04">
        <w:t xml:space="preserve"> en el establecimiento de la r</w:t>
      </w:r>
      <w:r w:rsidR="00E84FBD">
        <w:t>otación, con lo cual se asegura</w:t>
      </w:r>
      <w:r w:rsidR="00894371" w:rsidRPr="00742A04">
        <w:t xml:space="preserve"> que el tiempo de ocio y el tiempo de trabajo s</w:t>
      </w:r>
      <w:r w:rsidR="00894371">
        <w:t>e</w:t>
      </w:r>
      <w:r w:rsidR="00894371" w:rsidRPr="00742A04">
        <w:t xml:space="preserve"> adapten mejor a las necesidades de los empleados.</w:t>
      </w:r>
    </w:p>
    <w:p w:rsidR="000A08D8" w:rsidRPr="00742A04" w:rsidRDefault="00C938AE" w:rsidP="00C938AE">
      <w:pPr>
        <w:pStyle w:val="SingleTxt"/>
        <w:ind w:firstLine="475"/>
      </w:pPr>
      <w:r w:rsidRPr="00742A04">
        <w:t>Las partes sociales</w:t>
      </w:r>
      <w:r w:rsidR="00545D1B" w:rsidRPr="00742A04">
        <w:t xml:space="preserve"> </w:t>
      </w:r>
      <w:r w:rsidR="008E38BC" w:rsidRPr="00742A04">
        <w:t>han</w:t>
      </w:r>
      <w:r w:rsidR="00545D1B" w:rsidRPr="00742A04">
        <w:t xml:space="preserve"> </w:t>
      </w:r>
      <w:r w:rsidRPr="00742A04">
        <w:t xml:space="preserve">estado </w:t>
      </w:r>
      <w:r w:rsidR="00545D1B" w:rsidRPr="00742A04">
        <w:t>coopera</w:t>
      </w:r>
      <w:r w:rsidRPr="00742A04">
        <w:t>ndo e</w:t>
      </w:r>
      <w:r w:rsidR="00545D1B" w:rsidRPr="00742A04">
        <w:t xml:space="preserve">n </w:t>
      </w:r>
      <w:r w:rsidRPr="00742A04">
        <w:t>u</w:t>
      </w:r>
      <w:r w:rsidR="00545D1B" w:rsidRPr="00742A04">
        <w:t xml:space="preserve">n </w:t>
      </w:r>
      <w:r w:rsidRPr="00742A04">
        <w:t>Proyecto de investigación y desarrollo</w:t>
      </w:r>
      <w:r w:rsidR="00545D1B" w:rsidRPr="00742A04">
        <w:t xml:space="preserve"> (2004-2005) </w:t>
      </w:r>
      <w:r w:rsidRPr="00742A04">
        <w:t xml:space="preserve">encaminado </w:t>
      </w:r>
      <w:r w:rsidR="0030626A" w:rsidRPr="00742A04">
        <w:t>a</w:t>
      </w:r>
      <w:r w:rsidR="00545D1B" w:rsidRPr="00742A04">
        <w:t xml:space="preserve"> </w:t>
      </w:r>
      <w:r w:rsidRPr="00742A04">
        <w:t>reducir el trabajo</w:t>
      </w:r>
      <w:r w:rsidR="00D81031" w:rsidRPr="00742A04">
        <w:t xml:space="preserve"> no deseado a tiempo parcial</w:t>
      </w:r>
      <w:r w:rsidR="00545D1B" w:rsidRPr="00742A04">
        <w:t xml:space="preserve">. </w:t>
      </w:r>
      <w:r w:rsidR="002213CF" w:rsidRPr="00742A04">
        <w:t>El proyecto</w:t>
      </w:r>
      <w:r w:rsidR="00545D1B" w:rsidRPr="00742A04">
        <w:t xml:space="preserve"> </w:t>
      </w:r>
      <w:r w:rsidR="00BB4DB1" w:rsidRPr="00742A04">
        <w:t>es</w:t>
      </w:r>
      <w:r w:rsidRPr="00742A04">
        <w:t>tá</w:t>
      </w:r>
      <w:r w:rsidR="00545D1B" w:rsidRPr="00742A04">
        <w:t xml:space="preserve"> financ</w:t>
      </w:r>
      <w:r w:rsidRPr="00742A04">
        <w:t>iado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>las partes interesadas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Pr="00742A04">
        <w:t>han participado 16</w:t>
      </w:r>
      <w:r w:rsidR="00F43124" w:rsidRPr="00742A04">
        <w:t xml:space="preserve"> munic</w:t>
      </w:r>
      <w:r w:rsidR="00F43124" w:rsidRPr="00742A04">
        <w:t>i</w:t>
      </w:r>
      <w:r w:rsidR="00F43124" w:rsidRPr="00742A04">
        <w:t>palidades</w:t>
      </w:r>
      <w:r w:rsidR="00545D1B" w:rsidRPr="00742A04">
        <w:t xml:space="preserve">. </w:t>
      </w:r>
      <w:r w:rsidR="004F2F8A" w:rsidRPr="00742A04">
        <w:t xml:space="preserve">Las </w:t>
      </w:r>
      <w:r w:rsidR="00F43124" w:rsidRPr="00742A04">
        <w:t>municipalidad</w:t>
      </w:r>
      <w:r w:rsidR="0081178E" w:rsidRPr="00742A04">
        <w:t>es que</w:t>
      </w:r>
      <w:r w:rsidR="00545D1B" w:rsidRPr="00742A04">
        <w:t xml:space="preserve"> </w:t>
      </w:r>
      <w:r w:rsidRPr="00742A04">
        <w:t>fuero</w:t>
      </w:r>
      <w:r w:rsidR="00E73E8E" w:rsidRPr="00742A04">
        <w:t>n</w:t>
      </w:r>
      <w:r w:rsidR="00545D1B" w:rsidRPr="00742A04">
        <w:t xml:space="preserve"> s</w:t>
      </w:r>
      <w:r w:rsidR="00A836A1" w:rsidRPr="00742A04">
        <w:t>ele</w:t>
      </w:r>
      <w:r w:rsidRPr="00742A04">
        <w:t>ccionada</w:t>
      </w:r>
      <w:r w:rsidR="00A836A1" w:rsidRPr="00742A04">
        <w:t>s</w:t>
      </w:r>
      <w:r w:rsidR="00545D1B" w:rsidRPr="00742A04">
        <w:t xml:space="preserve"> </w:t>
      </w:r>
      <w:r w:rsidRPr="00742A04">
        <w:t>par</w:t>
      </w:r>
      <w:r w:rsidR="0030626A" w:rsidRPr="00742A04">
        <w:t>a</w:t>
      </w:r>
      <w:r w:rsidR="00545D1B" w:rsidRPr="00742A04">
        <w:t xml:space="preserve"> </w:t>
      </w:r>
      <w:r w:rsidR="001633F4" w:rsidRPr="00742A04">
        <w:t>participar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213CF" w:rsidRPr="00742A04">
        <w:t>el pr</w:t>
      </w:r>
      <w:r w:rsidR="002213CF" w:rsidRPr="00742A04">
        <w:t>o</w:t>
      </w:r>
      <w:r w:rsidR="002213CF" w:rsidRPr="00742A04">
        <w:t>yecto</w:t>
      </w:r>
      <w:r w:rsidR="00545D1B" w:rsidRPr="00742A04">
        <w:t xml:space="preserve"> </w:t>
      </w:r>
      <w:r w:rsidRPr="00742A04">
        <w:t>fuero</w:t>
      </w:r>
      <w:r w:rsidR="00E73E8E" w:rsidRPr="00742A04">
        <w:t>n</w:t>
      </w:r>
      <w:r w:rsidRPr="00742A04">
        <w:t xml:space="preserve"> motivadas</w:t>
      </w:r>
      <w:r w:rsidR="00545D1B" w:rsidRPr="00742A04">
        <w:t xml:space="preserve"> </w:t>
      </w:r>
      <w:r w:rsidR="007C3856" w:rsidRPr="00742A04">
        <w:t>especialmente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495D7B" w:rsidRPr="00742A04">
        <w:t>ya</w:t>
      </w:r>
      <w:r w:rsidR="00545D1B" w:rsidRPr="00742A04">
        <w:t xml:space="preserve"> </w:t>
      </w:r>
      <w:r w:rsidRPr="00742A04">
        <w:t>estaban participando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Pr="00742A04">
        <w:t>reducir el trabajo</w:t>
      </w:r>
      <w:r w:rsidR="00D81031" w:rsidRPr="00742A04">
        <w:t xml:space="preserve"> no deseado a tiempo parcial</w:t>
      </w:r>
      <w:r w:rsidRPr="00742A04">
        <w:t>, o ambas cosas</w:t>
      </w:r>
      <w:r w:rsidR="00545D1B" w:rsidRPr="00742A04">
        <w:t xml:space="preserve">. </w:t>
      </w:r>
      <w:r w:rsidR="00356229" w:rsidRPr="00742A04">
        <w:t>Sobre la base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este</w:t>
      </w:r>
      <w:r w:rsidR="00545D1B" w:rsidRPr="00742A04">
        <w:t xml:space="preserve"> </w:t>
      </w:r>
      <w:r w:rsidR="00100BD0" w:rsidRPr="00742A04">
        <w:t>proyecto</w:t>
      </w:r>
      <w:r w:rsidR="00545D1B" w:rsidRPr="00742A04">
        <w:t xml:space="preserve">, </w:t>
      </w:r>
      <w:r w:rsidRPr="00742A04">
        <w:t xml:space="preserve">se editó </w:t>
      </w:r>
      <w:r w:rsidR="005D2D07" w:rsidRPr="00742A04">
        <w:t>un manual</w:t>
      </w:r>
      <w:r w:rsidR="00545D1B" w:rsidRPr="00742A04">
        <w:t xml:space="preserve"> </w:t>
      </w:r>
      <w:r w:rsidR="008A0C75" w:rsidRPr="00742A04">
        <w:t>titulado</w:t>
      </w:r>
      <w:r w:rsidR="00545D1B" w:rsidRPr="00742A04">
        <w:t xml:space="preserve"> </w:t>
      </w:r>
      <w:r w:rsidR="00545D1B" w:rsidRPr="00742A04">
        <w:rPr>
          <w:i/>
        </w:rPr>
        <w:t xml:space="preserve">Tenke, ville, gjøre – virkemidler </w:t>
      </w:r>
      <w:r w:rsidR="00D0640E">
        <w:rPr>
          <w:i/>
        </w:rPr>
        <w:t>for</w:t>
      </w:r>
      <w:r w:rsidR="00545D1B" w:rsidRPr="00742A04">
        <w:rPr>
          <w:i/>
        </w:rPr>
        <w:t xml:space="preserve"> uøn</w:t>
      </w:r>
      <w:r w:rsidR="00545D1B" w:rsidRPr="00742A04">
        <w:rPr>
          <w:i/>
        </w:rPr>
        <w:t>s</w:t>
      </w:r>
      <w:r w:rsidR="00545D1B" w:rsidRPr="00742A04">
        <w:rPr>
          <w:i/>
        </w:rPr>
        <w:t>ket deltid</w:t>
      </w:r>
      <w:r w:rsidR="00545D1B" w:rsidRPr="00742A04">
        <w:t xml:space="preserve"> (</w:t>
      </w:r>
      <w:r w:rsidRPr="00742A04">
        <w:t>“Pensarlo</w:t>
      </w:r>
      <w:r w:rsidR="00545D1B" w:rsidRPr="00742A04">
        <w:t xml:space="preserve">, </w:t>
      </w:r>
      <w:r w:rsidRPr="00742A04">
        <w:t>desearlo</w:t>
      </w:r>
      <w:r w:rsidR="00545D1B" w:rsidRPr="00742A04">
        <w:t xml:space="preserve">, </w:t>
      </w:r>
      <w:r w:rsidRPr="00742A04">
        <w:t>hacerlo</w:t>
      </w:r>
      <w:r w:rsidR="00545D1B" w:rsidRPr="00742A04">
        <w:t xml:space="preserve"> – </w:t>
      </w:r>
      <w:r w:rsidR="003C5A2B" w:rsidRPr="00742A04">
        <w:t>instrumentos</w:t>
      </w:r>
      <w:r w:rsidR="00545D1B" w:rsidRPr="00742A04">
        <w:t xml:space="preserve"> </w:t>
      </w:r>
      <w:r w:rsidRPr="00742A04">
        <w:t>par</w:t>
      </w:r>
      <w:r w:rsidR="0030626A" w:rsidRPr="00742A04">
        <w:t>a</w:t>
      </w:r>
      <w:r w:rsidR="00545D1B" w:rsidRPr="00742A04">
        <w:t xml:space="preserve"> </w:t>
      </w:r>
      <w:r w:rsidRPr="00742A04">
        <w:t>reducir el trabajo</w:t>
      </w:r>
      <w:r w:rsidR="00D81031" w:rsidRPr="00742A04">
        <w:t xml:space="preserve"> no d</w:t>
      </w:r>
      <w:r w:rsidR="00D81031" w:rsidRPr="00742A04">
        <w:t>e</w:t>
      </w:r>
      <w:r w:rsidR="00D81031" w:rsidRPr="00742A04">
        <w:t>seado a tiempo parcial</w:t>
      </w:r>
      <w:r w:rsidRPr="00742A04">
        <w:t>”</w:t>
      </w:r>
      <w:r w:rsidR="00545D1B" w:rsidRPr="00742A04">
        <w:t xml:space="preserve">). </w:t>
      </w:r>
      <w:r w:rsidRPr="00742A04">
        <w:t>En el</w:t>
      </w:r>
      <w:r w:rsidR="00545D1B" w:rsidRPr="00742A04">
        <w:t xml:space="preserve"> </w:t>
      </w:r>
      <w:r w:rsidR="00D75341" w:rsidRPr="00742A04">
        <w:t>manual</w:t>
      </w:r>
      <w:r w:rsidR="00545D1B" w:rsidRPr="00742A04">
        <w:t xml:space="preserve"> </w:t>
      </w:r>
      <w:r w:rsidRPr="00742A04">
        <w:t>se ponen de relieve</w:t>
      </w:r>
      <w:r w:rsidR="00545D1B" w:rsidRPr="00742A04">
        <w:t xml:space="preserve"> </w:t>
      </w:r>
      <w:r w:rsidR="004B1620" w:rsidRPr="00742A04">
        <w:t>las posibilidades</w:t>
      </w:r>
      <w:r w:rsidRPr="00742A04">
        <w:t xml:space="preserve"> de</w:t>
      </w:r>
      <w:r w:rsidR="00545D1B" w:rsidRPr="00742A04">
        <w:t xml:space="preserve"> </w:t>
      </w:r>
      <w:r w:rsidRPr="00742A04">
        <w:t>nu</w:t>
      </w:r>
      <w:r w:rsidRPr="00742A04">
        <w:t>e</w:t>
      </w:r>
      <w:r w:rsidRPr="00742A04">
        <w:t xml:space="preserve">vas formas de pensamiento y </w:t>
      </w:r>
      <w:r w:rsidR="005E6919" w:rsidRPr="00742A04">
        <w:t>procesos</w:t>
      </w:r>
      <w:r w:rsidR="00545D1B" w:rsidRPr="00742A04">
        <w:t xml:space="preserve"> </w:t>
      </w:r>
      <w:r w:rsidRPr="00742A04">
        <w:t>correctos que han demostrado que</w:t>
      </w:r>
      <w:r w:rsidR="00545D1B" w:rsidRPr="00742A04">
        <w:t xml:space="preserve"> </w:t>
      </w:r>
      <w:r w:rsidR="00CE7870" w:rsidRPr="00742A04">
        <w:t>contrib</w:t>
      </w:r>
      <w:r w:rsidR="00CE7870" w:rsidRPr="00742A04">
        <w:t>u</w:t>
      </w:r>
      <w:r w:rsidRPr="00742A04">
        <w:t>yen</w:t>
      </w:r>
      <w:r w:rsidR="00CE7870" w:rsidRPr="00742A04">
        <w:t xml:space="preserve"> a</w:t>
      </w:r>
      <w:r w:rsidR="00545D1B" w:rsidRPr="00742A04">
        <w:t xml:space="preserve"> </w:t>
      </w:r>
      <w:r w:rsidRPr="00742A04">
        <w:t>reducir el trabajo</w:t>
      </w:r>
      <w:r w:rsidR="00D81031" w:rsidRPr="00742A04">
        <w:t xml:space="preserve"> no deseado a tiempo parcial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43124" w:rsidRPr="00742A04">
        <w:t>las municipalidades</w:t>
      </w:r>
      <w:r w:rsidRPr="00742A04">
        <w:t xml:space="preserve"> pil</w:t>
      </w:r>
      <w:r w:rsidRPr="00742A04">
        <w:t>o</w:t>
      </w:r>
      <w:r w:rsidRPr="00742A04">
        <w:t>tos</w:t>
      </w:r>
      <w:r w:rsidR="000A08D8" w:rsidRPr="00742A04">
        <w:t>.</w:t>
      </w:r>
    </w:p>
    <w:p w:rsidR="00545D1B" w:rsidRPr="00742A04" w:rsidRDefault="00072AD7" w:rsidP="00837D84">
      <w:pPr>
        <w:pStyle w:val="SingleTxt"/>
        <w:keepNext/>
        <w:rPr>
          <w:i/>
        </w:rPr>
      </w:pPr>
      <w:r w:rsidRPr="00742A04">
        <w:rPr>
          <w:i/>
        </w:rPr>
        <w:t>Mujeres</w:t>
      </w:r>
      <w:r w:rsidR="00545D1B" w:rsidRPr="00742A04">
        <w:rPr>
          <w:i/>
        </w:rPr>
        <w:t xml:space="preserve"> </w:t>
      </w:r>
      <w:r w:rsidR="004A0730" w:rsidRPr="00742A04">
        <w:rPr>
          <w:i/>
        </w:rPr>
        <w:t>con</w:t>
      </w:r>
      <w:r w:rsidR="00696F3B" w:rsidRPr="00742A04">
        <w:rPr>
          <w:i/>
        </w:rPr>
        <w:t xml:space="preserve"> </w:t>
      </w:r>
      <w:r w:rsidR="00D76655" w:rsidRPr="00742A04">
        <w:rPr>
          <w:i/>
        </w:rPr>
        <w:t>discapacidades funcionales</w:t>
      </w:r>
    </w:p>
    <w:p w:rsidR="000A08D8" w:rsidRPr="00742A04" w:rsidRDefault="008622FD" w:rsidP="00D574C4">
      <w:pPr>
        <w:pStyle w:val="SingleTxt"/>
        <w:ind w:firstLine="475"/>
      </w:pPr>
      <w:r w:rsidRPr="00742A04">
        <w:t>El género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D0640E">
        <w:t>una</w:t>
      </w:r>
      <w:r w:rsidR="00545D1B" w:rsidRPr="00742A04">
        <w:t xml:space="preserve"> </w:t>
      </w:r>
      <w:r w:rsidR="00D0640E">
        <w:t>entre otr</w:t>
      </w:r>
      <w:r w:rsidR="00D76655" w:rsidRPr="00742A04">
        <w:t>a</w:t>
      </w:r>
      <w:r w:rsidR="004D313C" w:rsidRPr="00742A04">
        <w:t>s</w:t>
      </w:r>
      <w:r w:rsidR="00545D1B" w:rsidRPr="00742A04">
        <w:t xml:space="preserve"> </w:t>
      </w:r>
      <w:r w:rsidR="00AE7B93" w:rsidRPr="00742A04">
        <w:t>importante</w:t>
      </w:r>
      <w:r w:rsidR="00D76655" w:rsidRPr="00742A04">
        <w:t>s</w:t>
      </w:r>
      <w:r w:rsidR="00545D1B" w:rsidRPr="00742A04">
        <w:t xml:space="preserve"> variabl</w:t>
      </w:r>
      <w:r w:rsidR="0081178E" w:rsidRPr="00742A04">
        <w:t>es que</w:t>
      </w:r>
      <w:r w:rsidR="00545D1B" w:rsidRPr="00742A04">
        <w:t xml:space="preserve"> </w:t>
      </w:r>
      <w:r w:rsidR="00D76655" w:rsidRPr="00742A04">
        <w:t>afectan</w:t>
      </w:r>
      <w:r w:rsidR="00545D1B" w:rsidRPr="00742A04">
        <w:t xml:space="preserve"> </w:t>
      </w:r>
      <w:r w:rsidR="00D76655" w:rsidRPr="00742A04">
        <w:t>las vidas cot</w:t>
      </w:r>
      <w:r w:rsidR="00D76655" w:rsidRPr="00742A04">
        <w:t>i</w:t>
      </w:r>
      <w:r w:rsidR="00D76655" w:rsidRPr="00742A04">
        <w:t>dianas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76655" w:rsidRPr="00742A04">
        <w:t>las personas 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D4DF1" w:rsidRPr="00742A04">
        <w:t>los países nó</w:t>
      </w:r>
      <w:r w:rsidR="00ED4DF1" w:rsidRPr="00742A04">
        <w:t>r</w:t>
      </w:r>
      <w:r w:rsidR="00ED4DF1" w:rsidRPr="00742A04">
        <w:t>dicos</w:t>
      </w:r>
      <w:r w:rsidR="00545D1B" w:rsidRPr="00742A04">
        <w:t xml:space="preserve">, </w:t>
      </w:r>
      <w:r w:rsidR="00D76655" w:rsidRPr="00742A04">
        <w:t xml:space="preserve">es infrecuente que se integre </w:t>
      </w:r>
      <w:r w:rsidR="003E5775" w:rsidRPr="00742A04">
        <w:t>la perspectiva</w:t>
      </w:r>
      <w:r w:rsidR="00587443" w:rsidRPr="00742A04">
        <w:t xml:space="preserve"> de género</w:t>
      </w:r>
      <w:r w:rsidR="00545D1B" w:rsidRPr="00742A04">
        <w:t xml:space="preserve"> </w:t>
      </w:r>
      <w:r w:rsidR="00D76655" w:rsidRPr="00742A04">
        <w:t>en</w:t>
      </w:r>
      <w:r w:rsidR="00545D1B" w:rsidRPr="00742A04">
        <w:t xml:space="preserve"> </w:t>
      </w:r>
      <w:r w:rsidR="00844FDB" w:rsidRPr="00742A04">
        <w:t>la investigación</w:t>
      </w:r>
      <w:r w:rsidR="00545D1B" w:rsidRPr="00742A04">
        <w:t xml:space="preserve"> </w:t>
      </w:r>
      <w:r w:rsidR="00D76655" w:rsidRPr="00742A04">
        <w:t>s</w:t>
      </w:r>
      <w:r w:rsidR="00D76655" w:rsidRPr="00742A04">
        <w:t>o</w:t>
      </w:r>
      <w:r w:rsidR="00D76655" w:rsidRPr="00742A04">
        <w:t>bre la</w:t>
      </w:r>
      <w:r w:rsidR="00545D1B" w:rsidRPr="00742A04">
        <w:t xml:space="preserve"> </w:t>
      </w:r>
      <w:r w:rsidR="00A93B9E" w:rsidRPr="00742A04">
        <w:t>discapacidad</w:t>
      </w:r>
      <w:r w:rsidR="00545D1B" w:rsidRPr="00742A04">
        <w:t xml:space="preserve">. </w:t>
      </w:r>
      <w:r w:rsidR="00D76655" w:rsidRPr="00742A04">
        <w:t>Frecuentemente se hace referencia a las personas discapacitadas</w:t>
      </w:r>
      <w:r w:rsidR="00545D1B" w:rsidRPr="00742A04">
        <w:t xml:space="preserve"> </w:t>
      </w:r>
      <w:r w:rsidR="00D76655" w:rsidRPr="00742A04">
        <w:t>como</w:t>
      </w:r>
      <w:r w:rsidR="00545D1B" w:rsidRPr="00742A04">
        <w:t xml:space="preserve"> </w:t>
      </w:r>
      <w:r w:rsidR="00D76655" w:rsidRPr="00742A04">
        <w:t>grupo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43124" w:rsidRPr="00742A04">
        <w:t>hay</w:t>
      </w:r>
      <w:r w:rsidR="00545D1B" w:rsidRPr="00742A04">
        <w:t xml:space="preserve"> </w:t>
      </w:r>
      <w:r w:rsidR="00D76655" w:rsidRPr="00742A04">
        <w:t>pocas</w:t>
      </w:r>
      <w:r w:rsidR="00545D1B" w:rsidRPr="00742A04">
        <w:t xml:space="preserve"> </w:t>
      </w:r>
      <w:r w:rsidR="00894371" w:rsidRPr="00742A04">
        <w:t>distincion</w:t>
      </w:r>
      <w:r w:rsidR="00894371">
        <w:t>es</w:t>
      </w:r>
      <w:r w:rsidR="00C14BFF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="00D76655" w:rsidRPr="00742A04">
        <w:t>niña</w:t>
      </w:r>
      <w:r w:rsidR="00272D31" w:rsidRPr="00742A04">
        <w:t>s</w:t>
      </w:r>
      <w:r w:rsidR="00587443" w:rsidRPr="00742A04">
        <w:t xml:space="preserve"> y </w:t>
      </w:r>
      <w:r w:rsidR="00D76655" w:rsidRPr="00742A04">
        <w:t>niño</w:t>
      </w:r>
      <w:r w:rsidR="00587443" w:rsidRPr="00742A04">
        <w:t>s</w:t>
      </w:r>
      <w:r w:rsidR="000A08D8" w:rsidRPr="00742A04">
        <w:t>.</w:t>
      </w:r>
    </w:p>
    <w:p w:rsidR="000A08D8" w:rsidRPr="00742A04" w:rsidRDefault="00B62ED2" w:rsidP="00D574C4">
      <w:pPr>
        <w:pStyle w:val="SingleTxt"/>
        <w:ind w:firstLine="475"/>
      </w:pPr>
      <w:r>
        <w:t>Si bien</w:t>
      </w:r>
      <w:r w:rsidR="00545D1B" w:rsidRPr="00742A04">
        <w:t xml:space="preserve"> </w:t>
      </w:r>
      <w:r w:rsidR="00373AA0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73AA0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373AA0" w:rsidRPr="00742A04">
        <w:t>tienen m</w:t>
      </w:r>
      <w:r w:rsidR="00373AA0" w:rsidRPr="00742A04">
        <w:t>u</w:t>
      </w:r>
      <w:r w:rsidR="00373AA0" w:rsidRPr="00742A04">
        <w:t>cho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31FF2" w:rsidRPr="00742A04">
        <w:t>común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373AA0" w:rsidRPr="00742A04">
        <w:t>numeros</w:t>
      </w:r>
      <w:r w:rsidR="00CE7870" w:rsidRPr="00742A04">
        <w:t>os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373AA0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6137EC" w:rsidRPr="00742A04">
        <w:t>s</w:t>
      </w:r>
      <w:r w:rsidR="00373AA0" w:rsidRPr="00742A04">
        <w:t>e enfrentan a una</w:t>
      </w:r>
      <w:r w:rsidR="00545D1B" w:rsidRPr="00742A04">
        <w:t xml:space="preserve"> </w:t>
      </w:r>
      <w:r w:rsidR="00373AA0" w:rsidRPr="00742A04">
        <w:t>doble</w:t>
      </w:r>
      <w:r w:rsidR="00545D1B" w:rsidRPr="00742A04">
        <w:t xml:space="preserve"> </w:t>
      </w:r>
      <w:r w:rsidR="00A05847" w:rsidRPr="00742A04">
        <w:t>discrimin</w:t>
      </w:r>
      <w:r w:rsidR="00A05847" w:rsidRPr="00742A04">
        <w:t>a</w:t>
      </w:r>
      <w:r w:rsidR="00A05847" w:rsidRPr="00742A04">
        <w:t>ción</w:t>
      </w:r>
      <w:r w:rsidR="00545D1B" w:rsidRPr="00742A04">
        <w:t xml:space="preserve">. </w:t>
      </w:r>
      <w:r w:rsidR="00373AA0" w:rsidRPr="00742A04">
        <w:t>A veces</w:t>
      </w:r>
      <w:r w:rsidR="00545D1B" w:rsidRPr="00742A04">
        <w:t xml:space="preserve"> </w:t>
      </w:r>
      <w:r w:rsidR="00373AA0" w:rsidRPr="00742A04">
        <w:t>tienen un</w:t>
      </w:r>
      <w:r w:rsidR="00545D1B" w:rsidRPr="00742A04">
        <w:t xml:space="preserve"> </w:t>
      </w:r>
      <w:r w:rsidR="00373AA0" w:rsidRPr="00742A04">
        <w:t>peor</w:t>
      </w:r>
      <w:r w:rsidR="00545D1B" w:rsidRPr="00742A04">
        <w:t xml:space="preserve"> </w:t>
      </w:r>
      <w:r w:rsidR="000472FC" w:rsidRPr="00742A04">
        <w:t>punto de partida</w:t>
      </w:r>
      <w:r w:rsidR="00545D1B" w:rsidRPr="00742A04">
        <w:t xml:space="preserve"> </w:t>
      </w:r>
      <w:r w:rsidR="0081178E" w:rsidRPr="00742A04">
        <w:t>que los 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73AA0" w:rsidRPr="00742A04">
        <w:t>situaciones anál</w:t>
      </w:r>
      <w:r w:rsidR="00373AA0" w:rsidRPr="00742A04">
        <w:t>o</w:t>
      </w:r>
      <w:r w:rsidR="00373AA0" w:rsidRPr="00742A04">
        <w:t>gas</w:t>
      </w:r>
      <w:r w:rsidR="00545D1B" w:rsidRPr="00742A04">
        <w:t xml:space="preserve">. </w:t>
      </w:r>
      <w:r w:rsidR="00373AA0" w:rsidRPr="00742A04">
        <w:t>La exclusión social</w:t>
      </w:r>
      <w:r w:rsidR="005E6919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373AA0" w:rsidRPr="00742A04">
        <w:t xml:space="preserve">están expuestas las </w:t>
      </w:r>
      <w:r w:rsidR="00072AD7" w:rsidRPr="00742A04">
        <w:t>mujeres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</w:t>
      </w:r>
      <w:r w:rsidR="00D76655" w:rsidRPr="00742A04">
        <w:t>n</w:t>
      </w:r>
      <w:r w:rsidR="00D76655" w:rsidRPr="00742A04">
        <w:t>cionales</w:t>
      </w:r>
      <w:r w:rsidR="00545D1B" w:rsidRPr="00742A04">
        <w:t xml:space="preserve"> </w:t>
      </w:r>
      <w:r w:rsidR="00373AA0" w:rsidRPr="00742A04">
        <w:t>no puede</w:t>
      </w:r>
      <w:r w:rsidR="00545D1B" w:rsidRPr="00742A04">
        <w:t xml:space="preserve"> expl</w:t>
      </w:r>
      <w:r w:rsidR="00373AA0" w:rsidRPr="00742A04">
        <w:t>icarse sólo</w:t>
      </w:r>
      <w:r w:rsidR="00545D1B" w:rsidRPr="00742A04">
        <w:t xml:space="preserve"> </w:t>
      </w:r>
      <w:r w:rsidR="00356229" w:rsidRPr="00742A04">
        <w:t>sobre la base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A93B9E" w:rsidRPr="00742A04">
        <w:t>discapacidad</w:t>
      </w:r>
      <w:r w:rsidR="00545D1B" w:rsidRPr="00742A04">
        <w:t xml:space="preserve">; </w:t>
      </w:r>
      <w:r w:rsidR="00373AA0" w:rsidRPr="00742A04">
        <w:t xml:space="preserve">también debe tenerse en cuenta </w:t>
      </w:r>
      <w:r w:rsidR="003E5775" w:rsidRPr="00742A04">
        <w:t>la perspect</w:t>
      </w:r>
      <w:r w:rsidR="003E5775" w:rsidRPr="00742A04">
        <w:t>i</w:t>
      </w:r>
      <w:r w:rsidR="003E5775" w:rsidRPr="00742A04">
        <w:t>va</w:t>
      </w:r>
      <w:r w:rsidR="00587443" w:rsidRPr="00742A04">
        <w:t xml:space="preserve"> de género</w:t>
      </w:r>
      <w:r w:rsidR="000A08D8" w:rsidRPr="00742A04">
        <w:t>.</w:t>
      </w:r>
    </w:p>
    <w:p w:rsidR="00545D1B" w:rsidRPr="00742A04" w:rsidRDefault="00B82A08" w:rsidP="00D574C4">
      <w:pPr>
        <w:pStyle w:val="SingleTxt"/>
        <w:ind w:firstLine="475"/>
      </w:pPr>
      <w:r w:rsidRPr="00742A04">
        <w:t>Las personas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373AA0" w:rsidRPr="00742A04">
        <w:t>tienen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585E84" w:rsidRPr="00742A04">
        <w:t xml:space="preserve">el resto </w:t>
      </w:r>
      <w:r w:rsidR="004A0730" w:rsidRPr="00742A04">
        <w:t>de</w:t>
      </w:r>
      <w:r w:rsidR="00545D1B" w:rsidRPr="00742A04">
        <w:t xml:space="preserve"> </w:t>
      </w:r>
      <w:r w:rsidR="00DD710E" w:rsidRPr="00742A04">
        <w:t>la población</w:t>
      </w:r>
      <w:r w:rsidR="00C27C42" w:rsidRPr="00742A04">
        <w:t>.</w:t>
      </w:r>
      <w:r w:rsidR="00545D1B" w:rsidRPr="00742A04">
        <w:t xml:space="preserve"> </w:t>
      </w:r>
      <w:r w:rsidR="00C076F2" w:rsidRPr="00742A04">
        <w:t>Las diferencias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507A11" w:rsidRPr="00742A04">
        <w:t>más</w:t>
      </w:r>
      <w:r w:rsidR="00545D1B" w:rsidRPr="00742A04">
        <w:t xml:space="preserve"> </w:t>
      </w:r>
      <w:r w:rsidR="00373AA0" w:rsidRPr="00742A04">
        <w:t>marcadas</w:t>
      </w:r>
      <w:r w:rsidR="00545D1B" w:rsidRPr="00742A04">
        <w:t xml:space="preserve"> </w:t>
      </w:r>
      <w:r w:rsidR="00373AA0" w:rsidRPr="00742A04">
        <w:t>en el nivel de colegio y universidad</w:t>
      </w:r>
      <w:r w:rsidR="00545D1B" w:rsidRPr="00742A04">
        <w:t xml:space="preserve">. </w:t>
      </w:r>
      <w:r w:rsidR="00B8584B" w:rsidRPr="00742A04">
        <w:t>Mientras que</w:t>
      </w:r>
      <w:r w:rsidR="00545D1B" w:rsidRPr="00742A04">
        <w:t xml:space="preserve"> </w:t>
      </w:r>
      <w:r w:rsidR="0020405D" w:rsidRPr="00742A04">
        <w:t>la escuela secundaria superior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373AA0" w:rsidRPr="00742A04">
        <w:t>el nivel más alto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</w:t>
      </w:r>
      <w:r w:rsidR="00A05847" w:rsidRPr="00742A04">
        <w:t>u</w:t>
      </w:r>
      <w:r w:rsidR="00A05847" w:rsidRPr="00742A04">
        <w:t>cación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73AA0" w:rsidRPr="00742A04">
        <w:t xml:space="preserve">el </w:t>
      </w:r>
      <w:r w:rsidR="00545D1B" w:rsidRPr="00742A04">
        <w:t>40</w:t>
      </w:r>
      <w:r w:rsidR="00E270D5" w:rsidRPr="00742A04">
        <w:t>,7%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76655" w:rsidRPr="00742A04">
        <w:t>las personas 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, </w:t>
      </w:r>
      <w:r w:rsidR="00373AA0" w:rsidRPr="00742A04">
        <w:t>la cifra c</w:t>
      </w:r>
      <w:r w:rsidR="00373AA0" w:rsidRPr="00742A04">
        <w:t>o</w:t>
      </w:r>
      <w:r w:rsidR="00373AA0" w:rsidRPr="00742A04">
        <w:t>rrespondiente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73AA0" w:rsidRPr="00742A04">
        <w:t>las personas sin discapacidades</w:t>
      </w:r>
      <w:r w:rsidR="00545D1B" w:rsidRPr="00742A04">
        <w:t xml:space="preserve"> </w:t>
      </w:r>
      <w:r w:rsidR="00BB4DB1" w:rsidRPr="00742A04">
        <w:t>es</w:t>
      </w:r>
      <w:r w:rsidR="007F2933">
        <w:t xml:space="preserve"> el</w:t>
      </w:r>
      <w:r w:rsidR="00545D1B" w:rsidRPr="00742A04">
        <w:t xml:space="preserve"> 43.1</w:t>
      </w:r>
      <w:r w:rsidR="001167D2" w:rsidRPr="00742A04">
        <w:t>%</w:t>
      </w:r>
      <w:r w:rsidR="00545D1B" w:rsidRPr="00742A04">
        <w:t xml:space="preserve">. </w:t>
      </w:r>
      <w:r w:rsidR="00032F7B" w:rsidRPr="00742A04">
        <w:t>Col</w:t>
      </w:r>
      <w:r w:rsidR="00032F7B" w:rsidRPr="00742A04">
        <w:t>e</w:t>
      </w:r>
      <w:r w:rsidR="00032F7B" w:rsidRPr="00742A04">
        <w:t>gio</w:t>
      </w:r>
      <w:r w:rsidR="00545D1B" w:rsidRPr="00742A04">
        <w:t>/univers</w:t>
      </w:r>
      <w:r w:rsidR="00502E16" w:rsidRPr="00742A04">
        <w:t>idad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373AA0" w:rsidRPr="00742A04">
        <w:t>el nivel más alto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educación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7F2933">
        <w:t xml:space="preserve">el </w:t>
      </w:r>
      <w:r w:rsidR="00545D1B" w:rsidRPr="00742A04">
        <w:t>38.5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76655" w:rsidRPr="00742A04">
        <w:t>las personas 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F2933">
        <w:t xml:space="preserve">el </w:t>
      </w:r>
      <w:r w:rsidR="00545D1B" w:rsidRPr="00742A04">
        <w:t>46</w:t>
      </w:r>
      <w:r w:rsidR="00E270D5" w:rsidRPr="00742A04">
        <w:t>,3%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73AA0" w:rsidRPr="00742A04">
        <w:t>las personas sin discapacidades</w:t>
      </w:r>
      <w:r w:rsidR="00545D1B" w:rsidRPr="00742A04">
        <w:t xml:space="preserve">. </w:t>
      </w:r>
      <w:r w:rsidR="00894371">
        <w:t>El ni</w:t>
      </w:r>
      <w:r w:rsidR="00894371" w:rsidRPr="00742A04">
        <w:t xml:space="preserve">vel de educación de las mujeres con discapacidades funcionales es levemente superior </w:t>
      </w:r>
      <w:r w:rsidR="00894371">
        <w:t>al de los</w:t>
      </w:r>
      <w:r w:rsidR="00894371" w:rsidRPr="00742A04">
        <w:t xml:space="preserve"> hombres.</w:t>
      </w:r>
    </w:p>
    <w:p w:rsidR="000A08D8" w:rsidRPr="00742A04" w:rsidRDefault="00D76655" w:rsidP="00D574C4">
      <w:pPr>
        <w:pStyle w:val="SingleTxt"/>
        <w:ind w:firstLine="475"/>
      </w:pPr>
      <w:r w:rsidRPr="00742A04">
        <w:t>Las personas con</w:t>
      </w:r>
      <w:r w:rsidR="00545D1B" w:rsidRPr="00742A04">
        <w:t xml:space="preserve"> </w:t>
      </w:r>
      <w:r w:rsidR="00373AA0" w:rsidRPr="00742A04">
        <w:t>discapacidades ocupacionales</w:t>
      </w:r>
      <w:r w:rsidR="00545D1B" w:rsidRPr="00742A04">
        <w:t xml:space="preserve"> </w:t>
      </w:r>
      <w:r w:rsidR="001872C6" w:rsidRPr="00742A04">
        <w:t>constituye</w:t>
      </w:r>
      <w:r w:rsidR="006137EC" w:rsidRPr="00742A04">
        <w:t>n</w:t>
      </w:r>
      <w:r w:rsidR="00545D1B" w:rsidRPr="00742A04">
        <w:t xml:space="preserve"> </w:t>
      </w:r>
      <w:r w:rsidR="001872C6" w:rsidRPr="00742A04">
        <w:t>un grupo especial</w:t>
      </w:r>
      <w:r w:rsidR="004118CA" w:rsidRPr="00742A04">
        <w:t xml:space="preserve"> </w:t>
      </w:r>
      <w:r w:rsidR="00056903" w:rsidRPr="00742A04">
        <w:t xml:space="preserve">como </w:t>
      </w:r>
      <w:r w:rsidR="004118CA" w:rsidRPr="00742A04">
        <w:t>destinatario</w:t>
      </w:r>
      <w:r w:rsidR="00545D1B" w:rsidRPr="00742A04">
        <w:t xml:space="preserve"> </w:t>
      </w:r>
      <w:r w:rsidR="00056903" w:rsidRPr="00742A04">
        <w:t xml:space="preserve">de </w:t>
      </w:r>
      <w:r w:rsidR="007F2933">
        <w:t xml:space="preserve">las </w:t>
      </w:r>
      <w:r w:rsidR="00056903" w:rsidRPr="00742A04">
        <w:t xml:space="preserve">políticas </w:t>
      </w:r>
      <w:r w:rsidR="007F2933">
        <w:t xml:space="preserve">del </w:t>
      </w:r>
      <w:r w:rsidR="00056903" w:rsidRPr="00742A04">
        <w:t>mercado de trabajo</w:t>
      </w:r>
      <w:r w:rsidR="00545D1B" w:rsidRPr="00742A04">
        <w:t xml:space="preserve">. </w:t>
      </w:r>
      <w:r w:rsidR="00056903" w:rsidRPr="00742A04">
        <w:t>Ello</w:t>
      </w:r>
      <w:r w:rsidR="00545D1B" w:rsidRPr="00742A04">
        <w:t xml:space="preserve"> </w:t>
      </w:r>
      <w:r w:rsidR="00D3378F" w:rsidRPr="00742A04">
        <w:t>significa que</w:t>
      </w:r>
      <w:r w:rsidR="00545D1B" w:rsidRPr="00742A04">
        <w:t xml:space="preserve"> </w:t>
      </w:r>
      <w:r w:rsidR="00056903" w:rsidRPr="00742A04">
        <w:t>se asi</w:t>
      </w:r>
      <w:r w:rsidR="00056903" w:rsidRPr="00742A04">
        <w:t>g</w:t>
      </w:r>
      <w:r w:rsidR="00056903" w:rsidRPr="00742A04">
        <w:t xml:space="preserve">na </w:t>
      </w:r>
      <w:r w:rsidR="00545D1B" w:rsidRPr="00742A04">
        <w:t>prior</w:t>
      </w:r>
      <w:r w:rsidR="00502E16" w:rsidRPr="00742A04">
        <w:t>idad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discapacidades funcionales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56903" w:rsidRPr="00742A04">
        <w:t xml:space="preserve">las </w:t>
      </w:r>
      <w:r w:rsidR="00614C7D" w:rsidRPr="00742A04">
        <w:t>iniciativa</w:t>
      </w:r>
      <w:r w:rsidR="00545D1B" w:rsidRPr="00742A04">
        <w:t xml:space="preserve">s </w:t>
      </w:r>
      <w:r w:rsidR="00056903" w:rsidRPr="00742A04">
        <w:t>relaci</w:t>
      </w:r>
      <w:r w:rsidR="00056903" w:rsidRPr="00742A04">
        <w:t>o</w:t>
      </w:r>
      <w:r w:rsidR="00056903" w:rsidRPr="00742A04">
        <w:t>nadas con el</w:t>
      </w:r>
      <w:r w:rsidR="00024DBC" w:rsidRPr="00742A04">
        <w:t xml:space="preserve"> </w:t>
      </w:r>
      <w:r w:rsidR="00056903" w:rsidRPr="00742A04">
        <w:t xml:space="preserve">mercado de trabajo y </w:t>
      </w:r>
      <w:r w:rsidR="00024DBC" w:rsidRPr="00742A04">
        <w:t>que</w:t>
      </w:r>
      <w:r w:rsidR="00545D1B" w:rsidRPr="00742A04">
        <w:t xml:space="preserve"> </w:t>
      </w:r>
      <w:r w:rsidR="00056903" w:rsidRPr="00742A04">
        <w:t>se presta especial atención al seguimiento de dichas personas</w:t>
      </w:r>
      <w:r w:rsidR="00545D1B" w:rsidRPr="00742A04">
        <w:t xml:space="preserve">. </w:t>
      </w:r>
      <w:r w:rsidR="00056903" w:rsidRPr="00742A04">
        <w:t xml:space="preserve">Se formulan planes de </w:t>
      </w:r>
      <w:r w:rsidR="008A0C75" w:rsidRPr="00742A04">
        <w:t>seguimiento</w:t>
      </w:r>
      <w:r w:rsidR="00056903" w:rsidRPr="00742A04">
        <w:t xml:space="preserve"> individuales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056903" w:rsidRPr="00742A04">
        <w:t>abarcan la</w:t>
      </w:r>
      <w:r w:rsidR="00545D1B" w:rsidRPr="00742A04">
        <w:t xml:space="preserve"> </w:t>
      </w:r>
      <w:r w:rsidR="002E5047" w:rsidRPr="00742A04">
        <w:t>contratación</w:t>
      </w:r>
      <w:r w:rsidR="00545D1B" w:rsidRPr="00742A04">
        <w:t xml:space="preserve">, </w:t>
      </w:r>
      <w:r w:rsidR="00056903" w:rsidRPr="00742A04">
        <w:t xml:space="preserve">la </w:t>
      </w:r>
      <w:r w:rsidR="00F43124" w:rsidRPr="00742A04">
        <w:t>capacitación</w:t>
      </w:r>
      <w:r w:rsidR="00056903" w:rsidRPr="00742A04">
        <w:t xml:space="preserve"> para el trabajo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56903" w:rsidRPr="00742A04">
        <w:t xml:space="preserve">el fortalecimiento de la </w:t>
      </w:r>
      <w:r w:rsidR="00545D1B" w:rsidRPr="00742A04">
        <w:t>competenc</w:t>
      </w:r>
      <w:r w:rsidR="00056903" w:rsidRPr="00742A04">
        <w:t>ia</w:t>
      </w:r>
      <w:r w:rsidR="00545D1B" w:rsidRPr="00742A04">
        <w:t xml:space="preserve">. </w:t>
      </w:r>
      <w:r w:rsidR="005C39D4" w:rsidRPr="00742A04">
        <w:t>Las medidas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56903" w:rsidRPr="00742A04">
        <w:t>iguales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56903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56903" w:rsidRPr="00742A04">
        <w:t xml:space="preserve">para los </w:t>
      </w:r>
      <w:r w:rsidR="00072AD7" w:rsidRPr="00742A04">
        <w:t>hombres</w:t>
      </w:r>
      <w:r w:rsidR="00545D1B" w:rsidRPr="00742A04">
        <w:t xml:space="preserve">. </w:t>
      </w:r>
      <w:r w:rsidR="0073426C" w:rsidRPr="00742A04">
        <w:t>Asimismo, se ha dado a l</w:t>
      </w:r>
      <w:r w:rsidR="00AF6A61" w:rsidRPr="00742A04">
        <w:t>a nueva</w:t>
      </w:r>
      <w:r w:rsidR="00545D1B" w:rsidRPr="00742A04">
        <w:t xml:space="preserve"> </w:t>
      </w:r>
      <w:r w:rsidR="00056903" w:rsidRPr="00742A04">
        <w:t xml:space="preserve">Ombudsman de Promoción de la </w:t>
      </w:r>
      <w:r w:rsidR="00502E16" w:rsidRPr="00742A04">
        <w:t>Igualdad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D0883" w:rsidRPr="00742A04">
        <w:t>Lucha co</w:t>
      </w:r>
      <w:r w:rsidR="00056903" w:rsidRPr="00742A04">
        <w:t>ntra la D</w:t>
      </w:r>
      <w:r w:rsidR="00AD0883" w:rsidRPr="00742A04">
        <w:t>iscrimin</w:t>
      </w:r>
      <w:r w:rsidR="00AD0883" w:rsidRPr="00742A04">
        <w:t>a</w:t>
      </w:r>
      <w:r w:rsidR="00AD0883" w:rsidRPr="00742A04">
        <w:t>ción</w:t>
      </w:r>
      <w:r w:rsidR="00C14BFF" w:rsidRPr="00742A04">
        <w:t xml:space="preserve"> </w:t>
      </w:r>
      <w:r w:rsidR="0073426C" w:rsidRPr="00742A04">
        <w:t xml:space="preserve">el cometido de hacer cumplir las disposiciones sobre la </w:t>
      </w:r>
      <w:r w:rsidR="00AD0883" w:rsidRPr="00742A04">
        <w:t>lucha contra la discr</w:t>
      </w:r>
      <w:r w:rsidR="00AD0883" w:rsidRPr="00742A04">
        <w:t>i</w:t>
      </w:r>
      <w:r w:rsidR="00AD0883" w:rsidRPr="00742A04">
        <w:t>minación</w:t>
      </w:r>
      <w:r w:rsidR="00545D1B" w:rsidRPr="00742A04">
        <w:t xml:space="preserve"> </w:t>
      </w:r>
      <w:r w:rsidR="0073426C" w:rsidRPr="00742A04">
        <w:t xml:space="preserve">contenidas </w:t>
      </w:r>
      <w:r w:rsidR="00C14BFF" w:rsidRPr="00742A04">
        <w:t>en</w:t>
      </w:r>
      <w:r w:rsidR="00545D1B" w:rsidRPr="00742A04">
        <w:t xml:space="preserve"> </w:t>
      </w:r>
      <w:r w:rsidR="00963214" w:rsidRPr="00742A04">
        <w:t xml:space="preserve">la Ley </w:t>
      </w:r>
      <w:r w:rsidR="00AF398C" w:rsidRPr="00742A04">
        <w:t>sobre el Ambiente de Trabajo</w:t>
      </w:r>
      <w:r w:rsidR="00545D1B" w:rsidRPr="00742A04">
        <w:t xml:space="preserve">. </w:t>
      </w:r>
      <w:r w:rsidR="0073426C" w:rsidRPr="00742A04">
        <w:t>Esas</w:t>
      </w:r>
      <w:r w:rsidR="00545D1B" w:rsidRPr="00742A04">
        <w:t xml:space="preserve"> </w:t>
      </w:r>
      <w:r w:rsidR="00980475" w:rsidRPr="00742A04">
        <w:t>disposiciones</w:t>
      </w:r>
      <w:r w:rsidR="00545D1B" w:rsidRPr="00742A04">
        <w:t xml:space="preserve"> </w:t>
      </w:r>
      <w:r w:rsidR="0073426C" w:rsidRPr="00742A04">
        <w:t>prohíben la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73426C" w:rsidRPr="00742A04">
        <w:t>e</w:t>
      </w:r>
      <w:r w:rsidR="00545D1B" w:rsidRPr="00742A04">
        <w:t xml:space="preserve">n </w:t>
      </w:r>
      <w:r w:rsidR="00434891" w:rsidRPr="00742A04">
        <w:t>el mercado de trabajo</w:t>
      </w:r>
      <w:r w:rsidR="00545D1B" w:rsidRPr="00742A04">
        <w:t xml:space="preserve"> </w:t>
      </w:r>
      <w:r w:rsidR="0073426C" w:rsidRPr="00742A04">
        <w:t>fundad</w:t>
      </w:r>
      <w:r w:rsidR="003129E2" w:rsidRPr="00742A04">
        <w:t>a</w:t>
      </w:r>
      <w:r w:rsidR="0073426C" w:rsidRPr="00742A04">
        <w:t>s en</w:t>
      </w:r>
      <w:r w:rsidR="00545D1B" w:rsidRPr="00742A04">
        <w:t xml:space="preserve"> crite</w:t>
      </w:r>
      <w:r w:rsidR="0073426C" w:rsidRPr="00742A04">
        <w:t>rios</w:t>
      </w:r>
      <w:r w:rsidR="00545D1B" w:rsidRPr="00742A04">
        <w:t xml:space="preserve"> </w:t>
      </w:r>
      <w:r w:rsidR="00AD0883" w:rsidRPr="00742A04">
        <w:t>tales c</w:t>
      </w:r>
      <w:r w:rsidR="00AD0883" w:rsidRPr="00742A04">
        <w:t>o</w:t>
      </w:r>
      <w:r w:rsidR="00AD0883" w:rsidRPr="00742A04">
        <w:t>mo</w:t>
      </w:r>
      <w:r w:rsidR="00545D1B" w:rsidRPr="00742A04">
        <w:t xml:space="preserve"> </w:t>
      </w:r>
      <w:r w:rsidR="0073426C" w:rsidRPr="00742A04">
        <w:t xml:space="preserve">el </w:t>
      </w:r>
      <w:r w:rsidR="00A836A1" w:rsidRPr="00742A04">
        <w:t>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3426C" w:rsidRPr="00742A04">
        <w:t>el origen étnico,</w:t>
      </w:r>
      <w:r w:rsidR="00545D1B" w:rsidRPr="00742A04">
        <w:t xml:space="preserve"> </w:t>
      </w:r>
      <w:r w:rsidR="006B65CD" w:rsidRPr="00742A04">
        <w:t>así como</w:t>
      </w:r>
      <w:r w:rsidR="00545D1B" w:rsidRPr="00742A04">
        <w:t xml:space="preserve"> </w:t>
      </w:r>
      <w:r w:rsidR="000B41AF" w:rsidRPr="00742A04">
        <w:t>por motivos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93B9E" w:rsidRPr="00742A04">
        <w:t>discapacidad</w:t>
      </w:r>
      <w:r w:rsidR="00545D1B" w:rsidRPr="00742A04">
        <w:t xml:space="preserve">. </w:t>
      </w:r>
      <w:r w:rsidR="00BB4DB1" w:rsidRPr="00742A04">
        <w:t>Las autor</w:t>
      </w:r>
      <w:r w:rsidR="00BB4DB1" w:rsidRPr="00742A04">
        <w:t>i</w:t>
      </w:r>
      <w:r w:rsidR="00BB4DB1" w:rsidRPr="00742A04">
        <w:t>dades</w:t>
      </w:r>
      <w:r w:rsidR="00545D1B" w:rsidRPr="00742A04">
        <w:t xml:space="preserve"> </w:t>
      </w:r>
      <w:r w:rsidR="003129E2" w:rsidRPr="00742A04">
        <w:t>tienen grandes</w:t>
      </w:r>
      <w:r w:rsidR="00545D1B" w:rsidRPr="00742A04">
        <w:t xml:space="preserve"> expecta</w:t>
      </w:r>
      <w:r w:rsidR="003129E2" w:rsidRPr="00742A04">
        <w:t xml:space="preserve">tivas </w:t>
      </w:r>
      <w:r w:rsidR="007F2933">
        <w:t>acerca d</w:t>
      </w:r>
      <w:r w:rsidR="003129E2" w:rsidRPr="00742A04">
        <w:t>e</w:t>
      </w:r>
      <w:r w:rsidR="00AF6A61" w:rsidRPr="00742A04">
        <w:t>l</w:t>
      </w:r>
      <w:r w:rsidR="003129E2" w:rsidRPr="00742A04">
        <w:t xml:space="preserve"> nuevo</w:t>
      </w:r>
      <w:r w:rsidR="00545D1B" w:rsidRPr="00742A04">
        <w:t xml:space="preserve"> </w:t>
      </w:r>
      <w:r w:rsidR="003129E2" w:rsidRPr="00742A04">
        <w:t xml:space="preserve">mecanismo de </w:t>
      </w:r>
      <w:r w:rsidR="00AD0883" w:rsidRPr="00742A04">
        <w:t>lucha contra la discriminación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3129E2" w:rsidRPr="00742A04">
        <w:t>tiene la finalidad de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="003129E2" w:rsidRPr="00742A04">
        <w:t>un enfoque amplio e</w:t>
      </w:r>
      <w:r w:rsidR="00545D1B" w:rsidRPr="00742A04">
        <w:t xml:space="preserve"> integra</w:t>
      </w:r>
      <w:r w:rsidR="003129E2" w:rsidRPr="00742A04">
        <w:t>do de la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129E2" w:rsidRPr="00742A04">
        <w:t>tiene el</w:t>
      </w:r>
      <w:r w:rsidR="00545D1B" w:rsidRPr="00742A04">
        <w:t xml:space="preserve"> </w:t>
      </w:r>
      <w:r w:rsidR="005D2D07" w:rsidRPr="00742A04">
        <w:t>potencial</w:t>
      </w:r>
      <w:r w:rsidR="00545D1B" w:rsidRPr="00742A04">
        <w:t xml:space="preserve"> </w:t>
      </w:r>
      <w:r w:rsidR="003129E2" w:rsidRPr="00742A04">
        <w:t>de abordar todos los</w:t>
      </w:r>
      <w:r w:rsidR="00545D1B" w:rsidRPr="00742A04">
        <w:t xml:space="preserve"> </w:t>
      </w:r>
      <w:r w:rsidR="00615664" w:rsidRPr="00742A04">
        <w:t>tipos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>, inclu</w:t>
      </w:r>
      <w:r w:rsidR="003129E2" w:rsidRPr="00742A04">
        <w:t>idos los casos</w:t>
      </w:r>
      <w:r w:rsidR="00545D1B" w:rsidRPr="00742A04">
        <w:t xml:space="preserve"> comple</w:t>
      </w:r>
      <w:r w:rsidR="003129E2" w:rsidRPr="00742A04">
        <w:t>j</w:t>
      </w:r>
      <w:r w:rsidR="008A2682" w:rsidRPr="00742A04">
        <w:t>os</w:t>
      </w:r>
      <w:r w:rsidR="00545D1B" w:rsidRPr="00742A04">
        <w:t xml:space="preserve"> </w:t>
      </w:r>
      <w:r w:rsidR="004A0730" w:rsidRPr="00742A04">
        <w:t>de</w:t>
      </w:r>
      <w:r w:rsidR="003129E2" w:rsidRPr="00742A04">
        <w:t xml:space="preserve"> </w:t>
      </w:r>
      <w:r w:rsidR="00A05847" w:rsidRPr="00742A04">
        <w:t>discr</w:t>
      </w:r>
      <w:r w:rsidR="00A05847" w:rsidRPr="00742A04">
        <w:t>i</w:t>
      </w:r>
      <w:r w:rsidR="00A05847" w:rsidRPr="00742A04">
        <w:t>minación</w:t>
      </w:r>
      <w:r w:rsidR="003129E2" w:rsidRPr="00742A04">
        <w:t xml:space="preserve"> múltiple</w:t>
      </w:r>
      <w:r w:rsidR="000A08D8" w:rsidRPr="00742A04">
        <w:t>.</w:t>
      </w:r>
    </w:p>
    <w:p w:rsidR="000A08D8" w:rsidRPr="00742A04" w:rsidRDefault="003129E2" w:rsidP="00D574C4">
      <w:pPr>
        <w:pStyle w:val="SingleTxt"/>
        <w:ind w:firstLine="475"/>
      </w:pPr>
      <w:r w:rsidRPr="00742A04">
        <w:t>La</w:t>
      </w:r>
      <w:r w:rsidR="00545D1B" w:rsidRPr="00742A04">
        <w:t xml:space="preserve"> </w:t>
      </w:r>
      <w:r w:rsidRPr="00742A04">
        <w:t xml:space="preserve">iniciativa </w:t>
      </w:r>
      <w:r w:rsidR="00600894" w:rsidRPr="00742A04">
        <w:t xml:space="preserve">Vida Laboral </w:t>
      </w:r>
      <w:r w:rsidR="00545D1B" w:rsidRPr="00742A04">
        <w:t>Inclusiv</w:t>
      </w:r>
      <w:r w:rsidR="00600894" w:rsidRPr="00742A04">
        <w:t>a</w:t>
      </w:r>
      <w:r w:rsidR="00545D1B" w:rsidRPr="00742A04">
        <w:t xml:space="preserve"> </w:t>
      </w:r>
      <w:r w:rsidR="00600894" w:rsidRPr="00742A04">
        <w:t>exige que la administración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80AC9" w:rsidRPr="00742A04">
        <w:t>los emple</w:t>
      </w:r>
      <w:r w:rsidR="00380AC9" w:rsidRPr="00742A04">
        <w:t>a</w:t>
      </w:r>
      <w:r w:rsidR="00380AC9" w:rsidRPr="00742A04">
        <w:t>dos</w:t>
      </w:r>
      <w:r w:rsidR="00CF2F77" w:rsidRPr="00742A04">
        <w:t xml:space="preserve"> trabaj</w:t>
      </w:r>
      <w:r w:rsidR="00600894" w:rsidRPr="00742A04">
        <w:t>en</w:t>
      </w:r>
      <w:r w:rsidR="00545D1B" w:rsidRPr="00742A04">
        <w:t xml:space="preserve"> </w:t>
      </w:r>
      <w:r w:rsidR="00D75341" w:rsidRPr="00742A04">
        <w:t>junto</w:t>
      </w:r>
      <w:r w:rsidR="00600894" w:rsidRPr="00742A04">
        <w:t>s</w:t>
      </w:r>
      <w:r w:rsidR="00545D1B" w:rsidRPr="00742A04">
        <w:t xml:space="preserve"> </w:t>
      </w:r>
      <w:r w:rsidR="00600894" w:rsidRPr="00742A04">
        <w:t>par</w:t>
      </w:r>
      <w:r w:rsidR="0030626A" w:rsidRPr="00742A04">
        <w:t>a</w:t>
      </w:r>
      <w:r w:rsidR="00545D1B" w:rsidRPr="00742A04">
        <w:t xml:space="preserve"> </w:t>
      </w:r>
      <w:r w:rsidR="00600894" w:rsidRPr="00742A04">
        <w:t>organizar el</w:t>
      </w:r>
      <w:r w:rsidR="00545D1B" w:rsidRPr="00742A04">
        <w:t xml:space="preserve"> </w:t>
      </w:r>
      <w:r w:rsidR="00837D84" w:rsidRPr="00742A04">
        <w:t>ambiente de trabajo</w:t>
      </w:r>
      <w:r w:rsidR="00545D1B" w:rsidRPr="00742A04">
        <w:t xml:space="preserve"> </w:t>
      </w:r>
      <w:r w:rsidR="00600894" w:rsidRPr="00742A04">
        <w:t>de modo que</w:t>
      </w:r>
      <w:r w:rsidR="00545D1B" w:rsidRPr="00742A04">
        <w:t xml:space="preserve"> </w:t>
      </w:r>
      <w:r w:rsidR="00FB34C1" w:rsidRPr="00742A04">
        <w:t>los lugares de trabajo</w:t>
      </w:r>
      <w:r w:rsidR="00545D1B" w:rsidRPr="00742A04">
        <w:t xml:space="preserve"> prom</w:t>
      </w:r>
      <w:r w:rsidR="00600894" w:rsidRPr="00742A04">
        <w:t>uevan la</w:t>
      </w:r>
      <w:r w:rsidR="00545D1B" w:rsidRPr="00742A04">
        <w:t xml:space="preserve"> </w:t>
      </w:r>
      <w:r w:rsidR="00600894" w:rsidRPr="00742A04">
        <w:t>buena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. </w:t>
      </w:r>
      <w:r w:rsidR="00600894" w:rsidRPr="00742A04">
        <w:t>Un b</w:t>
      </w:r>
      <w:r w:rsidR="005C19C7" w:rsidRPr="00742A04">
        <w:t>uen</w:t>
      </w:r>
      <w:r w:rsidR="00545D1B" w:rsidRPr="00742A04">
        <w:t xml:space="preserve"> </w:t>
      </w:r>
      <w:r w:rsidR="008A0C75" w:rsidRPr="00742A04">
        <w:t>seguimiento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00894" w:rsidRPr="00742A04">
        <w:t>las personas que están de</w:t>
      </w:r>
      <w:r w:rsidR="00545D1B" w:rsidRPr="00742A04">
        <w:t xml:space="preserve"> </w:t>
      </w:r>
      <w:r w:rsidR="00600894" w:rsidRPr="00742A04">
        <w:t>licencia por enfermedad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76655" w:rsidRPr="00742A04">
        <w:t>las personas con</w:t>
      </w:r>
      <w:r w:rsidR="00545D1B" w:rsidRPr="00742A04">
        <w:t xml:space="preserve"> </w:t>
      </w:r>
      <w:r w:rsidR="00600894" w:rsidRPr="00742A04">
        <w:t>capacidades disminuidas</w:t>
      </w:r>
      <w:r w:rsidR="00545D1B" w:rsidRPr="00742A04">
        <w:t xml:space="preserve"> </w:t>
      </w:r>
      <w:r w:rsidR="00600894" w:rsidRPr="00742A04">
        <w:t>habrá de</w:t>
      </w:r>
      <w:r w:rsidR="00545D1B" w:rsidRPr="00742A04">
        <w:t xml:space="preserve"> </w:t>
      </w:r>
      <w:r w:rsidR="00C938AE" w:rsidRPr="00742A04">
        <w:t>r</w:t>
      </w:r>
      <w:r w:rsidR="00C938AE" w:rsidRPr="00742A04">
        <w:t>e</w:t>
      </w:r>
      <w:r w:rsidR="00C938AE" w:rsidRPr="00742A04">
        <w:t>ducir</w:t>
      </w:r>
      <w:r w:rsidR="00545D1B" w:rsidRPr="00742A04">
        <w:t xml:space="preserve"> </w:t>
      </w:r>
      <w:r w:rsidR="00600894" w:rsidRPr="00742A04">
        <w:t>las ausencias por enfermedad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00894" w:rsidRPr="00742A04">
        <w:t xml:space="preserve">de </w:t>
      </w:r>
      <w:r w:rsidR="00502E16" w:rsidRPr="00742A04">
        <w:t>prevenir</w:t>
      </w:r>
      <w:r w:rsidR="00545D1B" w:rsidRPr="00742A04">
        <w:t xml:space="preserve"> </w:t>
      </w:r>
      <w:r w:rsidR="00600894" w:rsidRPr="00742A04">
        <w:t xml:space="preserve">la </w:t>
      </w:r>
      <w:r w:rsidR="00545D1B" w:rsidRPr="00742A04">
        <w:t>exclus</w:t>
      </w:r>
      <w:r w:rsidR="005E6919" w:rsidRPr="00742A04">
        <w:t xml:space="preserve">ión </w:t>
      </w:r>
      <w:r w:rsidR="00F43124" w:rsidRPr="00742A04">
        <w:t xml:space="preserve">de la </w:t>
      </w:r>
      <w:r w:rsidR="00AD0883" w:rsidRPr="00742A04">
        <w:t>vida laboral</w:t>
      </w:r>
      <w:r w:rsidR="00545D1B" w:rsidRPr="00742A04">
        <w:t xml:space="preserve"> </w:t>
      </w:r>
      <w:r w:rsidR="00600894" w:rsidRPr="00742A04">
        <w:t>por</w:t>
      </w:r>
      <w:r w:rsidR="00545D1B" w:rsidRPr="00742A04">
        <w:t xml:space="preserve"> </w:t>
      </w:r>
      <w:r w:rsidR="00600894" w:rsidRPr="00742A04">
        <w:t>problemas de salud</w:t>
      </w:r>
      <w:r w:rsidR="00545D1B" w:rsidRPr="00742A04">
        <w:t xml:space="preserve">. </w:t>
      </w:r>
      <w:r w:rsidR="001C6426" w:rsidRPr="00742A04">
        <w:t xml:space="preserve">Como parte </w:t>
      </w:r>
      <w:r w:rsidR="004A0730" w:rsidRPr="00742A04">
        <w:t>de</w:t>
      </w:r>
      <w:r w:rsidR="00545D1B" w:rsidRPr="00742A04">
        <w:t xml:space="preserve"> </w:t>
      </w:r>
      <w:r w:rsidR="00600894" w:rsidRPr="00742A04">
        <w:t>este esfuerzo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2002 </w:t>
      </w:r>
      <w:r w:rsidR="00600894" w:rsidRPr="00742A04">
        <w:t>se inició u</w:t>
      </w:r>
      <w:r w:rsidR="00545D1B" w:rsidRPr="00742A04">
        <w:t xml:space="preserve">n </w:t>
      </w:r>
      <w:r w:rsidR="00600894" w:rsidRPr="00742A04">
        <w:t>p</w:t>
      </w:r>
      <w:r w:rsidR="00C938AE" w:rsidRPr="00742A04">
        <w:t>royecto de investigación y desarrollo</w:t>
      </w:r>
      <w:r w:rsidR="00545D1B" w:rsidRPr="00742A04">
        <w:t xml:space="preserve"> </w:t>
      </w:r>
      <w:r w:rsidR="00A8681A" w:rsidRPr="00742A04">
        <w:t xml:space="preserve">para averiguar </w:t>
      </w:r>
      <w:r w:rsidR="00232DF9" w:rsidRPr="00742A04">
        <w:t>si</w:t>
      </w:r>
      <w:r w:rsidR="00545D1B" w:rsidRPr="00742A04">
        <w:t xml:space="preserve"> </w:t>
      </w:r>
      <w:r w:rsidR="00A8681A" w:rsidRPr="00742A04">
        <w:t xml:space="preserve">las políticas de los </w:t>
      </w:r>
      <w:r w:rsidR="00545D1B" w:rsidRPr="00742A04">
        <w:t>empl</w:t>
      </w:r>
      <w:r w:rsidR="00A8681A" w:rsidRPr="00742A04">
        <w:t>eadores</w:t>
      </w:r>
      <w:r w:rsidR="00545D1B" w:rsidRPr="00742A04">
        <w:t xml:space="preserve"> </w:t>
      </w:r>
      <w:r w:rsidR="00A8681A" w:rsidRPr="00742A04">
        <w:t>funci</w:t>
      </w:r>
      <w:r w:rsidR="00A8681A" w:rsidRPr="00742A04">
        <w:t>o</w:t>
      </w:r>
      <w:r w:rsidR="00A8681A" w:rsidRPr="00742A04">
        <w:t>nan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B0EC3" w:rsidRPr="00742A04">
        <w:t>la práctica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AE655D" w:rsidRPr="00742A04">
        <w:t>se han establecido</w:t>
      </w:r>
      <w:r w:rsidR="00EA6AC2" w:rsidRPr="00742A04">
        <w:t xml:space="preserve"> </w:t>
      </w:r>
      <w:r w:rsidR="00A8681A" w:rsidRPr="00742A04">
        <w:t xml:space="preserve">varias redes </w:t>
      </w:r>
      <w:r w:rsidR="00EA6AC2" w:rsidRPr="00742A04">
        <w:t>p</w:t>
      </w:r>
      <w:r w:rsidR="00A8681A" w:rsidRPr="00742A04">
        <w:t>ara</w:t>
      </w:r>
      <w:r w:rsidR="00EA6AC2" w:rsidRPr="00742A04">
        <w:t xml:space="preserve"> promover </w:t>
      </w:r>
      <w:r w:rsidR="00A8681A" w:rsidRPr="00742A04">
        <w:t xml:space="preserve">la </w:t>
      </w:r>
      <w:r w:rsidR="00545D1B" w:rsidRPr="00742A04">
        <w:t>coopera</w:t>
      </w:r>
      <w:r w:rsidR="00C14BFF" w:rsidRPr="00742A04">
        <w:t xml:space="preserve">ción </w:t>
      </w:r>
      <w:r w:rsidR="007D66F2" w:rsidRPr="00742A04">
        <w:t>entre</w:t>
      </w:r>
      <w:r w:rsidR="00545D1B" w:rsidRPr="00742A04">
        <w:t xml:space="preserve"> </w:t>
      </w:r>
      <w:r w:rsidR="00F43124" w:rsidRPr="00742A04">
        <w:t>las municipalidades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A8681A" w:rsidRPr="00742A04">
        <w:t>las Redes de Mejora de la</w:t>
      </w:r>
      <w:r w:rsidR="00545D1B" w:rsidRPr="00742A04">
        <w:t xml:space="preserve"> </w:t>
      </w:r>
      <w:r w:rsidR="00A8681A" w:rsidRPr="00742A04">
        <w:t>Eficiencia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00894" w:rsidRPr="00742A04">
        <w:t>el pr</w:t>
      </w:r>
      <w:r w:rsidR="00600894" w:rsidRPr="00742A04">
        <w:t>o</w:t>
      </w:r>
      <w:r w:rsidR="00600894" w:rsidRPr="00742A04">
        <w:t>grama</w:t>
      </w:r>
      <w:r w:rsidR="00545D1B" w:rsidRPr="00742A04">
        <w:rPr>
          <w:i/>
        </w:rPr>
        <w:t xml:space="preserve"> Flink Med Folk</w:t>
      </w:r>
      <w:r w:rsidR="00545D1B" w:rsidRPr="00742A04">
        <w:t xml:space="preserve"> (</w:t>
      </w:r>
      <w:r w:rsidR="00600894" w:rsidRPr="00742A04">
        <w:t>“</w:t>
      </w:r>
      <w:r w:rsidR="005C19C7" w:rsidRPr="00742A04">
        <w:t>Buen</w:t>
      </w:r>
      <w:r w:rsidR="00600894" w:rsidRPr="00742A04">
        <w:t>o con la Ge</w:t>
      </w:r>
      <w:r w:rsidR="00600894" w:rsidRPr="00742A04">
        <w:t>n</w:t>
      </w:r>
      <w:r w:rsidR="00600894" w:rsidRPr="00742A04">
        <w:t>te”</w:t>
      </w:r>
      <w:r w:rsidR="00545D1B" w:rsidRPr="00742A04">
        <w:t>)</w:t>
      </w:r>
      <w:r w:rsidR="000A08D8" w:rsidRPr="00742A04">
        <w:t>.</w:t>
      </w:r>
    </w:p>
    <w:p w:rsidR="000A08D8" w:rsidRPr="00742A04" w:rsidRDefault="005909B9" w:rsidP="00D574C4">
      <w:pPr>
        <w:pStyle w:val="SingleTxt"/>
        <w:ind w:firstLine="475"/>
      </w:pPr>
      <w:r w:rsidRPr="00742A04">
        <w:t xml:space="preserve">La Encuesta sobre la </w:t>
      </w:r>
      <w:r w:rsidR="00A8681A" w:rsidRPr="00742A04">
        <w:t>Fuerza de Trabajo</w:t>
      </w:r>
      <w:r w:rsidR="00545D1B" w:rsidRPr="00742A04">
        <w:t xml:space="preserve"> </w:t>
      </w:r>
      <w:r w:rsidR="00A8681A" w:rsidRPr="00742A04">
        <w:t>correspondiente al</w:t>
      </w:r>
      <w:r w:rsidR="00545D1B" w:rsidRPr="00742A04">
        <w:t xml:space="preserve"> </w:t>
      </w:r>
      <w:r w:rsidR="00A8681A" w:rsidRPr="00742A04">
        <w:t>segundo</w:t>
      </w:r>
      <w:r w:rsidR="00545D1B" w:rsidRPr="00742A04">
        <w:t xml:space="preserve"> </w:t>
      </w:r>
      <w:r w:rsidR="008C4612" w:rsidRPr="00742A04">
        <w:t xml:space="preserve">trimestre de </w:t>
      </w:r>
      <w:r w:rsidR="00545D1B" w:rsidRPr="00742A04">
        <w:t xml:space="preserve">2005 </w:t>
      </w:r>
      <w:r w:rsidR="003E5775" w:rsidRPr="00742A04">
        <w:t>indica que</w:t>
      </w:r>
      <w:r w:rsidR="00545D1B" w:rsidRPr="00742A04">
        <w:t xml:space="preserve"> </w:t>
      </w:r>
      <w:r w:rsidR="00A8681A" w:rsidRPr="00742A04">
        <w:t xml:space="preserve">el </w:t>
      </w:r>
      <w:r w:rsidR="00545D1B" w:rsidRPr="00742A04">
        <w:t>47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584B" w:rsidRPr="00742A04">
        <w:t>los hombres noruegos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1A2831" w:rsidRPr="00742A04">
        <w:t>están emplead</w:t>
      </w:r>
      <w:r w:rsidR="00A8681A" w:rsidRPr="00742A04">
        <w:t>o</w:t>
      </w:r>
      <w:r w:rsidR="001A2831" w:rsidRPr="00742A04">
        <w:t>s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A8681A" w:rsidRPr="00742A04">
        <w:t xml:space="preserve">el </w:t>
      </w:r>
      <w:r w:rsidR="00545D1B" w:rsidRPr="00742A04">
        <w:t>42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. </w:t>
      </w:r>
      <w:r w:rsidR="00A8681A" w:rsidRPr="00742A04">
        <w:t>De los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1A2831" w:rsidRPr="00742A04">
        <w:t>estaban empleados</w:t>
      </w:r>
      <w:r w:rsidR="00545D1B" w:rsidRPr="00742A04">
        <w:t xml:space="preserve">, </w:t>
      </w:r>
      <w:r w:rsidR="00E73E8E" w:rsidRPr="00742A04">
        <w:t>la proporción</w:t>
      </w:r>
      <w:r w:rsidR="00FD7D4E" w:rsidRPr="00742A04">
        <w:t xml:space="preserve"> de </w:t>
      </w:r>
      <w:r w:rsidR="00A8681A" w:rsidRPr="00742A04">
        <w:t>trabajo a tiempo parcial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5D2D07" w:rsidRPr="00742A04">
        <w:t>significativamente</w:t>
      </w:r>
      <w:r w:rsidR="00545D1B" w:rsidRPr="00742A04">
        <w:t xml:space="preserve"> </w:t>
      </w:r>
      <w:r w:rsidR="006A0F02" w:rsidRPr="00742A04">
        <w:t>mayor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 </w:t>
      </w:r>
      <w:r w:rsidR="00A742D4" w:rsidRPr="00742A04">
        <w:t>en su conjunto</w:t>
      </w:r>
      <w:r w:rsidR="00545D1B" w:rsidRPr="00742A04">
        <w:t xml:space="preserve"> (42</w:t>
      </w:r>
      <w:r w:rsidR="001167D2" w:rsidRPr="00742A04">
        <w:t>%</w:t>
      </w:r>
      <w:r w:rsidR="00545D1B" w:rsidRPr="00742A04">
        <w:t xml:space="preserve"> </w:t>
      </w:r>
      <w:r w:rsidR="00E73E8E" w:rsidRPr="00742A04">
        <w:t>en comparación con</w:t>
      </w:r>
      <w:r w:rsidR="00545D1B" w:rsidRPr="00742A04">
        <w:t xml:space="preserve"> 26</w:t>
      </w:r>
      <w:r w:rsidR="001167D2" w:rsidRPr="00742A04">
        <w:t>%</w:t>
      </w:r>
      <w:r w:rsidR="00545D1B" w:rsidRPr="00742A04">
        <w:t xml:space="preserve">). </w:t>
      </w:r>
      <w:r w:rsidR="00A8681A" w:rsidRPr="00742A04">
        <w:t>Las mujeres empleadas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</w:t>
      </w:r>
      <w:r w:rsidR="00D76655" w:rsidRPr="00742A04">
        <w:t>a</w:t>
      </w:r>
      <w:r w:rsidR="00D76655" w:rsidRPr="00742A04">
        <w:t>des funcionales</w:t>
      </w:r>
      <w:r w:rsidR="00545D1B" w:rsidRPr="00742A04">
        <w:t xml:space="preserve"> </w:t>
      </w:r>
      <w:r w:rsidR="00A8681A" w:rsidRPr="00742A04">
        <w:t>constituían, con gran diferencia, la mayor</w:t>
      </w:r>
      <w:r w:rsidR="00545D1B" w:rsidRPr="00742A04">
        <w:t xml:space="preserve"> propor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A8681A" w:rsidRPr="00742A04">
        <w:t>personas</w:t>
      </w:r>
      <w:r w:rsidR="00545D1B" w:rsidRPr="00742A04">
        <w:t xml:space="preserve"> </w:t>
      </w:r>
      <w:r w:rsidR="002232C2" w:rsidRPr="00742A04">
        <w:t>que trabajan</w:t>
      </w:r>
      <w:r w:rsidR="00545D1B" w:rsidRPr="00742A04">
        <w:t xml:space="preserve"> </w:t>
      </w:r>
      <w:r w:rsidR="001633F4" w:rsidRPr="00742A04">
        <w:t>a tiempo parcial</w:t>
      </w:r>
      <w:r w:rsidR="00545D1B" w:rsidRPr="00742A04">
        <w:t xml:space="preserve">: </w:t>
      </w:r>
      <w:r w:rsidR="00A8681A" w:rsidRPr="00742A04">
        <w:t xml:space="preserve">un </w:t>
      </w:r>
      <w:r w:rsidR="00545D1B" w:rsidRPr="00742A04">
        <w:t>60</w:t>
      </w:r>
      <w:r w:rsidR="001167D2" w:rsidRPr="00742A04">
        <w:t>%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A8681A" w:rsidRPr="00742A04">
        <w:t xml:space="preserve">el </w:t>
      </w:r>
      <w:r w:rsidR="00545D1B" w:rsidRPr="00742A04">
        <w:t>43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8681A" w:rsidRPr="00742A04">
        <w:t>todas las mujeres empleadas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="00A8681A" w:rsidRPr="00742A04">
        <w:t xml:space="preserve">los </w:t>
      </w:r>
      <w:r w:rsidR="00072AD7" w:rsidRPr="00742A04">
        <w:t>hombres</w:t>
      </w:r>
      <w:r w:rsidR="00545D1B" w:rsidRPr="00742A04">
        <w:t xml:space="preserve">, </w:t>
      </w:r>
      <w:r w:rsidR="00496A4A" w:rsidRPr="00742A04">
        <w:t>las cifras correspondientes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A8681A" w:rsidRPr="00742A04">
        <w:t xml:space="preserve">el </w:t>
      </w:r>
      <w:r w:rsidR="00545D1B" w:rsidRPr="00742A04">
        <w:t>23</w:t>
      </w:r>
      <w:r w:rsidR="001167D2" w:rsidRPr="00742A04">
        <w:t>%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8681A" w:rsidRPr="00742A04">
        <w:t>el </w:t>
      </w:r>
      <w:r w:rsidR="00545D1B" w:rsidRPr="00742A04">
        <w:t>12</w:t>
      </w:r>
      <w:r w:rsidR="001167D2" w:rsidRPr="00742A04">
        <w:t>%</w:t>
      </w:r>
      <w:r w:rsidR="000A08D8" w:rsidRPr="00742A04">
        <w:t>.</w:t>
      </w:r>
    </w:p>
    <w:p w:rsidR="00545D1B" w:rsidRPr="00742A04" w:rsidRDefault="00537384" w:rsidP="00D574C4">
      <w:pPr>
        <w:pStyle w:val="SingleTxt"/>
        <w:ind w:firstLine="475"/>
      </w:pPr>
      <w:r w:rsidRPr="00742A04">
        <w:t>Las cifras</w:t>
      </w:r>
      <w:r w:rsidR="00545D1B" w:rsidRPr="00742A04">
        <w:t xml:space="preserve"> </w:t>
      </w:r>
      <w:r w:rsidR="00A8681A" w:rsidRPr="00742A04">
        <w:t>que se incluyen a continuación provienen</w:t>
      </w:r>
      <w:r w:rsidR="00545D1B" w:rsidRPr="00742A04">
        <w:t xml:space="preserve"> </w:t>
      </w:r>
      <w:r w:rsidR="00F43124" w:rsidRPr="00742A04">
        <w:t xml:space="preserve">de la </w:t>
      </w:r>
      <w:r w:rsidR="00A8681A" w:rsidRPr="00742A04">
        <w:t>Encuesta sobre la Fuerza de Trabajo</w:t>
      </w:r>
      <w:r w:rsidR="00545D1B" w:rsidRPr="00742A04">
        <w:t xml:space="preserve"> </w:t>
      </w:r>
      <w:r w:rsidR="00AD5494" w:rsidRPr="00742A04">
        <w:t>llevada a cabo</w:t>
      </w:r>
      <w:r w:rsidR="00545D1B" w:rsidRPr="00742A04">
        <w:t xml:space="preserve"> </w:t>
      </w:r>
      <w:r w:rsidR="001167D2" w:rsidRPr="00742A04">
        <w:t>por</w:t>
      </w:r>
      <w:r w:rsidR="007F2933">
        <w:t xml:space="preserve"> el</w:t>
      </w:r>
      <w:r w:rsidR="00545D1B" w:rsidRPr="00742A04">
        <w:t xml:space="preserve"> </w:t>
      </w:r>
      <w:r w:rsidR="00AF398C" w:rsidRPr="00742A04">
        <w:t>Instituto Nacional de Estadísticas de Noru</w:t>
      </w:r>
      <w:r w:rsidR="00AF398C" w:rsidRPr="00742A04">
        <w:t>e</w:t>
      </w:r>
      <w:r w:rsidR="00AF398C" w:rsidRPr="00742A04">
        <w:t>ga</w:t>
      </w:r>
      <w:r w:rsidR="00545D1B" w:rsidRPr="00742A04">
        <w:t xml:space="preserve"> </w:t>
      </w:r>
      <w:r w:rsidR="00A8681A" w:rsidRPr="00742A04">
        <w:t>e indican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C076F2" w:rsidRPr="00742A04">
        <w:t xml:space="preserve">de </w:t>
      </w:r>
      <w:r w:rsidR="00380AC9" w:rsidRPr="00742A04">
        <w:t>empleados</w:t>
      </w:r>
      <w:r w:rsidR="00545D1B" w:rsidRPr="00742A04">
        <w:t xml:space="preserve"> </w:t>
      </w:r>
      <w:r w:rsidR="00A8681A" w:rsidRPr="00742A04">
        <w:t>de los distintos</w:t>
      </w:r>
      <w:r w:rsidR="00545D1B" w:rsidRPr="00742A04">
        <w:t xml:space="preserve"> </w:t>
      </w:r>
      <w:r w:rsidR="00C55B39" w:rsidRPr="00742A04">
        <w:t>sectores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A8681A" w:rsidRPr="00742A04">
        <w:t>declaran tener</w:t>
      </w:r>
      <w:r w:rsidR="00545D1B" w:rsidRPr="00742A04">
        <w:t xml:space="preserve"> </w:t>
      </w:r>
      <w:r w:rsidR="00176976" w:rsidRPr="00742A04">
        <w:t>una o varias</w:t>
      </w:r>
      <w:r w:rsidR="00545D1B" w:rsidRPr="00742A04">
        <w:t xml:space="preserve"> </w:t>
      </w:r>
      <w:r w:rsidR="00D76655" w:rsidRPr="00742A04">
        <w:t>discapac</w:t>
      </w:r>
      <w:r w:rsidR="00D76655" w:rsidRPr="00742A04">
        <w:t>i</w:t>
      </w:r>
      <w:r w:rsidR="00D76655" w:rsidRPr="00742A04">
        <w:t>dades funcionales</w:t>
      </w:r>
      <w:r w:rsidR="00545D1B" w:rsidRPr="00742A04">
        <w:t>.</w:t>
      </w:r>
    </w:p>
    <w:p w:rsidR="00E32558" w:rsidRPr="00742A04" w:rsidRDefault="00E32558" w:rsidP="00E32558">
      <w:pPr>
        <w:pStyle w:val="SingleTxt"/>
        <w:spacing w:after="0" w:line="120" w:lineRule="exact"/>
        <w:rPr>
          <w:b/>
          <w:sz w:val="10"/>
        </w:rPr>
      </w:pPr>
    </w:p>
    <w:p w:rsidR="00496A4A" w:rsidRPr="00742A04" w:rsidRDefault="005909B9" w:rsidP="00496A4A">
      <w:pPr>
        <w:pStyle w:val="SingleTxt"/>
        <w:keepNext/>
        <w:ind w:left="2160"/>
        <w:jc w:val="left"/>
        <w:rPr>
          <w:b/>
        </w:rPr>
      </w:pPr>
      <w:r w:rsidRPr="00742A04">
        <w:rPr>
          <w:b/>
        </w:rPr>
        <w:t>P</w:t>
      </w:r>
      <w:r w:rsidR="00496A4A" w:rsidRPr="00742A04">
        <w:rPr>
          <w:b/>
        </w:rPr>
        <w:t>roporción</w:t>
      </w:r>
      <w:r w:rsidR="00545D1B" w:rsidRPr="00742A04">
        <w:rPr>
          <w:b/>
        </w:rPr>
        <w:t xml:space="preserve"> </w:t>
      </w:r>
      <w:r w:rsidR="00C076F2" w:rsidRPr="00742A04">
        <w:rPr>
          <w:b/>
        </w:rPr>
        <w:t xml:space="preserve">de </w:t>
      </w:r>
      <w:r w:rsidR="00380AC9" w:rsidRPr="00742A04">
        <w:rPr>
          <w:b/>
        </w:rPr>
        <w:t>empleados</w:t>
      </w:r>
      <w:r w:rsidR="00545D1B" w:rsidRPr="00742A04">
        <w:rPr>
          <w:b/>
        </w:rPr>
        <w:t xml:space="preserve"> </w:t>
      </w:r>
      <w:r w:rsidR="004A0730" w:rsidRPr="00742A04">
        <w:rPr>
          <w:b/>
        </w:rPr>
        <w:t>con</w:t>
      </w:r>
      <w:r w:rsidR="00545D1B" w:rsidRPr="00742A04">
        <w:rPr>
          <w:b/>
        </w:rPr>
        <w:t xml:space="preserve"> </w:t>
      </w:r>
      <w:r w:rsidR="00D76655" w:rsidRPr="00742A04">
        <w:rPr>
          <w:b/>
        </w:rPr>
        <w:t>discapacidades funcionales</w:t>
      </w:r>
    </w:p>
    <w:p w:rsidR="00496A4A" w:rsidRPr="00742A04" w:rsidRDefault="00496A4A" w:rsidP="00496A4A">
      <w:pPr>
        <w:pStyle w:val="SingleTxt"/>
        <w:keepNext/>
        <w:spacing w:after="0" w:line="120" w:lineRule="exact"/>
        <w:ind w:left="2160"/>
        <w:jc w:val="left"/>
        <w:rPr>
          <w:sz w:val="10"/>
        </w:rPr>
      </w:pPr>
      <w:r w:rsidRPr="00742A04">
        <w:rPr>
          <w:sz w:val="14"/>
        </w:rPr>
        <w:t>(</w:t>
      </w:r>
      <w:r w:rsidRPr="00612828">
        <w:rPr>
          <w:i/>
          <w:sz w:val="14"/>
        </w:rPr>
        <w:t>En porcentajes</w:t>
      </w:r>
      <w:r w:rsidRPr="00742A04">
        <w:rPr>
          <w:sz w:val="14"/>
        </w:rPr>
        <w:t>)</w:t>
      </w:r>
    </w:p>
    <w:p w:rsidR="00E32558" w:rsidRPr="00742A04" w:rsidRDefault="00E32558" w:rsidP="00496A4A">
      <w:pPr>
        <w:pStyle w:val="SingleTxt"/>
        <w:keepNext/>
        <w:spacing w:after="0" w:line="120" w:lineRule="exact"/>
        <w:ind w:left="2160"/>
        <w:jc w:val="left"/>
        <w:rPr>
          <w:sz w:val="10"/>
        </w:rPr>
      </w:pPr>
    </w:p>
    <w:tbl>
      <w:tblPr>
        <w:tblW w:w="0" w:type="auto"/>
        <w:jc w:val="center"/>
        <w:tblInd w:w="-2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333"/>
      </w:tblGrid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32021" w:rsidRPr="00742A04" w:rsidRDefault="00176976" w:rsidP="00496A4A">
            <w:pPr>
              <w:pStyle w:val="SingleTxt"/>
              <w:keepNext/>
              <w:spacing w:before="40" w:after="40" w:line="160" w:lineRule="exact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Industria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32021" w:rsidRPr="00742A04" w:rsidRDefault="005909B9" w:rsidP="00496A4A">
            <w:pPr>
              <w:pStyle w:val="SingleTxt"/>
              <w:keepNext/>
              <w:spacing w:before="40" w:after="40" w:line="160" w:lineRule="exact"/>
              <w:ind w:left="115" w:right="115"/>
              <w:jc w:val="right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Porcentaje</w:t>
            </w:r>
            <w:r w:rsidR="00B32021" w:rsidRPr="00742A04">
              <w:rPr>
                <w:i/>
                <w:sz w:val="14"/>
                <w:szCs w:val="14"/>
              </w:rPr>
              <w:t xml:space="preserve"> </w:t>
            </w:r>
            <w:r w:rsidR="004A0730" w:rsidRPr="00742A04">
              <w:rPr>
                <w:i/>
                <w:sz w:val="14"/>
                <w:szCs w:val="14"/>
              </w:rPr>
              <w:t>de</w:t>
            </w:r>
            <w:r w:rsidR="00B32021" w:rsidRPr="00742A04">
              <w:rPr>
                <w:i/>
                <w:sz w:val="14"/>
                <w:szCs w:val="14"/>
              </w:rPr>
              <w:t xml:space="preserve"> </w:t>
            </w:r>
            <w:r w:rsidR="00176976" w:rsidRPr="00742A04">
              <w:rPr>
                <w:i/>
                <w:sz w:val="14"/>
                <w:szCs w:val="14"/>
              </w:rPr>
              <w:t>empleados</w:t>
            </w:r>
            <w:r w:rsidR="00B32021" w:rsidRPr="00742A04">
              <w:rPr>
                <w:i/>
                <w:sz w:val="14"/>
                <w:szCs w:val="14"/>
              </w:rPr>
              <w:t xml:space="preserve"> </w:t>
            </w:r>
            <w:r w:rsidR="00176976" w:rsidRPr="00742A04">
              <w:rPr>
                <w:i/>
                <w:sz w:val="14"/>
                <w:szCs w:val="14"/>
              </w:rPr>
              <w:t>con</w:t>
            </w:r>
            <w:r w:rsidR="00B32021" w:rsidRPr="00742A04">
              <w:rPr>
                <w:i/>
                <w:sz w:val="14"/>
                <w:szCs w:val="14"/>
              </w:rPr>
              <w:br/>
              <w:t xml:space="preserve"> </w:t>
            </w:r>
            <w:r w:rsidR="00D76655" w:rsidRPr="00742A04">
              <w:rPr>
                <w:i/>
                <w:sz w:val="14"/>
                <w:szCs w:val="14"/>
              </w:rPr>
              <w:t>discapacidades funcionales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  <w:jc w:val="center"/>
        </w:trPr>
        <w:tc>
          <w:tcPr>
            <w:tcW w:w="3150" w:type="dxa"/>
            <w:tcBorders>
              <w:top w:val="single" w:sz="12" w:space="0" w:color="auto"/>
            </w:tcBorders>
            <w:vAlign w:val="bottom"/>
          </w:tcPr>
          <w:p w:rsidR="00B32021" w:rsidRPr="00742A04" w:rsidRDefault="00B32021" w:rsidP="00496A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333" w:type="dxa"/>
            <w:tcBorders>
              <w:top w:val="single" w:sz="12" w:space="0" w:color="auto"/>
            </w:tcBorders>
            <w:vAlign w:val="bottom"/>
          </w:tcPr>
          <w:p w:rsidR="00B32021" w:rsidRPr="00742A04" w:rsidRDefault="00B32021" w:rsidP="00496A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Agri</w:t>
            </w:r>
            <w:r w:rsidR="006C1297" w:rsidRPr="00742A04">
              <w:rPr>
                <w:sz w:val="17"/>
                <w:szCs w:val="17"/>
              </w:rPr>
              <w:t>cultura</w:t>
            </w:r>
            <w:r w:rsidRPr="00742A04">
              <w:rPr>
                <w:sz w:val="17"/>
                <w:szCs w:val="17"/>
              </w:rPr>
              <w:t xml:space="preserve">, </w:t>
            </w:r>
            <w:r w:rsidR="00176976" w:rsidRPr="00742A04">
              <w:rPr>
                <w:sz w:val="17"/>
                <w:szCs w:val="17"/>
              </w:rPr>
              <w:t>silvicultura</w:t>
            </w:r>
            <w:r w:rsidRPr="00742A04">
              <w:rPr>
                <w:sz w:val="17"/>
                <w:szCs w:val="17"/>
              </w:rPr>
              <w:t xml:space="preserve">, </w:t>
            </w:r>
            <w:r w:rsidR="00176976" w:rsidRPr="00742A04">
              <w:rPr>
                <w:sz w:val="17"/>
                <w:szCs w:val="17"/>
              </w:rPr>
              <w:t>pesca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15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0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176976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Servicios sociales y de salud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11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1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176976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Educación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9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176976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Suministro de energía y agua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0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176976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Transporte</w:t>
            </w:r>
            <w:r w:rsidR="00B32021" w:rsidRPr="00742A04">
              <w:rPr>
                <w:sz w:val="17"/>
                <w:szCs w:val="17"/>
              </w:rPr>
              <w:t xml:space="preserve">, </w:t>
            </w:r>
            <w:r w:rsidR="00587443" w:rsidRPr="00742A04">
              <w:rPr>
                <w:sz w:val="17"/>
                <w:szCs w:val="17"/>
              </w:rPr>
              <w:t>comun</w:t>
            </w:r>
            <w:r w:rsidR="00B32021" w:rsidRPr="00742A04">
              <w:rPr>
                <w:sz w:val="17"/>
                <w:szCs w:val="17"/>
              </w:rPr>
              <w:t>i</w:t>
            </w:r>
            <w:r w:rsidR="00B32021" w:rsidRPr="00742A04">
              <w:rPr>
                <w:sz w:val="17"/>
                <w:szCs w:val="17"/>
              </w:rPr>
              <w:t>ca</w:t>
            </w:r>
            <w:r w:rsidR="008907B8" w:rsidRPr="00742A04">
              <w:rPr>
                <w:sz w:val="17"/>
                <w:szCs w:val="17"/>
              </w:rPr>
              <w:t>ciones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9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176976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Edificación</w:t>
            </w:r>
            <w:r w:rsidR="00B32021" w:rsidRPr="00742A04">
              <w:rPr>
                <w:sz w:val="17"/>
                <w:szCs w:val="17"/>
              </w:rPr>
              <w:t xml:space="preserve"> y constru</w:t>
            </w:r>
            <w:r w:rsidR="00B32021" w:rsidRPr="00742A04">
              <w:rPr>
                <w:sz w:val="17"/>
                <w:szCs w:val="17"/>
              </w:rPr>
              <w:t>c</w:t>
            </w:r>
            <w:r w:rsidR="00C14BFF" w:rsidRPr="00742A04">
              <w:rPr>
                <w:sz w:val="17"/>
                <w:szCs w:val="17"/>
              </w:rPr>
              <w:t>ción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9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176976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Comercio minorista</w:t>
            </w:r>
            <w:r w:rsidR="00B32021" w:rsidRPr="00742A04">
              <w:rPr>
                <w:sz w:val="17"/>
                <w:szCs w:val="17"/>
              </w:rPr>
              <w:t xml:space="preserve">, </w:t>
            </w:r>
            <w:r w:rsidRPr="00742A04">
              <w:rPr>
                <w:sz w:val="17"/>
                <w:szCs w:val="17"/>
              </w:rPr>
              <w:t>hoteles</w:t>
            </w:r>
            <w:r w:rsidR="00B32021" w:rsidRPr="00742A04">
              <w:rPr>
                <w:sz w:val="17"/>
                <w:szCs w:val="17"/>
              </w:rPr>
              <w:t>, resta</w:t>
            </w:r>
            <w:r w:rsidR="00B32021" w:rsidRPr="00742A04">
              <w:rPr>
                <w:sz w:val="17"/>
                <w:szCs w:val="17"/>
              </w:rPr>
              <w:t>u</w:t>
            </w:r>
            <w:r w:rsidR="00B32021" w:rsidRPr="00742A04">
              <w:rPr>
                <w:sz w:val="17"/>
                <w:szCs w:val="17"/>
              </w:rPr>
              <w:t>rant</w:t>
            </w:r>
            <w:r w:rsidRPr="00742A04">
              <w:rPr>
                <w:sz w:val="17"/>
                <w:szCs w:val="17"/>
              </w:rPr>
              <w:t>e</w:t>
            </w:r>
            <w:r w:rsidR="00B32021" w:rsidRPr="00742A04">
              <w:rPr>
                <w:sz w:val="17"/>
                <w:szCs w:val="17"/>
              </w:rPr>
              <w:t>s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6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56679F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Administración Pública</w:t>
            </w:r>
            <w:r w:rsidR="00C14BFF" w:rsidRPr="00742A04">
              <w:rPr>
                <w:sz w:val="17"/>
                <w:szCs w:val="17"/>
              </w:rPr>
              <w:t xml:space="preserve"> </w:t>
            </w:r>
            <w:r w:rsidR="00B32021" w:rsidRPr="00742A04">
              <w:rPr>
                <w:sz w:val="17"/>
                <w:szCs w:val="17"/>
              </w:rPr>
              <w:t xml:space="preserve">y </w:t>
            </w:r>
            <w:r w:rsidR="00176976" w:rsidRPr="00742A04">
              <w:rPr>
                <w:sz w:val="17"/>
                <w:szCs w:val="17"/>
              </w:rPr>
              <w:t>defensa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3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176976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Servicios comerciales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8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</w:tcPr>
          <w:p w:rsidR="00B32021" w:rsidRPr="00742A04" w:rsidRDefault="00176976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Servicios financieros</w:t>
            </w:r>
          </w:p>
        </w:tc>
        <w:tc>
          <w:tcPr>
            <w:tcW w:w="2333" w:type="dxa"/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7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:rsidR="00B32021" w:rsidRPr="00742A04" w:rsidRDefault="00176976" w:rsidP="00496A4A">
            <w:pPr>
              <w:pStyle w:val="SingleTxt"/>
              <w:keepNext/>
              <w:spacing w:before="40" w:after="40" w:line="200" w:lineRule="exact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Producción de petróleo y gas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B32021" w:rsidRPr="00742A04" w:rsidRDefault="00B32021" w:rsidP="00496A4A">
            <w:pPr>
              <w:pStyle w:val="SingleTxt"/>
              <w:keepNext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6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0</w:t>
            </w:r>
          </w:p>
        </w:tc>
      </w:tr>
      <w:tr w:rsidR="00B320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</w:tcPr>
          <w:p w:rsidR="00B32021" w:rsidRPr="00742A04" w:rsidRDefault="00B32021" w:rsidP="00D574C4">
            <w:pPr>
              <w:pStyle w:val="SingleTxt"/>
              <w:spacing w:before="40" w:after="40" w:line="200" w:lineRule="exact"/>
              <w:ind w:left="115" w:right="115"/>
              <w:rPr>
                <w:b/>
                <w:sz w:val="17"/>
                <w:szCs w:val="17"/>
              </w:rPr>
            </w:pPr>
            <w:r w:rsidRPr="00742A04"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12" w:space="0" w:color="auto"/>
            </w:tcBorders>
          </w:tcPr>
          <w:p w:rsidR="00B32021" w:rsidRPr="00742A04" w:rsidRDefault="00B32021" w:rsidP="00D574C4">
            <w:pPr>
              <w:pStyle w:val="SingleTxt"/>
              <w:spacing w:before="40" w:after="40" w:line="200" w:lineRule="exact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</w:t>
            </w:r>
            <w:r w:rsidR="00612828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2</w:t>
            </w:r>
          </w:p>
        </w:tc>
      </w:tr>
    </w:tbl>
    <w:p w:rsidR="00B32021" w:rsidRPr="00742A04" w:rsidRDefault="00B32021" w:rsidP="00B32021">
      <w:pPr>
        <w:pStyle w:val="SingleTxt"/>
        <w:spacing w:after="0" w:line="120" w:lineRule="exact"/>
        <w:rPr>
          <w:sz w:val="10"/>
        </w:rPr>
      </w:pPr>
    </w:p>
    <w:p w:rsidR="00B32021" w:rsidRPr="00742A04" w:rsidRDefault="003A496F" w:rsidP="00496A4A">
      <w:pPr>
        <w:pStyle w:val="SingleTxt"/>
        <w:ind w:left="2160"/>
        <w:jc w:val="left"/>
      </w:pPr>
      <w:r w:rsidRPr="00742A04">
        <w:t>Fuente</w:t>
      </w:r>
      <w:r w:rsidR="00B32021" w:rsidRPr="00742A04">
        <w:t xml:space="preserve">: </w:t>
      </w:r>
      <w:r w:rsidR="00AF398C" w:rsidRPr="00742A04">
        <w:t>Instituto Nacional de Estadísticas de Noruega</w:t>
      </w:r>
      <w:r w:rsidR="00B32021" w:rsidRPr="00742A04">
        <w:t xml:space="preserve">, </w:t>
      </w:r>
      <w:r w:rsidR="00496A4A" w:rsidRPr="00742A04">
        <w:br/>
      </w:r>
      <w:r w:rsidR="00176976" w:rsidRPr="00742A04">
        <w:t>Encuesta sobre la Fuerza de Trabajo</w:t>
      </w:r>
      <w:r w:rsidR="00B32021" w:rsidRPr="00742A04">
        <w:t>.</w:t>
      </w:r>
    </w:p>
    <w:p w:rsidR="00B32021" w:rsidRPr="00742A04" w:rsidRDefault="00B32021" w:rsidP="00B32021">
      <w:pPr>
        <w:pStyle w:val="SingleTxt"/>
        <w:spacing w:after="0" w:line="120" w:lineRule="exact"/>
        <w:rPr>
          <w:sz w:val="10"/>
        </w:rPr>
      </w:pPr>
    </w:p>
    <w:p w:rsidR="00545D1B" w:rsidRPr="00742A04" w:rsidRDefault="004A0730" w:rsidP="00D574C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975A9E" w:rsidRPr="00742A04">
        <w:t>el sector municipal</w:t>
      </w:r>
      <w:r w:rsidR="00545D1B" w:rsidRPr="00742A04">
        <w:t xml:space="preserve">, </w:t>
      </w:r>
      <w:r w:rsidR="00176976" w:rsidRPr="00742A04">
        <w:t xml:space="preserve">el </w:t>
      </w:r>
      <w:r w:rsidR="00545D1B" w:rsidRPr="00742A04">
        <w:t>75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380AC9" w:rsidRPr="00742A04">
        <w:t>empleados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176976" w:rsidRPr="00742A04">
        <w:t>La</w:t>
      </w:r>
      <w:r w:rsidR="00545D1B" w:rsidRPr="00742A04">
        <w:t xml:space="preserve"> </w:t>
      </w:r>
      <w:r w:rsidR="00A93B9E" w:rsidRPr="00742A04">
        <w:t>edad</w:t>
      </w:r>
      <w:r w:rsidR="00176976" w:rsidRPr="00742A04">
        <w:t xml:space="preserve"> media</w:t>
      </w:r>
      <w:r w:rsidR="00545D1B" w:rsidRPr="00742A04">
        <w:t xml:space="preserve"> </w:t>
      </w:r>
      <w:r w:rsidR="00C076F2" w:rsidRPr="00742A04">
        <w:t xml:space="preserve">de los </w:t>
      </w:r>
      <w:r w:rsidR="00380AC9" w:rsidRPr="00742A04">
        <w:t>empleados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75A9E" w:rsidRPr="00742A04">
        <w:t>el sector municipal</w:t>
      </w:r>
      <w:r w:rsidR="00545D1B" w:rsidRPr="00742A04">
        <w:t xml:space="preserve"> </w:t>
      </w:r>
      <w:r w:rsidR="00BB4DB1" w:rsidRPr="00742A04">
        <w:t>es</w:t>
      </w:r>
      <w:r w:rsidR="00176976" w:rsidRPr="00742A04">
        <w:t xml:space="preserve"> de 44,</w:t>
      </w:r>
      <w:r w:rsidR="00545D1B" w:rsidRPr="00742A04">
        <w:t xml:space="preserve">7 </w:t>
      </w:r>
      <w:r w:rsidR="00176976" w:rsidRPr="00742A04">
        <w:t xml:space="preserve">años, </w:t>
      </w:r>
      <w:r w:rsidR="00877AA0" w:rsidRPr="00742A04">
        <w:t>y</w:t>
      </w:r>
      <w:r w:rsidR="00545D1B" w:rsidRPr="00742A04">
        <w:t xml:space="preserve"> </w:t>
      </w:r>
      <w:r w:rsidR="00176976" w:rsidRPr="00742A04">
        <w:t>la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 </w:t>
      </w:r>
      <w:r w:rsidR="00176976" w:rsidRPr="00742A04">
        <w:t>media de jubil</w:t>
      </w:r>
      <w:r w:rsidR="00176976" w:rsidRPr="00742A04">
        <w:t>a</w:t>
      </w:r>
      <w:r w:rsidR="00176976" w:rsidRPr="00742A04">
        <w:t xml:space="preserve">ción </w:t>
      </w:r>
      <w:r w:rsidR="00BB4DB1" w:rsidRPr="00742A04">
        <w:t>es</w:t>
      </w:r>
      <w:r w:rsidR="00545D1B" w:rsidRPr="00742A04">
        <w:t xml:space="preserve"> </w:t>
      </w:r>
      <w:r w:rsidR="00176976" w:rsidRPr="00742A04">
        <w:t>de 57,</w:t>
      </w:r>
      <w:r w:rsidR="00545D1B" w:rsidRPr="00742A04">
        <w:t xml:space="preserve">5 </w:t>
      </w:r>
      <w:r w:rsidR="00176976" w:rsidRPr="00742A04">
        <w:t xml:space="preserve">años </w:t>
      </w:r>
      <w:r w:rsidR="00545D1B" w:rsidRPr="00742A04">
        <w:t xml:space="preserve">(KLP - </w:t>
      </w:r>
      <w:r w:rsidR="00176976" w:rsidRPr="00742A04">
        <w:t>caja municipal de pensiones</w:t>
      </w:r>
      <w:r w:rsidR="00545D1B" w:rsidRPr="00742A04">
        <w:t xml:space="preserve">) </w:t>
      </w:r>
      <w:r w:rsidR="00877AA0" w:rsidRPr="00742A04">
        <w:t>y</w:t>
      </w:r>
      <w:r w:rsidR="00545D1B" w:rsidRPr="00742A04">
        <w:t xml:space="preserve"> 58</w:t>
      </w:r>
      <w:r w:rsidR="00176976" w:rsidRPr="00742A04">
        <w:t>,</w:t>
      </w:r>
      <w:r w:rsidR="00545D1B" w:rsidRPr="00742A04">
        <w:t xml:space="preserve">2 </w:t>
      </w:r>
      <w:r w:rsidR="00176976" w:rsidRPr="00742A04">
        <w:t xml:space="preserve">años </w:t>
      </w:r>
      <w:r w:rsidR="00545D1B" w:rsidRPr="00742A04">
        <w:t xml:space="preserve">(SPK </w:t>
      </w:r>
      <w:r w:rsidR="00176976" w:rsidRPr="00742A04">
        <w:t>–</w:t>
      </w:r>
      <w:r w:rsidR="00545D1B" w:rsidRPr="00742A04">
        <w:t xml:space="preserve"> </w:t>
      </w:r>
      <w:r w:rsidR="00176976" w:rsidRPr="00742A04">
        <w:t>caja estatal de pensiones</w:t>
      </w:r>
      <w:r w:rsidR="00545D1B" w:rsidRPr="00742A04">
        <w:t xml:space="preserve">). </w:t>
      </w:r>
      <w:r w:rsidR="00176976" w:rsidRPr="00742A04">
        <w:t>P</w:t>
      </w:r>
      <w:r w:rsidR="00F05119" w:rsidRPr="00742A04">
        <w:t>or</w:t>
      </w:r>
      <w:r w:rsidR="00176976" w:rsidRPr="00742A04">
        <w:t xml:space="preserve"> </w:t>
      </w:r>
      <w:r w:rsidR="00F05119" w:rsidRPr="00742A04">
        <w:t>consiguiente</w:t>
      </w:r>
      <w:r w:rsidR="00176976" w:rsidRPr="00742A04">
        <w:t>, hay una amplia</w:t>
      </w:r>
      <w:r w:rsidR="00545D1B" w:rsidRPr="00742A04">
        <w:t xml:space="preserve"> </w:t>
      </w:r>
      <w:r w:rsidR="00B0197C" w:rsidRPr="00742A04">
        <w:t>mayoría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176976" w:rsidRPr="00742A04">
        <w:t>mujeres de edad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75A9E" w:rsidRPr="00742A04">
        <w:t>el sector municipal</w:t>
      </w:r>
      <w:r w:rsidR="00545D1B" w:rsidRPr="00742A04">
        <w:t xml:space="preserve">, </w:t>
      </w:r>
      <w:r w:rsidR="00CE7870" w:rsidRPr="00742A04">
        <w:t>much</w:t>
      </w:r>
      <w:r w:rsidR="00176976" w:rsidRPr="00742A04">
        <w:t>as de las cuales</w:t>
      </w:r>
      <w:r w:rsidR="00116976" w:rsidRPr="00742A04">
        <w:t xml:space="preserve"> trabaj</w:t>
      </w:r>
      <w:r w:rsidR="00176976" w:rsidRPr="00742A04">
        <w:t>an en un</w:t>
      </w:r>
      <w:r w:rsidR="00545D1B" w:rsidRPr="00742A04">
        <w:t xml:space="preserve"> </w:t>
      </w:r>
      <w:r w:rsidR="009739AE" w:rsidRPr="00742A04">
        <w:t>sistema de rotación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76976" w:rsidRPr="00742A04">
        <w:t>tienen</w:t>
      </w:r>
      <w:r w:rsidR="00545D1B" w:rsidRPr="00742A04">
        <w:t xml:space="preserve"> </w:t>
      </w:r>
      <w:r w:rsidR="007E0DFE" w:rsidRPr="00742A04">
        <w:t>empleo</w:t>
      </w:r>
      <w:r w:rsidR="00545D1B" w:rsidRPr="00742A04">
        <w:t xml:space="preserve">s </w:t>
      </w:r>
      <w:r w:rsidR="00176976" w:rsidRPr="00742A04">
        <w:t>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176976" w:rsidRPr="00742A04">
        <w:t>física</w:t>
      </w:r>
      <w:r w:rsidR="005F7B32" w:rsidRPr="00742A04">
        <w:t xml:space="preserve"> </w:t>
      </w:r>
      <w:r w:rsidR="00877AA0" w:rsidRPr="00742A04">
        <w:t>y</w:t>
      </w:r>
      <w:r w:rsidR="00545D1B" w:rsidRPr="00742A04">
        <w:t xml:space="preserve"> menta</w:t>
      </w:r>
      <w:r w:rsidR="005F7B32" w:rsidRPr="00742A04">
        <w:t xml:space="preserve">lmente </w:t>
      </w:r>
      <w:r w:rsidR="00176976" w:rsidRPr="00742A04">
        <w:t>exigentes</w:t>
      </w:r>
      <w:r w:rsidR="00545D1B" w:rsidRPr="00742A04">
        <w:t xml:space="preserve">. </w:t>
      </w:r>
      <w:r w:rsidR="003D75F0" w:rsidRPr="00742A04">
        <w:t>Habida cuenta de ello</w:t>
      </w:r>
      <w:r w:rsidR="00495D7B" w:rsidRPr="00742A04">
        <w:t>, 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 w:rsidR="00600894" w:rsidRPr="00742A04">
        <w:t>las ausencias por enfermedad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exclus</w:t>
      </w:r>
      <w:r w:rsidR="003D75F0" w:rsidRPr="00742A04">
        <w:t>ión.</w:t>
      </w:r>
    </w:p>
    <w:p w:rsidR="000A08D8" w:rsidRPr="00742A04" w:rsidRDefault="003D75F0" w:rsidP="00D574C4">
      <w:pPr>
        <w:pStyle w:val="SingleTxt"/>
        <w:ind w:firstLine="475"/>
      </w:pPr>
      <w:r w:rsidRPr="00742A04">
        <w:t xml:space="preserve">El </w:t>
      </w:r>
      <w:r w:rsidR="00545D1B" w:rsidRPr="00742A04">
        <w:t>64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Pr="00742A04">
        <w:t>l total de</w:t>
      </w:r>
      <w:r w:rsidR="00B146CA" w:rsidRPr="00742A04">
        <w:t xml:space="preserve"> </w:t>
      </w:r>
      <w:r w:rsidR="00B82A08" w:rsidRPr="00742A04">
        <w:t>personas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644C8F" w:rsidRPr="00742A04">
        <w:t>recibió</w:t>
      </w:r>
      <w:r w:rsidR="00545D1B" w:rsidRPr="00742A04">
        <w:t xml:space="preserve"> </w:t>
      </w:r>
      <w:r w:rsidR="00495D7B" w:rsidRPr="00742A04">
        <w:t>un</w:t>
      </w:r>
      <w:r w:rsidRPr="00742A04">
        <w:t>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Pr="00742A04">
        <w:t>prestaciones</w:t>
      </w:r>
      <w:r w:rsidR="00545D1B" w:rsidRPr="00742A04">
        <w:t xml:space="preserve"> </w:t>
      </w:r>
      <w:r w:rsidRPr="00742A04">
        <w:t>a consecuencia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94371" w:rsidRPr="00742A04">
        <w:t>sus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 segundo</w:t>
      </w:r>
      <w:r w:rsidR="00545D1B" w:rsidRPr="00742A04">
        <w:t xml:space="preserve"> </w:t>
      </w:r>
      <w:r w:rsidR="008C4612" w:rsidRPr="00742A04">
        <w:t>trime</w:t>
      </w:r>
      <w:r w:rsidR="008C4612" w:rsidRPr="00742A04">
        <w:t>s</w:t>
      </w:r>
      <w:r w:rsidR="008C4612" w:rsidRPr="00742A04">
        <w:t xml:space="preserve">tre de </w:t>
      </w:r>
      <w:r w:rsidR="00545D1B" w:rsidRPr="00742A04">
        <w:t xml:space="preserve">2005. </w:t>
      </w:r>
      <w:r w:rsidRPr="00742A04">
        <w:t xml:space="preserve">El </w:t>
      </w:r>
      <w:r w:rsidR="00545D1B" w:rsidRPr="00742A04">
        <w:t>41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380AC9" w:rsidRPr="00742A04">
        <w:t>empleados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Pr="00742A04">
        <w:t>recept</w:t>
      </w:r>
      <w:r w:rsidRPr="00742A04">
        <w:t>o</w:t>
      </w:r>
      <w:r w:rsidRPr="00742A04">
        <w:t>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prestaciones</w:t>
      </w:r>
      <w:r w:rsidR="00545D1B" w:rsidRPr="00742A04">
        <w:t xml:space="preserve">. </w:t>
      </w:r>
      <w:r w:rsidRPr="00742A04">
        <w:t>De ellos</w:t>
      </w:r>
      <w:r w:rsidR="00545D1B" w:rsidRPr="00742A04">
        <w:t xml:space="preserve">, </w:t>
      </w:r>
      <w:r w:rsidRPr="00742A04">
        <w:t xml:space="preserve">el </w:t>
      </w:r>
      <w:r w:rsidR="00545D1B" w:rsidRPr="00742A04">
        <w:t>58</w:t>
      </w:r>
      <w:r w:rsidR="001167D2" w:rsidRPr="00742A04">
        <w:t>%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Pr="00742A04">
        <w:t>receptores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A3363" w:rsidRPr="00742A04">
        <w:t>pensiones por incap</w:t>
      </w:r>
      <w:r w:rsidR="00FA3363" w:rsidRPr="00742A04">
        <w:t>a</w:t>
      </w:r>
      <w:r w:rsidR="00FA3363" w:rsidRPr="00742A04">
        <w:t>cidad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69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Pr="00742A04">
        <w:t>l total de</w:t>
      </w:r>
      <w:r w:rsidR="00545D1B" w:rsidRPr="00742A04">
        <w:t xml:space="preserve"> </w:t>
      </w:r>
      <w:r w:rsidRPr="00742A04">
        <w:t>receptores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A3363" w:rsidRPr="00742A04">
        <w:t>pensiones por incapac</w:t>
      </w:r>
      <w:r w:rsidR="00FA3363" w:rsidRPr="00742A04">
        <w:t>i</w:t>
      </w:r>
      <w:r w:rsidR="00FA3363" w:rsidRPr="00742A04">
        <w:t>dad</w:t>
      </w:r>
      <w:r w:rsidR="00545D1B" w:rsidRPr="00742A04">
        <w:t xml:space="preserve">. </w:t>
      </w:r>
      <w:r w:rsidRPr="00742A04">
        <w:t>Es mayor la cantidad de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1178E" w:rsidRPr="00742A04">
        <w:t xml:space="preserve">que </w:t>
      </w:r>
      <w:r w:rsidR="00545D1B" w:rsidRPr="00742A04">
        <w:t>rec</w:t>
      </w:r>
      <w:r w:rsidRPr="00742A04">
        <w:t>iben</w:t>
      </w:r>
      <w:r w:rsidR="00545D1B" w:rsidRPr="00742A04">
        <w:t xml:space="preserve"> </w:t>
      </w:r>
      <w:r w:rsidRPr="00742A04">
        <w:t>prestaciones que la cantidad de hombres</w:t>
      </w:r>
      <w:r w:rsidR="00545D1B" w:rsidRPr="00742A04">
        <w:t xml:space="preserve">. </w:t>
      </w:r>
      <w:r w:rsidRPr="00742A04">
        <w:t>Del</w:t>
      </w:r>
      <w:r w:rsidR="00545D1B" w:rsidRPr="00742A04">
        <w:t xml:space="preserve"> total </w:t>
      </w:r>
      <w:r w:rsidRPr="00742A04">
        <w:t>de</w:t>
      </w:r>
      <w:r w:rsidR="00D76655" w:rsidRPr="00742A04">
        <w:t xml:space="preserve"> personas discapacitadas</w:t>
      </w:r>
      <w:r w:rsidR="00545D1B" w:rsidRPr="00742A04">
        <w:t xml:space="preserve">, </w:t>
      </w:r>
      <w:r w:rsidRPr="00742A04">
        <w:t xml:space="preserve">el </w:t>
      </w:r>
      <w:r w:rsidR="00545D1B" w:rsidRPr="00742A04">
        <w:t>69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59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Pr="00742A04">
        <w:t>receptores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prestaciones</w:t>
      </w:r>
      <w:r w:rsidR="00545D1B" w:rsidRPr="00742A04">
        <w:t xml:space="preserve">, </w:t>
      </w:r>
      <w:r w:rsidR="00502E16" w:rsidRPr="00742A04">
        <w:t>es decir,</w:t>
      </w:r>
      <w:r w:rsidR="00545D1B" w:rsidRPr="00742A04">
        <w:t xml:space="preserve"> </w:t>
      </w:r>
      <w:r w:rsidRPr="00742A04">
        <w:t xml:space="preserve">una </w:t>
      </w:r>
      <w:r w:rsidR="008622FD" w:rsidRPr="00742A04">
        <w:t>diferencia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10 </w:t>
      </w:r>
      <w:r w:rsidR="001D532F" w:rsidRPr="00742A04">
        <w:t>puntos</w:t>
      </w:r>
      <w:r w:rsidR="001F6F1A" w:rsidRPr="00742A04">
        <w:t xml:space="preserve"> porcentuales</w:t>
      </w:r>
      <w:r w:rsidR="00545D1B" w:rsidRPr="00742A04">
        <w:t xml:space="preserve">. </w:t>
      </w:r>
      <w:r w:rsidR="001D532F" w:rsidRPr="00742A04">
        <w:t>Entre</w:t>
      </w:r>
      <w:r w:rsidR="00545D1B" w:rsidRPr="00742A04">
        <w:t xml:space="preserve"> </w:t>
      </w:r>
      <w:r w:rsidR="00D76655" w:rsidRPr="00742A04">
        <w:t>las personas discapacitadas</w:t>
      </w:r>
      <w:r w:rsidR="00545D1B" w:rsidRPr="00742A04">
        <w:t xml:space="preserve"> </w:t>
      </w:r>
      <w:r w:rsidRPr="00742A04">
        <w:t xml:space="preserve">empleadas, el </w:t>
      </w:r>
      <w:r w:rsidR="00545D1B" w:rsidRPr="00742A04">
        <w:t>49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E44A9D" w:rsidRPr="00742A04">
        <w:t>receptora</w:t>
      </w:r>
      <w:r w:rsidRPr="00742A04">
        <w:t>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prestaciones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33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, </w:t>
      </w:r>
      <w:r w:rsidR="00E44A9D" w:rsidRPr="00742A04">
        <w:t>un</w:t>
      </w:r>
      <w:r w:rsidR="00545D1B" w:rsidRPr="00742A04">
        <w:t xml:space="preserve">a </w:t>
      </w:r>
      <w:r w:rsidR="008622FD" w:rsidRPr="00742A04">
        <w:t>diferencia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16 </w:t>
      </w:r>
      <w:r w:rsidR="001D532F" w:rsidRPr="00742A04">
        <w:t>puntos</w:t>
      </w:r>
      <w:r w:rsidR="001F6F1A" w:rsidRPr="00742A04">
        <w:t xml:space="preserve"> porcentu</w:t>
      </w:r>
      <w:r w:rsidR="001F6F1A" w:rsidRPr="00742A04">
        <w:t>a</w:t>
      </w:r>
      <w:r w:rsidR="001F6F1A" w:rsidRPr="00742A04">
        <w:t>les</w:t>
      </w:r>
      <w:r w:rsidR="000A08D8" w:rsidRPr="00742A04">
        <w:t>.</w:t>
      </w:r>
    </w:p>
    <w:p w:rsidR="00545D1B" w:rsidRPr="00742A04" w:rsidRDefault="004A0730" w:rsidP="00D574C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A5364F" w:rsidRPr="00742A04">
        <w:t>febrero de</w:t>
      </w:r>
      <w:r w:rsidR="00545D1B" w:rsidRPr="00742A04">
        <w:t xml:space="preserve"> 2006 </w:t>
      </w:r>
      <w:r w:rsidR="00E44A9D" w:rsidRPr="00742A04">
        <w:t>l</w:t>
      </w:r>
      <w:r w:rsidR="005D2D07" w:rsidRPr="00742A04">
        <w:t>a Dirección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44A9D" w:rsidRPr="00742A04">
        <w:t>Asuntos Sociales</w:t>
      </w:r>
      <w:r w:rsidR="00545D1B" w:rsidRPr="00742A04">
        <w:t xml:space="preserve"> </w:t>
      </w:r>
      <w:r w:rsidR="00E44A9D" w:rsidRPr="00742A04">
        <w:t>organizó</w:t>
      </w:r>
      <w:r w:rsidR="00545D1B" w:rsidRPr="00742A04">
        <w:t xml:space="preserve"> </w:t>
      </w:r>
      <w:r w:rsidR="00495D7B" w:rsidRPr="00742A04">
        <w:t>un</w:t>
      </w:r>
      <w:r w:rsidR="00545D1B" w:rsidRPr="00742A04">
        <w:t xml:space="preserve"> </w:t>
      </w:r>
      <w:r w:rsidR="00BC1D22" w:rsidRPr="00742A04">
        <w:t>s</w:t>
      </w:r>
      <w:r w:rsidR="00BC1D22" w:rsidRPr="00742A04">
        <w:t>e</w:t>
      </w:r>
      <w:r w:rsidR="00BC1D22" w:rsidRPr="00742A04">
        <w:t>minario</w:t>
      </w:r>
      <w:r w:rsidR="00E44A9D" w:rsidRPr="00742A04">
        <w:t xml:space="preserve"> de un día sobe las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44A9D" w:rsidRPr="00742A04">
        <w:t xml:space="preserve">el </w:t>
      </w:r>
      <w:r w:rsidR="00A836A1" w:rsidRPr="00742A04">
        <w:t>género</w:t>
      </w:r>
      <w:r w:rsidR="00545D1B" w:rsidRPr="00742A04">
        <w:t xml:space="preserve">. </w:t>
      </w:r>
      <w:r w:rsidR="00F43124" w:rsidRPr="00742A04">
        <w:t>Hay</w:t>
      </w:r>
      <w:r w:rsidR="00545D1B" w:rsidRPr="00742A04">
        <w:t xml:space="preserve"> </w:t>
      </w:r>
      <w:r w:rsidR="00E44A9D" w:rsidRPr="00742A04">
        <w:t>un</w:t>
      </w:r>
      <w:r w:rsidR="00545D1B" w:rsidRPr="00742A04">
        <w:t>a</w:t>
      </w:r>
      <w:r w:rsidR="00E44A9D" w:rsidRPr="00742A04">
        <w:t xml:space="preserve"> gran</w:t>
      </w:r>
      <w:r w:rsidR="00545D1B" w:rsidRPr="00742A04">
        <w:t xml:space="preserve"> </w:t>
      </w:r>
      <w:r w:rsidR="00E44A9D" w:rsidRPr="00742A04">
        <w:t>n</w:t>
      </w:r>
      <w:r w:rsidR="00E44A9D" w:rsidRPr="00742A04">
        <w:t>e</w:t>
      </w:r>
      <w:r w:rsidR="00E44A9D" w:rsidRPr="00742A04">
        <w:t>cesidad de desarrollar</w:t>
      </w:r>
      <w:r w:rsidR="00545D1B" w:rsidRPr="00742A04">
        <w:t xml:space="preserve"> </w:t>
      </w:r>
      <w:r w:rsidR="00242371" w:rsidRPr="00742A04">
        <w:t>las capacidades especializadas</w:t>
      </w:r>
      <w:r w:rsidR="00545D1B" w:rsidRPr="00742A04">
        <w:t xml:space="preserve"> </w:t>
      </w:r>
      <w:r w:rsidR="00E44A9D" w:rsidRPr="00742A04">
        <w:t>e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844FDB" w:rsidRPr="00742A04">
        <w:t>la</w:t>
      </w:r>
      <w:r w:rsidR="00E44A9D" w:rsidRPr="00742A04">
        <w:t>s actividades de</w:t>
      </w:r>
      <w:r w:rsidR="00844FDB" w:rsidRPr="00742A04">
        <w:t xml:space="preserve"> investigación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3F50" w:rsidRPr="00742A04">
        <w:t>esta e</w:t>
      </w:r>
      <w:r w:rsidR="004A3F50" w:rsidRPr="00742A04">
        <w:t>s</w:t>
      </w:r>
      <w:r w:rsidR="004A3F50" w:rsidRPr="00742A04">
        <w:t>fera</w:t>
      </w:r>
      <w:r w:rsidR="00545D1B" w:rsidRPr="00742A04">
        <w:t>.</w:t>
      </w:r>
    </w:p>
    <w:p w:rsidR="00545D1B" w:rsidRPr="00742A04" w:rsidRDefault="00E44A9D" w:rsidP="00BB2C8F">
      <w:pPr>
        <w:pStyle w:val="SingleTxt"/>
        <w:keepNext/>
        <w:rPr>
          <w:b/>
        </w:rPr>
      </w:pPr>
      <w:r w:rsidRPr="00742A04">
        <w:rPr>
          <w:b/>
        </w:rPr>
        <w:t>Las mujeres</w:t>
      </w:r>
      <w:r w:rsidR="00545D1B" w:rsidRPr="00742A04">
        <w:rPr>
          <w:b/>
        </w:rPr>
        <w:t xml:space="preserve"> </w:t>
      </w:r>
      <w:r w:rsidR="00C14BFF" w:rsidRPr="00742A04">
        <w:rPr>
          <w:b/>
        </w:rPr>
        <w:t>en</w:t>
      </w:r>
      <w:r w:rsidR="00545D1B" w:rsidRPr="00742A04">
        <w:rPr>
          <w:b/>
        </w:rPr>
        <w:t xml:space="preserve"> </w:t>
      </w:r>
      <w:r w:rsidR="006F4432" w:rsidRPr="00742A04">
        <w:rPr>
          <w:b/>
        </w:rPr>
        <w:t>puestos gerenciales</w:t>
      </w:r>
    </w:p>
    <w:p w:rsidR="000A08D8" w:rsidRPr="00742A04" w:rsidRDefault="00E44A9D" w:rsidP="00D574C4">
      <w:pPr>
        <w:pStyle w:val="SingleTxt"/>
        <w:ind w:firstLine="475"/>
      </w:pPr>
      <w:r w:rsidRPr="00742A04">
        <w:t>Si bien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EC1B22" w:rsidRPr="00742A04">
        <w:t>representan</w:t>
      </w:r>
      <w:r w:rsidR="00545D1B" w:rsidRPr="00742A04">
        <w:t xml:space="preserve"> </w:t>
      </w:r>
      <w:r w:rsidRPr="00742A04">
        <w:t xml:space="preserve">ahora el </w:t>
      </w:r>
      <w:r w:rsidR="00545D1B" w:rsidRPr="00742A04">
        <w:t>47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94371">
        <w:t>la</w:t>
      </w:r>
      <w:r w:rsidR="00545D1B" w:rsidRPr="00742A04">
        <w:t xml:space="preserve"> </w:t>
      </w:r>
      <w:r w:rsidR="00B75B05" w:rsidRPr="00742A04">
        <w:t>fuerza de trabajo</w:t>
      </w:r>
      <w:r w:rsidRPr="00742A04">
        <w:t xml:space="preserve">, </w:t>
      </w:r>
      <w:r w:rsidR="00FC4C8D" w:rsidRPr="00742A04">
        <w:t>siguen e</w:t>
      </w:r>
      <w:r w:rsidR="00FC4C8D" w:rsidRPr="00742A04">
        <w:t>s</w:t>
      </w:r>
      <w:r w:rsidR="00FC4C8D" w:rsidRPr="00742A04">
        <w:t>tando</w:t>
      </w:r>
      <w:r w:rsidR="00545D1B" w:rsidRPr="00742A04">
        <w:t xml:space="preserve"> </w:t>
      </w:r>
      <w:r w:rsidR="00032136" w:rsidRPr="00742A04">
        <w:t>claramente</w:t>
      </w:r>
      <w:r w:rsidR="00545D1B" w:rsidRPr="00742A04">
        <w:t xml:space="preserve"> </w:t>
      </w:r>
      <w:r w:rsidR="00C14BFF" w:rsidRPr="00742A04">
        <w:t>en</w:t>
      </w:r>
      <w:r w:rsidR="005E08DF" w:rsidRPr="00742A04">
        <w:t xml:space="preserve"> </w:t>
      </w:r>
      <w:r w:rsidR="001167D2" w:rsidRPr="00742A04">
        <w:t>minoría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los </w:t>
      </w:r>
      <w:r w:rsidR="006F4432" w:rsidRPr="00742A04">
        <w:t>puestos gerenciales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2004, </w:t>
      </w:r>
      <w:r w:rsidRPr="00742A04">
        <w:t xml:space="preserve">el </w:t>
      </w:r>
      <w:r w:rsidR="00545D1B" w:rsidRPr="00742A04">
        <w:t>29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Pr="00742A04">
        <w:t>l total de gerentes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Pr="00742A04">
        <w:t>un incremento en relación con el</w:t>
      </w:r>
      <w:r w:rsidR="00545D1B" w:rsidRPr="00742A04">
        <w:t xml:space="preserve"> 26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2001</w:t>
      </w:r>
      <w:r w:rsidR="000A08D8" w:rsidRPr="00742A04">
        <w:t>.</w:t>
      </w:r>
    </w:p>
    <w:p w:rsidR="00545D1B" w:rsidRPr="00742A04" w:rsidRDefault="008A7280" w:rsidP="00496A4A">
      <w:pPr>
        <w:pStyle w:val="SingleTxt"/>
        <w:keepNext/>
        <w:rPr>
          <w:i/>
        </w:rPr>
      </w:pPr>
      <w:r w:rsidRPr="00742A04">
        <w:rPr>
          <w:i/>
        </w:rPr>
        <w:t xml:space="preserve">El </w:t>
      </w:r>
      <w:r w:rsidR="00EE31D6" w:rsidRPr="00742A04">
        <w:rPr>
          <w:i/>
        </w:rPr>
        <w:t>sector privado</w:t>
      </w:r>
    </w:p>
    <w:p w:rsidR="00545D1B" w:rsidRPr="00742A04" w:rsidRDefault="008A7280" w:rsidP="00D574C4">
      <w:pPr>
        <w:pStyle w:val="SingleTxt"/>
        <w:ind w:firstLine="475"/>
      </w:pPr>
      <w:r w:rsidRPr="00742A04">
        <w:t xml:space="preserve">En </w:t>
      </w:r>
      <w:r w:rsidR="004B580D" w:rsidRPr="00742A04">
        <w:t>el sector privado</w:t>
      </w:r>
      <w:r w:rsidR="00545D1B" w:rsidRPr="00742A04">
        <w:t xml:space="preserve"> </w:t>
      </w:r>
      <w:r w:rsidR="00A742D4" w:rsidRPr="00742A04">
        <w:t>en su conjunto</w:t>
      </w:r>
      <w:r w:rsidR="00545D1B" w:rsidRPr="00742A04">
        <w:t xml:space="preserve">, </w:t>
      </w:r>
      <w:r w:rsidRPr="00742A04">
        <w:t xml:space="preserve">en 2005 eran mujeres el </w:t>
      </w:r>
      <w:r w:rsidR="00545D1B" w:rsidRPr="00742A04">
        <w:t>22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las pe</w:t>
      </w:r>
      <w:r w:rsidRPr="00742A04">
        <w:t>r</w:t>
      </w:r>
      <w:r w:rsidRPr="00742A04">
        <w:t>sonas</w:t>
      </w:r>
      <w:r w:rsidR="00545D1B" w:rsidRPr="00742A04">
        <w:t xml:space="preserve"> </w:t>
      </w:r>
      <w:r w:rsidRPr="00742A04">
        <w:t xml:space="preserve">que ocupaban </w:t>
      </w:r>
      <w:r w:rsidR="006F4432" w:rsidRPr="00742A04">
        <w:t>puestos gerenciales</w:t>
      </w:r>
      <w:r w:rsidRPr="00742A04">
        <w:t xml:space="preserve"> superiores</w:t>
      </w:r>
      <w:r w:rsidR="00545D1B" w:rsidRPr="00742A04">
        <w:t xml:space="preserve">. </w:t>
      </w:r>
      <w:r w:rsidRPr="00742A04">
        <w:t xml:space="preserve">Es una disminución </w:t>
      </w:r>
      <w:r w:rsidR="004A0730" w:rsidRPr="00742A04">
        <w:t>de</w:t>
      </w:r>
      <w:r w:rsidRPr="00742A04">
        <w:t>l</w:t>
      </w:r>
      <w:r w:rsidR="00545D1B" w:rsidRPr="00742A04">
        <w:t xml:space="preserve"> 1</w:t>
      </w:r>
      <w:r w:rsidR="001167D2" w:rsidRPr="00742A04">
        <w:t>%</w:t>
      </w:r>
      <w:r w:rsidR="00545D1B" w:rsidRPr="00742A04">
        <w:t xml:space="preserve"> </w:t>
      </w:r>
      <w:r w:rsidRPr="00742A04">
        <w:t xml:space="preserve">en relación con el </w:t>
      </w:r>
      <w:r w:rsidR="004D313C" w:rsidRPr="00742A04">
        <w:t>año</w:t>
      </w:r>
      <w:r w:rsidRPr="00742A04">
        <w:t xml:space="preserve"> anterior</w:t>
      </w:r>
      <w:r w:rsidR="00545D1B" w:rsidRPr="00742A04">
        <w:t xml:space="preserve">.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F4432" w:rsidRPr="00742A04">
        <w:t>puestos gerenciales</w:t>
      </w:r>
      <w:r w:rsidRPr="00742A04">
        <w:t xml:space="preserve"> de n</w:t>
      </w:r>
      <w:r w:rsidRPr="00742A04">
        <w:t>i</w:t>
      </w:r>
      <w:r w:rsidRPr="00742A04">
        <w:t>vel medio</w:t>
      </w:r>
      <w:r w:rsidR="00545D1B" w:rsidRPr="00742A04">
        <w:t xml:space="preserve"> </w:t>
      </w:r>
      <w:r w:rsidR="00BB4DB1" w:rsidRPr="00742A04">
        <w:t>es</w:t>
      </w:r>
      <w:r w:rsidRPr="00742A04">
        <w:t xml:space="preserve"> del</w:t>
      </w:r>
      <w:r w:rsidR="00545D1B" w:rsidRPr="00742A04">
        <w:t xml:space="preserve"> 27</w:t>
      </w:r>
      <w:r w:rsidR="001167D2" w:rsidRPr="00742A04">
        <w:t>%</w:t>
      </w:r>
      <w:r w:rsidR="00A93B9E" w:rsidRPr="00742A04">
        <w:t xml:space="preserve">, la </w:t>
      </w:r>
      <w:r w:rsidR="003C25BF" w:rsidRPr="00742A04">
        <w:t>misma</w:t>
      </w:r>
      <w:r w:rsidR="00545D1B" w:rsidRPr="00742A04">
        <w:t xml:space="preserve"> </w:t>
      </w:r>
      <w:r w:rsidRPr="00742A04">
        <w:t xml:space="preserve">que en los </w:t>
      </w:r>
      <w:r w:rsidR="003C5A2B" w:rsidRPr="00742A04">
        <w:t>dos</w:t>
      </w:r>
      <w:r w:rsidR="00545D1B" w:rsidRPr="00742A04">
        <w:t xml:space="preserve"> </w:t>
      </w:r>
      <w:r w:rsidR="004D313C" w:rsidRPr="00742A04">
        <w:t>años</w:t>
      </w:r>
      <w:r w:rsidRPr="00742A04">
        <w:t xml:space="preserve"> anteriores</w:t>
      </w:r>
      <w:r w:rsidR="00545D1B" w:rsidRPr="00742A04">
        <w:t xml:space="preserve">. </w:t>
      </w:r>
      <w:r w:rsidR="00021DB5" w:rsidRPr="00742A04">
        <w:t>Hay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Pr="00742A04">
        <w:t>rel</w:t>
      </w:r>
      <w:r w:rsidRPr="00742A04">
        <w:t>a</w:t>
      </w:r>
      <w:r w:rsidRPr="00742A04">
        <w:t xml:space="preserve">tivamente grandes </w:t>
      </w:r>
      <w:r w:rsidR="003922FC" w:rsidRPr="00742A04">
        <w:t xml:space="preserve">entre las distintas industrias </w:t>
      </w:r>
      <w:r w:rsidR="00C14BFF" w:rsidRPr="00742A04">
        <w:t>en</w:t>
      </w:r>
      <w:r w:rsidR="003922FC" w:rsidRPr="00742A04">
        <w:t xml:space="preserve"> lo tocante a</w:t>
      </w:r>
      <w:r w:rsidR="00545D1B" w:rsidRPr="00742A04">
        <w:t xml:space="preserve"> </w:t>
      </w:r>
      <w:r w:rsidR="005206AC" w:rsidRPr="00742A04">
        <w:t>la</w:t>
      </w:r>
      <w:r w:rsidRPr="00742A04">
        <w:t xml:space="preserve"> distribución de los puestos de gerente entre </w:t>
      </w:r>
      <w:r w:rsidR="004D313C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hombres</w:t>
      </w:r>
      <w:r w:rsidR="00545D1B" w:rsidRPr="00742A04">
        <w:t xml:space="preserve">. </w:t>
      </w:r>
      <w:r w:rsidR="003922FC" w:rsidRPr="00742A04">
        <w:t>Una importante</w:t>
      </w:r>
      <w:r w:rsidR="00545D1B" w:rsidRPr="00742A04">
        <w:t xml:space="preserve"> </w:t>
      </w:r>
      <w:r w:rsidR="00AC5D28" w:rsidRPr="00742A04">
        <w:t>proporción de mujeres</w:t>
      </w:r>
      <w:r w:rsidR="00545D1B" w:rsidRPr="00742A04">
        <w:t xml:space="preserve"> </w:t>
      </w:r>
      <w:r w:rsidR="003922FC" w:rsidRPr="00742A04">
        <w:t xml:space="preserve">que ocupan </w:t>
      </w:r>
      <w:r w:rsidR="006F4432" w:rsidRPr="00742A04">
        <w:t>puestos gerenciales</w:t>
      </w:r>
      <w:r w:rsidR="00545D1B" w:rsidRPr="00742A04">
        <w:t xml:space="preserve"> </w:t>
      </w:r>
      <w:r w:rsidR="003922FC" w:rsidRPr="00742A04">
        <w:t>se encuentran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922FC" w:rsidRPr="00742A04">
        <w:t>el sector d</w:t>
      </w:r>
      <w:r w:rsidR="00545D1B" w:rsidRPr="00742A04">
        <w:t>e hotel</w:t>
      </w:r>
      <w:r w:rsidR="003922FC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restaurant</w:t>
      </w:r>
      <w:r w:rsidR="003922FC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75B05" w:rsidRPr="00742A04">
        <w:t>el comercio minorista</w:t>
      </w:r>
      <w:r w:rsidR="00545D1B" w:rsidRPr="00742A04">
        <w:t xml:space="preserve">. </w:t>
      </w:r>
      <w:r w:rsidR="003922FC" w:rsidRPr="00742A04">
        <w:t>T</w:t>
      </w:r>
      <w:r w:rsidR="0030626A" w:rsidRPr="00742A04">
        <w:t>ambién</w:t>
      </w:r>
      <w:r w:rsidR="003922FC" w:rsidRPr="00742A04">
        <w:t xml:space="preserve"> hay </w:t>
      </w:r>
      <w:r w:rsidR="00CE7870" w:rsidRPr="00742A04">
        <w:t>mu</w:t>
      </w:r>
      <w:r w:rsidR="003922FC" w:rsidRPr="00742A04">
        <w:t>cha</w:t>
      </w:r>
      <w:r w:rsidR="00CE7870" w:rsidRPr="00742A04">
        <w:t>s</w:t>
      </w:r>
      <w:r w:rsidR="00545D1B" w:rsidRPr="00742A04">
        <w:t xml:space="preserve"> </w:t>
      </w:r>
      <w:r w:rsidR="003922FC" w:rsidRPr="00742A04">
        <w:t xml:space="preserve">mujeres que ocupan </w:t>
      </w:r>
      <w:r w:rsidR="006F4432" w:rsidRPr="00742A04">
        <w:t>puestos gerenci</w:t>
      </w:r>
      <w:r w:rsidR="006F4432" w:rsidRPr="00742A04">
        <w:t>a</w:t>
      </w:r>
      <w:r w:rsidR="006F4432" w:rsidRPr="00742A04">
        <w:t>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922FC" w:rsidRPr="00742A04">
        <w:t xml:space="preserve">los servicios </w:t>
      </w:r>
      <w:r w:rsidR="00545D1B" w:rsidRPr="00742A04">
        <w:t>social</w:t>
      </w:r>
      <w:r w:rsidR="003922FC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pri</w:t>
      </w:r>
      <w:r w:rsidR="003922FC" w:rsidRPr="00742A04">
        <w:t>vados</w:t>
      </w:r>
      <w:r w:rsidR="00545D1B" w:rsidRPr="00742A04">
        <w:t xml:space="preserve">. </w:t>
      </w:r>
      <w:r w:rsidR="00272D31" w:rsidRPr="00742A04">
        <w:t>Las cifras</w:t>
      </w:r>
      <w:r w:rsidR="00545D1B" w:rsidRPr="00742A04">
        <w:t xml:space="preserve"> </w:t>
      </w:r>
      <w:r w:rsidR="00272D31" w:rsidRPr="00742A04">
        <w:t>del Instituto</w:t>
      </w:r>
      <w:r w:rsidR="00AF398C" w:rsidRPr="00742A04">
        <w:t xml:space="preserve"> Nacional de Estadí</w:t>
      </w:r>
      <w:r w:rsidR="00AF398C" w:rsidRPr="00742A04">
        <w:t>s</w:t>
      </w:r>
      <w:r w:rsidR="00AF398C" w:rsidRPr="00742A04">
        <w:t>ticas de Noruega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922FC" w:rsidRPr="00742A04">
        <w:t>indican una</w:t>
      </w:r>
      <w:r w:rsidR="00545D1B" w:rsidRPr="00742A04">
        <w:t xml:space="preserve"> </w:t>
      </w:r>
      <w:r w:rsidR="007E0DFE" w:rsidRPr="00742A04">
        <w:t>tendencia</w:t>
      </w:r>
      <w:r w:rsidR="00545D1B" w:rsidRPr="00742A04">
        <w:t xml:space="preserve"> </w:t>
      </w:r>
      <w:r w:rsidR="003922FC" w:rsidRPr="00742A04">
        <w:t>a que las</w:t>
      </w:r>
      <w:r w:rsidR="00545D1B" w:rsidRPr="00742A04">
        <w:t xml:space="preserve"> </w:t>
      </w:r>
      <w:r w:rsidR="003922FC" w:rsidRPr="00742A04">
        <w:t xml:space="preserve">mujeres que ocupan </w:t>
      </w:r>
      <w:r w:rsidR="006F4432" w:rsidRPr="00742A04">
        <w:t>pue</w:t>
      </w:r>
      <w:r w:rsidR="006F4432" w:rsidRPr="00742A04">
        <w:t>s</w:t>
      </w:r>
      <w:r w:rsidR="006F4432" w:rsidRPr="00742A04">
        <w:t>tos gerenciales</w:t>
      </w:r>
      <w:r w:rsidR="00545D1B" w:rsidRPr="00742A04">
        <w:t xml:space="preserve"> </w:t>
      </w:r>
      <w:r w:rsidR="003922FC" w:rsidRPr="00742A04">
        <w:t>estén</w:t>
      </w:r>
      <w:r w:rsidR="00545D1B" w:rsidRPr="00742A04">
        <w:t xml:space="preserve"> concentra</w:t>
      </w:r>
      <w:r w:rsidR="003922FC" w:rsidRPr="00742A04">
        <w:t>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922FC" w:rsidRPr="00742A04">
        <w:t xml:space="preserve">las </w:t>
      </w:r>
      <w:r w:rsidR="00EF71C9" w:rsidRPr="00742A04">
        <w:t>empresas</w:t>
      </w:r>
      <w:r w:rsidR="00545D1B" w:rsidRPr="00742A04">
        <w:t xml:space="preserve"> </w:t>
      </w:r>
      <w:r w:rsidR="003922FC" w:rsidRPr="00742A04">
        <w:t xml:space="preserve">más pequeñas </w:t>
      </w:r>
      <w:r w:rsidR="004A0730" w:rsidRPr="00742A04">
        <w:t>con</w:t>
      </w:r>
      <w:r w:rsidR="00545D1B" w:rsidRPr="00742A04">
        <w:t xml:space="preserve"> </w:t>
      </w:r>
      <w:r w:rsidR="003922FC" w:rsidRPr="00742A04">
        <w:t>las menores cantid</w:t>
      </w:r>
      <w:r w:rsidR="003922FC" w:rsidRPr="00742A04">
        <w:t>a</w:t>
      </w:r>
      <w:r w:rsidR="003922FC" w:rsidRPr="00742A04">
        <w:t>des de</w:t>
      </w:r>
      <w:r w:rsidR="00380AC9" w:rsidRPr="00742A04">
        <w:t xml:space="preserve"> empleados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922FC" w:rsidRPr="00742A04">
        <w:t>las menores cifras de negocios</w:t>
      </w:r>
      <w:r w:rsidR="00545D1B" w:rsidRPr="00742A04">
        <w:t>.</w:t>
      </w:r>
    </w:p>
    <w:p w:rsidR="00123F21" w:rsidRPr="00742A04" w:rsidRDefault="00123F21" w:rsidP="00123F21">
      <w:pPr>
        <w:pStyle w:val="SingleTxt"/>
        <w:spacing w:after="0" w:line="120" w:lineRule="exact"/>
        <w:rPr>
          <w:b/>
          <w:sz w:val="10"/>
        </w:rPr>
      </w:pPr>
    </w:p>
    <w:p w:rsidR="00496A4A" w:rsidRPr="00742A04" w:rsidRDefault="004D2A67" w:rsidP="00496A4A">
      <w:pPr>
        <w:pStyle w:val="SingleTxt"/>
        <w:jc w:val="left"/>
        <w:rPr>
          <w:b/>
        </w:rPr>
      </w:pPr>
      <w:r w:rsidRPr="00742A04">
        <w:rPr>
          <w:b/>
        </w:rPr>
        <w:t xml:space="preserve">Porcentaje de </w:t>
      </w:r>
      <w:r w:rsidR="003922FC" w:rsidRPr="00742A04">
        <w:rPr>
          <w:b/>
        </w:rPr>
        <w:t xml:space="preserve">mujeres que ocupan </w:t>
      </w:r>
      <w:r w:rsidR="006F4432" w:rsidRPr="00742A04">
        <w:rPr>
          <w:b/>
        </w:rPr>
        <w:t>puestos gerenciales</w:t>
      </w:r>
      <w:r w:rsidR="00545D1B" w:rsidRPr="00742A04">
        <w:rPr>
          <w:b/>
        </w:rPr>
        <w:t xml:space="preserve"> </w:t>
      </w:r>
      <w:r w:rsidR="008A7280" w:rsidRPr="00742A04">
        <w:rPr>
          <w:b/>
        </w:rPr>
        <w:t xml:space="preserve">en </w:t>
      </w:r>
      <w:r w:rsidR="004B580D" w:rsidRPr="00742A04">
        <w:rPr>
          <w:b/>
        </w:rPr>
        <w:t>el sector privado</w:t>
      </w:r>
      <w:r w:rsidR="008A7280" w:rsidRPr="00742A04">
        <w:rPr>
          <w:b/>
        </w:rPr>
        <w:t xml:space="preserve"> (2004-2005)</w:t>
      </w:r>
    </w:p>
    <w:p w:rsidR="00496A4A" w:rsidRPr="004709F6" w:rsidRDefault="00496A4A" w:rsidP="00496A4A">
      <w:pPr>
        <w:pStyle w:val="SingleTxt"/>
        <w:keepNext/>
        <w:spacing w:after="0" w:line="120" w:lineRule="exact"/>
        <w:jc w:val="left"/>
        <w:rPr>
          <w:i/>
          <w:sz w:val="10"/>
        </w:rPr>
      </w:pPr>
      <w:r w:rsidRPr="00742A04">
        <w:rPr>
          <w:sz w:val="14"/>
        </w:rPr>
        <w:t>(</w:t>
      </w:r>
      <w:r w:rsidRPr="004709F6">
        <w:rPr>
          <w:i/>
          <w:sz w:val="14"/>
        </w:rPr>
        <w:t>En porcentajes)</w:t>
      </w:r>
    </w:p>
    <w:p w:rsidR="00123F21" w:rsidRPr="004709F6" w:rsidRDefault="00123F21" w:rsidP="00123F21">
      <w:pPr>
        <w:pStyle w:val="SingleTxt"/>
        <w:spacing w:after="0" w:line="120" w:lineRule="exact"/>
        <w:rPr>
          <w:i/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035"/>
        <w:gridCol w:w="1035"/>
      </w:tblGrid>
      <w:tr w:rsidR="00123F21" w:rsidRPr="00470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310" w:type="dxa"/>
            <w:tcBorders>
              <w:top w:val="single" w:sz="4" w:space="0" w:color="auto"/>
              <w:bottom w:val="single" w:sz="12" w:space="0" w:color="auto"/>
            </w:tcBorders>
          </w:tcPr>
          <w:p w:rsidR="00123F21" w:rsidRPr="004709F6" w:rsidRDefault="00072AD7" w:rsidP="002D1B69">
            <w:pPr>
              <w:pStyle w:val="SingleTxt"/>
              <w:spacing w:before="40" w:after="40" w:line="240" w:lineRule="auto"/>
              <w:ind w:left="115" w:right="115"/>
              <w:rPr>
                <w:i/>
                <w:sz w:val="14"/>
                <w:szCs w:val="14"/>
              </w:rPr>
            </w:pPr>
            <w:r w:rsidRPr="004709F6">
              <w:rPr>
                <w:i/>
                <w:sz w:val="14"/>
                <w:szCs w:val="14"/>
              </w:rPr>
              <w:t>Mujeres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3F21" w:rsidRPr="004709F6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i/>
                <w:sz w:val="14"/>
                <w:szCs w:val="14"/>
              </w:rPr>
            </w:pPr>
            <w:r w:rsidRPr="004709F6">
              <w:rPr>
                <w:i/>
                <w:sz w:val="14"/>
                <w:szCs w:val="14"/>
              </w:rPr>
              <w:t>2004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3F21" w:rsidRPr="004709F6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i/>
                <w:sz w:val="14"/>
                <w:szCs w:val="14"/>
              </w:rPr>
            </w:pPr>
            <w:r w:rsidRPr="004709F6">
              <w:rPr>
                <w:i/>
                <w:sz w:val="14"/>
                <w:szCs w:val="14"/>
              </w:rPr>
              <w:t>2005</w:t>
            </w:r>
          </w:p>
        </w:tc>
      </w:tr>
      <w:tr w:rsidR="00123F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5310" w:type="dxa"/>
            <w:tcBorders>
              <w:top w:val="single" w:sz="12" w:space="0" w:color="auto"/>
            </w:tcBorders>
          </w:tcPr>
          <w:p w:rsidR="00123F21" w:rsidRPr="00742A04" w:rsidRDefault="00123F21" w:rsidP="002D1B69">
            <w:pPr>
              <w:pStyle w:val="SingleTxt"/>
              <w:spacing w:before="40" w:after="40" w:line="240" w:lineRule="auto"/>
              <w:ind w:left="115" w:right="115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123F21" w:rsidRPr="00742A04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23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123F21" w:rsidRPr="00742A04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22</w:t>
            </w:r>
          </w:p>
        </w:tc>
      </w:tr>
      <w:tr w:rsidR="00123F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vAlign w:val="center"/>
          </w:tcPr>
          <w:p w:rsidR="00123F21" w:rsidRPr="00742A04" w:rsidRDefault="006F4432" w:rsidP="002D1B69">
            <w:pPr>
              <w:pStyle w:val="SingleTxt"/>
              <w:spacing w:before="40" w:after="40" w:line="240" w:lineRule="auto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Puestos gerenciales</w:t>
            </w:r>
            <w:r w:rsidR="00600888" w:rsidRPr="00742A04">
              <w:rPr>
                <w:sz w:val="17"/>
                <w:szCs w:val="17"/>
              </w:rPr>
              <w:t xml:space="preserve"> superiores</w:t>
            </w:r>
            <w:r w:rsidR="00123F21" w:rsidRPr="00742A04">
              <w:rPr>
                <w:sz w:val="17"/>
                <w:szCs w:val="17"/>
              </w:rPr>
              <w:t xml:space="preserve"> </w:t>
            </w:r>
            <w:r w:rsidR="004B580D" w:rsidRPr="00742A04">
              <w:rPr>
                <w:sz w:val="17"/>
                <w:szCs w:val="17"/>
              </w:rPr>
              <w:t>del sector privado</w:t>
            </w:r>
          </w:p>
        </w:tc>
        <w:tc>
          <w:tcPr>
            <w:tcW w:w="1035" w:type="dxa"/>
            <w:vAlign w:val="center"/>
          </w:tcPr>
          <w:p w:rsidR="00123F21" w:rsidRPr="00742A04" w:rsidRDefault="00600888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23</w:t>
            </w:r>
          </w:p>
        </w:tc>
        <w:tc>
          <w:tcPr>
            <w:tcW w:w="1035" w:type="dxa"/>
            <w:vAlign w:val="center"/>
          </w:tcPr>
          <w:p w:rsidR="00123F21" w:rsidRPr="00742A04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</w:t>
            </w:r>
            <w:r w:rsidR="00600888" w:rsidRPr="00742A04">
              <w:rPr>
                <w:sz w:val="17"/>
                <w:szCs w:val="17"/>
              </w:rPr>
              <w:t>2</w:t>
            </w:r>
          </w:p>
        </w:tc>
      </w:tr>
      <w:tr w:rsidR="00600888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vAlign w:val="center"/>
          </w:tcPr>
          <w:p w:rsidR="00600888" w:rsidRPr="00742A04" w:rsidRDefault="006F4432" w:rsidP="002D1B69">
            <w:pPr>
              <w:pStyle w:val="SingleTxt"/>
              <w:spacing w:before="40" w:after="40" w:line="240" w:lineRule="auto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Puestos gerenciales</w:t>
            </w:r>
            <w:r w:rsidR="00600888" w:rsidRPr="00742A04">
              <w:rPr>
                <w:sz w:val="17"/>
                <w:szCs w:val="17"/>
              </w:rPr>
              <w:t xml:space="preserve"> medios del sector privado</w:t>
            </w:r>
          </w:p>
        </w:tc>
        <w:tc>
          <w:tcPr>
            <w:tcW w:w="1035" w:type="dxa"/>
            <w:vAlign w:val="center"/>
          </w:tcPr>
          <w:p w:rsidR="00600888" w:rsidRPr="00742A04" w:rsidRDefault="00600888" w:rsidP="003922FC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27</w:t>
            </w:r>
          </w:p>
        </w:tc>
        <w:tc>
          <w:tcPr>
            <w:tcW w:w="1035" w:type="dxa"/>
            <w:vAlign w:val="center"/>
          </w:tcPr>
          <w:p w:rsidR="00600888" w:rsidRPr="00742A04" w:rsidRDefault="00600888" w:rsidP="003922FC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27</w:t>
            </w:r>
          </w:p>
        </w:tc>
      </w:tr>
      <w:tr w:rsidR="00123F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vAlign w:val="center"/>
          </w:tcPr>
          <w:p w:rsidR="00123F21" w:rsidRPr="00742A04" w:rsidRDefault="00A836A1" w:rsidP="002D1B69">
            <w:pPr>
              <w:pStyle w:val="SingleTxt"/>
              <w:spacing w:before="40" w:after="40" w:line="240" w:lineRule="auto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Miembros</w:t>
            </w:r>
            <w:r w:rsidR="00123F21" w:rsidRPr="00742A04">
              <w:rPr>
                <w:sz w:val="17"/>
                <w:szCs w:val="17"/>
              </w:rPr>
              <w:t xml:space="preserve"> </w:t>
            </w:r>
            <w:r w:rsidR="004A0730" w:rsidRPr="00742A04">
              <w:rPr>
                <w:sz w:val="17"/>
                <w:szCs w:val="17"/>
              </w:rPr>
              <w:t>de</w:t>
            </w:r>
            <w:r w:rsidR="00123F21" w:rsidRPr="00742A04">
              <w:rPr>
                <w:sz w:val="17"/>
                <w:szCs w:val="17"/>
              </w:rPr>
              <w:t xml:space="preserve"> </w:t>
            </w:r>
            <w:r w:rsidRPr="00742A04">
              <w:rPr>
                <w:sz w:val="17"/>
                <w:szCs w:val="17"/>
              </w:rPr>
              <w:t>juntas</w:t>
            </w:r>
            <w:r w:rsidR="00123F21" w:rsidRPr="00742A04">
              <w:rPr>
                <w:sz w:val="17"/>
                <w:szCs w:val="17"/>
              </w:rPr>
              <w:t xml:space="preserve"> </w:t>
            </w:r>
            <w:r w:rsidR="004A0730" w:rsidRPr="00742A04">
              <w:rPr>
                <w:sz w:val="17"/>
                <w:szCs w:val="17"/>
              </w:rPr>
              <w:t>de</w:t>
            </w:r>
            <w:r w:rsidR="00123F21" w:rsidRPr="00742A04">
              <w:rPr>
                <w:sz w:val="17"/>
                <w:szCs w:val="17"/>
              </w:rPr>
              <w:t xml:space="preserve"> director</w:t>
            </w:r>
            <w:r w:rsidR="00600888" w:rsidRPr="00742A04">
              <w:rPr>
                <w:sz w:val="17"/>
                <w:szCs w:val="17"/>
              </w:rPr>
              <w:t>e</w:t>
            </w:r>
            <w:r w:rsidR="00123F21" w:rsidRPr="00742A04">
              <w:rPr>
                <w:sz w:val="17"/>
                <w:szCs w:val="17"/>
              </w:rPr>
              <w:t xml:space="preserve">s </w:t>
            </w:r>
            <w:r w:rsidR="004A0730" w:rsidRPr="00742A04">
              <w:rPr>
                <w:sz w:val="17"/>
                <w:szCs w:val="17"/>
              </w:rPr>
              <w:t>de</w:t>
            </w:r>
            <w:r w:rsidR="00123F21" w:rsidRPr="00742A04">
              <w:rPr>
                <w:sz w:val="17"/>
                <w:szCs w:val="17"/>
              </w:rPr>
              <w:t xml:space="preserve"> </w:t>
            </w:r>
            <w:r w:rsidR="009A12C2" w:rsidRPr="00742A04">
              <w:rPr>
                <w:sz w:val="17"/>
                <w:szCs w:val="17"/>
              </w:rPr>
              <w:t xml:space="preserve">sociedades anónimas </w:t>
            </w:r>
            <w:r w:rsidR="004709F6">
              <w:rPr>
                <w:sz w:val="17"/>
                <w:szCs w:val="17"/>
              </w:rPr>
              <w:br/>
            </w:r>
            <w:r w:rsidR="009A12C2" w:rsidRPr="00742A04">
              <w:rPr>
                <w:sz w:val="17"/>
                <w:szCs w:val="17"/>
              </w:rPr>
              <w:t>de part</w:t>
            </w:r>
            <w:r w:rsidR="009A12C2" w:rsidRPr="00742A04">
              <w:rPr>
                <w:sz w:val="17"/>
                <w:szCs w:val="17"/>
              </w:rPr>
              <w:t>i</w:t>
            </w:r>
            <w:r w:rsidR="009A12C2" w:rsidRPr="00742A04">
              <w:rPr>
                <w:sz w:val="17"/>
                <w:szCs w:val="17"/>
              </w:rPr>
              <w:t>cipación abierta</w:t>
            </w:r>
          </w:p>
        </w:tc>
        <w:tc>
          <w:tcPr>
            <w:tcW w:w="1035" w:type="dxa"/>
            <w:vAlign w:val="center"/>
          </w:tcPr>
          <w:p w:rsidR="00123F21" w:rsidRPr="00742A04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</w:p>
        </w:tc>
        <w:tc>
          <w:tcPr>
            <w:tcW w:w="1035" w:type="dxa"/>
            <w:vAlign w:val="center"/>
          </w:tcPr>
          <w:p w:rsidR="00123F21" w:rsidRPr="00742A04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17</w:t>
            </w:r>
          </w:p>
        </w:tc>
      </w:tr>
      <w:tr w:rsidR="00123F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vAlign w:val="center"/>
          </w:tcPr>
          <w:p w:rsidR="00123F21" w:rsidRPr="00742A04" w:rsidRDefault="00477ECA" w:rsidP="002D1B69">
            <w:pPr>
              <w:pStyle w:val="SingleTxt"/>
              <w:spacing w:before="40" w:after="40" w:line="240" w:lineRule="auto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P</w:t>
            </w:r>
            <w:r w:rsidR="003922FC" w:rsidRPr="00742A04">
              <w:rPr>
                <w:sz w:val="17"/>
                <w:szCs w:val="17"/>
              </w:rPr>
              <w:t>residencias</w:t>
            </w:r>
            <w:r w:rsidRPr="00742A04">
              <w:rPr>
                <w:sz w:val="17"/>
                <w:szCs w:val="17"/>
              </w:rPr>
              <w:t xml:space="preserve"> ejecutiv</w:t>
            </w:r>
            <w:r w:rsidR="003922FC" w:rsidRPr="00742A04">
              <w:rPr>
                <w:sz w:val="17"/>
                <w:szCs w:val="17"/>
              </w:rPr>
              <w:t>as,</w:t>
            </w:r>
            <w:r w:rsidR="00123F21" w:rsidRPr="00742A04">
              <w:rPr>
                <w:sz w:val="17"/>
                <w:szCs w:val="17"/>
              </w:rPr>
              <w:t xml:space="preserve"> </w:t>
            </w:r>
            <w:r w:rsidRPr="00742A04">
              <w:rPr>
                <w:sz w:val="17"/>
                <w:szCs w:val="17"/>
              </w:rPr>
              <w:t>todas las empresas</w:t>
            </w:r>
          </w:p>
        </w:tc>
        <w:tc>
          <w:tcPr>
            <w:tcW w:w="1035" w:type="dxa"/>
            <w:vAlign w:val="center"/>
          </w:tcPr>
          <w:p w:rsidR="00123F21" w:rsidRPr="00742A04" w:rsidRDefault="00E5258E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16</w:t>
            </w:r>
          </w:p>
        </w:tc>
        <w:tc>
          <w:tcPr>
            <w:tcW w:w="1035" w:type="dxa"/>
            <w:vAlign w:val="center"/>
          </w:tcPr>
          <w:p w:rsidR="00123F21" w:rsidRPr="00742A04" w:rsidRDefault="00E5258E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17</w:t>
            </w:r>
          </w:p>
        </w:tc>
      </w:tr>
      <w:tr w:rsidR="00123F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bottom w:val="single" w:sz="12" w:space="0" w:color="auto"/>
            </w:tcBorders>
            <w:vAlign w:val="center"/>
          </w:tcPr>
          <w:p w:rsidR="00123F21" w:rsidRPr="00742A04" w:rsidRDefault="00477ECA" w:rsidP="002D1B69">
            <w:pPr>
              <w:pStyle w:val="SingleTxt"/>
              <w:spacing w:before="40" w:after="40" w:line="240" w:lineRule="auto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Presiden</w:t>
            </w:r>
            <w:r w:rsidR="003922FC" w:rsidRPr="00742A04">
              <w:rPr>
                <w:sz w:val="17"/>
                <w:szCs w:val="17"/>
              </w:rPr>
              <w:t>cias</w:t>
            </w:r>
            <w:r w:rsidRPr="00742A04">
              <w:rPr>
                <w:sz w:val="17"/>
                <w:szCs w:val="17"/>
              </w:rPr>
              <w:t xml:space="preserve"> de juntas</w:t>
            </w:r>
            <w:r w:rsidR="00123F21" w:rsidRPr="00742A04">
              <w:rPr>
                <w:sz w:val="17"/>
                <w:szCs w:val="17"/>
              </w:rPr>
              <w:t xml:space="preserve"> </w:t>
            </w:r>
            <w:r w:rsidR="004A0730" w:rsidRPr="00742A04">
              <w:rPr>
                <w:sz w:val="17"/>
                <w:szCs w:val="17"/>
              </w:rPr>
              <w:t>de</w:t>
            </w:r>
            <w:r w:rsidR="00123F21" w:rsidRPr="00742A04">
              <w:rPr>
                <w:sz w:val="17"/>
                <w:szCs w:val="17"/>
              </w:rPr>
              <w:t xml:space="preserve"> </w:t>
            </w:r>
            <w:r w:rsidRPr="00742A04">
              <w:rPr>
                <w:sz w:val="17"/>
                <w:szCs w:val="17"/>
              </w:rPr>
              <w:t>todas las empresas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123F21" w:rsidRPr="00742A04" w:rsidRDefault="00E5258E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b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12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123F21" w:rsidRPr="00742A04" w:rsidRDefault="00E5258E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b/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14</w:t>
            </w:r>
          </w:p>
        </w:tc>
      </w:tr>
    </w:tbl>
    <w:p w:rsidR="00123F21" w:rsidRPr="00742A04" w:rsidRDefault="00123F21" w:rsidP="00123F21">
      <w:pPr>
        <w:pStyle w:val="SingleTxt"/>
        <w:spacing w:after="0" w:line="120" w:lineRule="exact"/>
        <w:rPr>
          <w:sz w:val="10"/>
        </w:rPr>
      </w:pPr>
    </w:p>
    <w:p w:rsidR="00123F21" w:rsidRPr="00742A04" w:rsidRDefault="00123F21" w:rsidP="00123F21">
      <w:pPr>
        <w:pStyle w:val="SingleTxt"/>
        <w:spacing w:after="0" w:line="120" w:lineRule="exact"/>
        <w:rPr>
          <w:sz w:val="10"/>
        </w:rPr>
      </w:pPr>
    </w:p>
    <w:p w:rsidR="000A08D8" w:rsidRPr="00742A04" w:rsidRDefault="00894371" w:rsidP="003922FC">
      <w:pPr>
        <w:pStyle w:val="SingleTxt"/>
        <w:ind w:firstLine="475"/>
      </w:pPr>
      <w:r>
        <w:t>La</w:t>
      </w:r>
      <w:r w:rsidR="00545D1B" w:rsidRPr="00742A04">
        <w:t xml:space="preserve"> Confedera</w:t>
      </w:r>
      <w:r w:rsidR="00C14BFF" w:rsidRPr="00742A04">
        <w:t xml:space="preserve">ción </w:t>
      </w:r>
      <w:r w:rsidR="004A0730" w:rsidRPr="00742A04">
        <w:t>de</w:t>
      </w:r>
      <w:r w:rsidR="003922FC" w:rsidRPr="00742A04">
        <w:t>l Comercio y la I</w:t>
      </w:r>
      <w:r w:rsidR="004B580D" w:rsidRPr="00742A04">
        <w:t>ndustria de Noruega</w:t>
      </w:r>
      <w:r w:rsidR="00545D1B" w:rsidRPr="00742A04">
        <w:t xml:space="preserve"> (NHO) </w:t>
      </w:r>
      <w:r w:rsidR="003922FC" w:rsidRPr="00742A04">
        <w:t>está hacie</w:t>
      </w:r>
      <w:r w:rsidR="003922FC" w:rsidRPr="00742A04">
        <w:t>n</w:t>
      </w:r>
      <w:r w:rsidR="003922FC" w:rsidRPr="00742A04">
        <w:t>do hincapié en la</w:t>
      </w:r>
      <w:r w:rsidR="00545D1B" w:rsidRPr="00742A04">
        <w:t xml:space="preserve"> divers</w:t>
      </w:r>
      <w:r w:rsidR="00502E16" w:rsidRPr="00742A04">
        <w:t>idad</w:t>
      </w:r>
      <w:r w:rsidR="00545D1B" w:rsidRPr="00742A04">
        <w:t xml:space="preserve"> </w:t>
      </w:r>
      <w:r w:rsidR="00877AA0" w:rsidRPr="00742A04">
        <w:t>y</w:t>
      </w:r>
      <w:r w:rsidR="003922FC" w:rsidRPr="00742A04">
        <w:t xml:space="preserve"> e</w:t>
      </w:r>
      <w:r w:rsidR="00545D1B" w:rsidRPr="00742A04">
        <w:t xml:space="preserve">n </w:t>
      </w:r>
      <w:r w:rsidR="00A5364F" w:rsidRPr="00742A04">
        <w:t>asegurar</w:t>
      </w:r>
      <w:r w:rsidR="00545D1B" w:rsidRPr="00742A04">
        <w:t xml:space="preserve"> </w:t>
      </w:r>
      <w:r w:rsidR="005D2D07" w:rsidRPr="00742A04">
        <w:t>que hay</w:t>
      </w:r>
      <w:r w:rsidR="003922FC" w:rsidRPr="00742A04">
        <w:t>a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C62F9" w:rsidRPr="00742A04">
        <w:t>puestos superi</w:t>
      </w:r>
      <w:r w:rsidR="001C62F9" w:rsidRPr="00742A04">
        <w:t>o</w:t>
      </w:r>
      <w:r w:rsidR="001C62F9" w:rsidRPr="00742A04">
        <w:t>res</w:t>
      </w:r>
      <w:r w:rsidR="00545D1B" w:rsidRPr="00742A04">
        <w:t xml:space="preserve">. </w:t>
      </w:r>
      <w:r w:rsidR="003922FC" w:rsidRPr="00742A04">
        <w:t>La</w:t>
      </w:r>
      <w:r w:rsidR="00545D1B" w:rsidRPr="00742A04">
        <w:t xml:space="preserve"> NHO </w:t>
      </w:r>
      <w:r w:rsidR="00BB4DB1" w:rsidRPr="00742A04">
        <w:t>es</w:t>
      </w:r>
      <w:r w:rsidR="003922FC" w:rsidRPr="00742A04">
        <w:t>tá dedicando un</w:t>
      </w:r>
      <w:r w:rsidR="00545D1B" w:rsidRPr="00742A04">
        <w:t xml:space="preserve"> considerable </w:t>
      </w:r>
      <w:r w:rsidR="003922FC" w:rsidRPr="00742A04">
        <w:t xml:space="preserve">volumen de </w:t>
      </w:r>
      <w:r w:rsidR="00502E16" w:rsidRPr="00742A04">
        <w:t>recursos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8633B" w:rsidRPr="00742A04">
        <w:t>asegurar que</w:t>
      </w:r>
      <w:r w:rsidR="00545D1B" w:rsidRPr="00742A04">
        <w:t xml:space="preserve"> </w:t>
      </w:r>
      <w:r w:rsidR="003922FC" w:rsidRPr="00742A04">
        <w:t>se designe a una mayor cantidad de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922FC" w:rsidRPr="00742A04">
        <w:t xml:space="preserve">en </w:t>
      </w:r>
      <w:r w:rsidR="006F4432" w:rsidRPr="00742A04">
        <w:t>puestos gerenciales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922FC" w:rsidRPr="00742A04">
        <w:t>en las</w:t>
      </w:r>
      <w:r w:rsidR="00545D1B" w:rsidRPr="00742A04">
        <w:t xml:space="preserve"> </w:t>
      </w:r>
      <w:r w:rsidR="00A836A1" w:rsidRPr="00742A04">
        <w:t>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22FC" w:rsidRPr="00742A04">
        <w:t>directores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22FC" w:rsidRPr="00742A04">
        <w:t>empresas privadas</w:t>
      </w:r>
      <w:r w:rsidR="00545D1B" w:rsidRPr="00742A04">
        <w:t xml:space="preserve"> </w:t>
      </w:r>
      <w:r w:rsidR="000F0ACC" w:rsidRPr="00742A04">
        <w:t>a fin de</w:t>
      </w:r>
      <w:r w:rsidR="00545D1B" w:rsidRPr="00742A04">
        <w:t xml:space="preserve"> </w:t>
      </w:r>
      <w:r w:rsidR="003922FC" w:rsidRPr="00742A04">
        <w:t>hacer que</w:t>
      </w:r>
      <w:r w:rsidR="00545D1B" w:rsidRPr="00742A04">
        <w:t xml:space="preserve"> </w:t>
      </w:r>
      <w:r w:rsidR="004B580D" w:rsidRPr="00742A04">
        <w:t>el comercio y la industria</w:t>
      </w:r>
      <w:r w:rsidR="00545D1B" w:rsidRPr="00742A04">
        <w:t xml:space="preserve"> </w:t>
      </w:r>
      <w:r w:rsidR="003922FC" w:rsidRPr="00742A04">
        <w:t>resu</w:t>
      </w:r>
      <w:r w:rsidR="003922FC" w:rsidRPr="00742A04">
        <w:t>l</w:t>
      </w:r>
      <w:r w:rsidR="003922FC" w:rsidRPr="00742A04">
        <w:t xml:space="preserve">ten </w:t>
      </w:r>
      <w:r w:rsidR="00BA5ABE" w:rsidRPr="00742A04">
        <w:t>más</w:t>
      </w:r>
      <w:r w:rsidR="004709F6">
        <w:t xml:space="preserve"> atractivos</w:t>
      </w:r>
      <w:r w:rsidR="00545D1B" w:rsidRPr="00742A04">
        <w:t xml:space="preserve"> </w:t>
      </w:r>
      <w:r w:rsidR="003922FC" w:rsidRPr="00742A04">
        <w:t>par</w:t>
      </w:r>
      <w:r w:rsidR="0030626A" w:rsidRPr="00742A04">
        <w:t>a</w:t>
      </w:r>
      <w:r w:rsidR="00545D1B" w:rsidRPr="00742A04">
        <w:t xml:space="preserve"> </w:t>
      </w:r>
      <w:r w:rsidR="003922FC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922FC" w:rsidRPr="00742A04">
        <w:t>de detectar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B0483" w:rsidRPr="00742A04">
        <w:t>eliminar</w:t>
      </w:r>
      <w:r w:rsidR="00545D1B" w:rsidRPr="00742A04">
        <w:t xml:space="preserve"> </w:t>
      </w:r>
      <w:r w:rsidR="00585E84" w:rsidRPr="00742A04">
        <w:t>las barreras</w:t>
      </w:r>
      <w:r w:rsidR="00545D1B" w:rsidRPr="00742A04">
        <w:t xml:space="preserve"> </w:t>
      </w:r>
      <w:r w:rsidR="003922FC" w:rsidRPr="00742A04">
        <w:t>que impiden que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asum</w:t>
      </w:r>
      <w:r w:rsidR="003922FC" w:rsidRPr="00742A04">
        <w:t>an una</w:t>
      </w:r>
      <w:r w:rsidR="00545D1B" w:rsidRPr="00742A04">
        <w:t xml:space="preserve"> </w:t>
      </w:r>
      <w:r w:rsidR="003922FC" w:rsidRPr="00742A04">
        <w:t xml:space="preserve">mayor </w:t>
      </w:r>
      <w:r w:rsidR="008E5EBF" w:rsidRPr="00742A04">
        <w:t>responsabilidad</w:t>
      </w:r>
      <w:r w:rsidR="003922FC" w:rsidRPr="00742A04">
        <w:t xml:space="preserve"> directiva</w:t>
      </w:r>
      <w:r w:rsidR="00545D1B" w:rsidRPr="00742A04">
        <w:t xml:space="preserve">. </w:t>
      </w:r>
      <w:r w:rsidR="003922FC" w:rsidRPr="00742A04">
        <w:t>Esas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4C7D" w:rsidRPr="00742A04">
        <w:t>activ</w:t>
      </w:r>
      <w:r w:rsidR="00614C7D" w:rsidRPr="00742A04">
        <w:t>i</w:t>
      </w:r>
      <w:r w:rsidR="00614C7D" w:rsidRPr="00742A04">
        <w:t>dades</w:t>
      </w:r>
      <w:r w:rsidR="00545D1B" w:rsidRPr="00742A04">
        <w:t xml:space="preserve"> </w:t>
      </w:r>
      <w:r w:rsidR="003922FC" w:rsidRPr="00742A04">
        <w:t>están reunidas dentro</w:t>
      </w:r>
      <w:r w:rsidR="00545D1B" w:rsidRPr="00742A04">
        <w:t xml:space="preserve"> </w:t>
      </w:r>
      <w:r w:rsidR="003922FC" w:rsidRPr="00742A04">
        <w:t>del</w:t>
      </w:r>
      <w:r w:rsidR="00545D1B" w:rsidRPr="00742A04">
        <w:t xml:space="preserve"> </w:t>
      </w:r>
      <w:r w:rsidR="003922FC" w:rsidRPr="00742A04">
        <w:t>proyecto general</w:t>
      </w:r>
      <w:r w:rsidR="00484F0B" w:rsidRPr="00742A04">
        <w:t xml:space="preserve"> </w:t>
      </w:r>
      <w:r w:rsidR="00484F0B" w:rsidRPr="00742A04">
        <w:rPr>
          <w:i/>
        </w:rPr>
        <w:t>Female Future</w:t>
      </w:r>
      <w:r w:rsidR="00484F0B" w:rsidRPr="00742A04">
        <w:t xml:space="preserve"> (</w:t>
      </w:r>
      <w:r w:rsidR="003922FC" w:rsidRPr="00742A04">
        <w:t>Futuro Femenino</w:t>
      </w:r>
      <w:r w:rsidR="00484F0B" w:rsidRPr="00742A04">
        <w:t>)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B31D97" w:rsidRPr="00742A04">
        <w:t>se lanzó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2003. </w:t>
      </w:r>
      <w:r w:rsidR="00886279" w:rsidRPr="00742A04">
        <w:t>Para más i</w:t>
      </w:r>
      <w:r w:rsidR="00886279" w:rsidRPr="00742A04">
        <w:t>n</w:t>
      </w:r>
      <w:r w:rsidR="00886279" w:rsidRPr="00742A04">
        <w:t>formación, véase el sitio Web</w:t>
      </w:r>
      <w:r w:rsidR="00545D1B" w:rsidRPr="00742A04">
        <w:t xml:space="preserve"> </w:t>
      </w:r>
      <w:hyperlink r:id="rId19" w:history="1">
        <w:r w:rsidR="00545D1B" w:rsidRPr="00742A04">
          <w:rPr>
            <w:rStyle w:val="Hyperlink"/>
          </w:rPr>
          <w:t>www.n</w:t>
        </w:r>
        <w:r w:rsidR="00545D1B" w:rsidRPr="00742A04">
          <w:rPr>
            <w:rStyle w:val="Hyperlink"/>
          </w:rPr>
          <w:t>h</w:t>
        </w:r>
        <w:r w:rsidR="00545D1B" w:rsidRPr="00742A04">
          <w:rPr>
            <w:rStyle w:val="Hyperlink"/>
          </w:rPr>
          <w:t>o.no/ff</w:t>
        </w:r>
      </w:hyperlink>
      <w:r w:rsidR="000A08D8" w:rsidRPr="00742A04">
        <w:t>.</w:t>
      </w:r>
    </w:p>
    <w:p w:rsidR="00545D1B" w:rsidRPr="00742A04" w:rsidRDefault="00886279" w:rsidP="00886279">
      <w:pPr>
        <w:pStyle w:val="SingleTxt"/>
        <w:ind w:firstLine="475"/>
      </w:pPr>
      <w:r w:rsidRPr="00742A04">
        <w:t xml:space="preserve">Futuro Femenino </w:t>
      </w:r>
      <w:r w:rsidR="00BB4DB1" w:rsidRPr="00742A04">
        <w:t>es</w:t>
      </w:r>
      <w:r w:rsidR="00545D1B" w:rsidRPr="00742A04">
        <w:t xml:space="preserve"> </w:t>
      </w:r>
      <w:r w:rsidRPr="00742A04">
        <w:t xml:space="preserve">un </w:t>
      </w:r>
      <w:r w:rsidR="00F43124" w:rsidRPr="00742A04">
        <w:t>programa</w:t>
      </w:r>
      <w:r w:rsidR="00545D1B" w:rsidRPr="00742A04">
        <w:t xml:space="preserve"> </w:t>
      </w:r>
      <w:r w:rsidRPr="00742A04">
        <w:t xml:space="preserve">de desarrollo </w:t>
      </w:r>
      <w:r w:rsidR="00877AA0" w:rsidRPr="00742A04">
        <w:t>y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a </w:t>
      </w:r>
      <w:r w:rsidRPr="00742A04">
        <w:t>r</w:t>
      </w:r>
      <w:r w:rsidR="00FB34C1" w:rsidRPr="00742A04">
        <w:t>ed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mujeres de t</w:t>
      </w:r>
      <w:r w:rsidRPr="00742A04">
        <w:t>a</w:t>
      </w:r>
      <w:r w:rsidRPr="00742A04">
        <w:t>lento</w:t>
      </w:r>
      <w:r w:rsidR="00545D1B" w:rsidRPr="00742A04">
        <w:t xml:space="preserve">. </w:t>
      </w:r>
      <w:r w:rsidRPr="00742A04">
        <w:t>Las</w:t>
      </w:r>
      <w:r w:rsidR="00545D1B" w:rsidRPr="00742A04">
        <w:t xml:space="preserve"> </w:t>
      </w:r>
      <w:r w:rsidRPr="00742A04">
        <w:t>mujeres de talento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s</w:t>
      </w:r>
      <w:r w:rsidR="00A836A1" w:rsidRPr="00742A04">
        <w:t>ele</w:t>
      </w:r>
      <w:r w:rsidRPr="00742A04">
        <w:t>ccionada</w:t>
      </w:r>
      <w:r w:rsidR="00A836A1" w:rsidRPr="00742A04">
        <w:t>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>el personal directivo</w:t>
      </w:r>
      <w:r w:rsidR="008A7280" w:rsidRPr="00742A04">
        <w:t xml:space="preserve"> superio</w:t>
      </w:r>
      <w:r w:rsidRPr="00742A04">
        <w:t>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Pr="00742A04">
        <w:t>s</w:t>
      </w:r>
      <w:r w:rsidR="00545D1B" w:rsidRPr="00742A04">
        <w:t xml:space="preserve"> </w:t>
      </w:r>
      <w:r w:rsidR="007C65B3" w:rsidRPr="00742A04">
        <w:t>pro</w:t>
      </w:r>
      <w:r w:rsidRPr="00742A04">
        <w:t>pias</w:t>
      </w:r>
      <w:r w:rsidR="00545D1B" w:rsidRPr="00742A04">
        <w:t xml:space="preserve"> </w:t>
      </w:r>
      <w:r w:rsidR="00EF71C9" w:rsidRPr="00742A04">
        <w:t>empresas</w:t>
      </w:r>
      <w:r w:rsidR="00545D1B" w:rsidRPr="00742A04">
        <w:t xml:space="preserve">. </w:t>
      </w:r>
      <w:r w:rsidR="00837D84" w:rsidRPr="00742A04">
        <w:t>El objetivo</w:t>
      </w:r>
      <w:r w:rsidR="00545D1B" w:rsidRPr="00742A04">
        <w:t xml:space="preserve"> </w:t>
      </w:r>
      <w:r w:rsidR="0077058E" w:rsidRPr="00742A04">
        <w:t>del proyecto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lograr la participación del personal</w:t>
      </w:r>
      <w:r w:rsidR="00545D1B" w:rsidRPr="00742A04">
        <w:t xml:space="preserve"> </w:t>
      </w:r>
      <w:r w:rsidRPr="00742A04">
        <w:t>directivo de las empresas</w:t>
      </w:r>
      <w:r w:rsidR="00545D1B" w:rsidRPr="00742A04">
        <w:t xml:space="preserve">, </w:t>
      </w:r>
      <w:r w:rsidR="005B2FE4" w:rsidRPr="00742A04">
        <w:t>cam</w:t>
      </w:r>
      <w:r w:rsidRPr="00742A04">
        <w:t>biar</w:t>
      </w:r>
      <w:r w:rsidR="00545D1B" w:rsidRPr="00742A04">
        <w:t xml:space="preserve"> </w:t>
      </w:r>
      <w:r w:rsidR="007E0DFE" w:rsidRPr="00742A04">
        <w:t>las actitudes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motiva</w:t>
      </w:r>
      <w:r w:rsidRPr="00742A04">
        <w:t>r a los</w:t>
      </w:r>
      <w:r w:rsidR="00545D1B" w:rsidRPr="00742A04">
        <w:t xml:space="preserve"> </w:t>
      </w:r>
      <w:r w:rsidR="00BB5ACC">
        <w:t>p</w:t>
      </w:r>
      <w:r w:rsidRPr="00742A04">
        <w:t>residentes ejecut</w:t>
      </w:r>
      <w:r w:rsidRPr="00742A04">
        <w:t>i</w:t>
      </w:r>
      <w:r w:rsidRPr="00742A04">
        <w:t>vos</w:t>
      </w:r>
      <w:r w:rsidR="00545D1B" w:rsidRPr="00742A04">
        <w:t xml:space="preserve"> </w:t>
      </w:r>
      <w:r w:rsidRPr="00742A04">
        <w:t>para que sean</w:t>
      </w:r>
      <w:r w:rsidR="00545D1B" w:rsidRPr="00742A04">
        <w:t xml:space="preserve"> </w:t>
      </w:r>
      <w:r w:rsidR="00544B38" w:rsidRPr="00742A04">
        <w:t>la fuerza</w:t>
      </w:r>
      <w:r w:rsidR="00545D1B" w:rsidRPr="00742A04">
        <w:t xml:space="preserve"> </w:t>
      </w:r>
      <w:r w:rsidRPr="00742A04">
        <w:t>propulsora d</w:t>
      </w:r>
      <w:r w:rsidR="00C14BFF" w:rsidRPr="00742A04">
        <w:t>e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B31D97" w:rsidRPr="00742A04">
        <w:t>asegurar que</w:t>
      </w:r>
      <w:r w:rsidR="00545D1B" w:rsidRPr="00742A04">
        <w:t xml:space="preserve"> </w:t>
      </w:r>
      <w:r w:rsidR="00021DB5" w:rsidRPr="00742A04">
        <w:t>hay</w:t>
      </w:r>
      <w:r w:rsidRPr="00742A04">
        <w:t>a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F4432" w:rsidRPr="00742A04">
        <w:t>puestos gerenciales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en las</w:t>
      </w:r>
      <w:r w:rsidR="00545D1B" w:rsidRPr="00742A04">
        <w:t xml:space="preserve"> </w:t>
      </w:r>
      <w:r w:rsidR="00A836A1" w:rsidRPr="00742A04">
        <w:t>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22FC" w:rsidRPr="00742A04">
        <w:t>directores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Pr="00742A04">
        <w:t>s</w:t>
      </w:r>
      <w:r w:rsidR="00545D1B" w:rsidRPr="00742A04">
        <w:t xml:space="preserve"> </w:t>
      </w:r>
      <w:r w:rsidRPr="00742A04">
        <w:t>propias</w:t>
      </w:r>
      <w:r w:rsidR="00545D1B" w:rsidRPr="00742A04">
        <w:t xml:space="preserve"> </w:t>
      </w:r>
      <w:r w:rsidR="00EF71C9" w:rsidRPr="00742A04">
        <w:t>empresas</w:t>
      </w:r>
      <w:r w:rsidR="00545D1B" w:rsidRPr="00742A04">
        <w:t xml:space="preserve">. </w:t>
      </w:r>
      <w:r w:rsidRPr="00742A04">
        <w:t>Las e</w:t>
      </w:r>
      <w:r w:rsidR="00EF71C9" w:rsidRPr="00742A04">
        <w:t>mpresas</w:t>
      </w:r>
      <w:r w:rsidR="00545D1B" w:rsidRPr="00742A04">
        <w:t xml:space="preserve"> </w:t>
      </w:r>
      <w:r w:rsidRPr="00742A04">
        <w:t>asumen un compromiso vinculante mediante</w:t>
      </w:r>
      <w:r w:rsidR="00545D1B" w:rsidRPr="00742A04">
        <w:t xml:space="preserve"> </w:t>
      </w:r>
      <w:r w:rsidRPr="00742A04">
        <w:t>una carta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intención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fijan sus</w:t>
      </w:r>
      <w:r w:rsidR="00545D1B" w:rsidRPr="00742A04">
        <w:t xml:space="preserve"> </w:t>
      </w:r>
      <w:r w:rsidRPr="00742A04">
        <w:t>propias</w:t>
      </w:r>
      <w:r w:rsidR="00545D1B" w:rsidRPr="00742A04">
        <w:t xml:space="preserve"> </w:t>
      </w:r>
      <w:r w:rsidR="00B81187" w:rsidRPr="00742A04">
        <w:t>metas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Pr="00742A04">
        <w:t>dentro de las mismas</w:t>
      </w:r>
      <w:r w:rsidR="00545D1B" w:rsidRPr="00742A04">
        <w:t xml:space="preserve"> </w:t>
      </w:r>
      <w:r w:rsidRPr="00742A04">
        <w:t>empresas</w:t>
      </w:r>
      <w:r w:rsidR="00545D1B" w:rsidRPr="00742A04">
        <w:t xml:space="preserve">. </w:t>
      </w:r>
      <w:r w:rsidRPr="00742A04">
        <w:t>La mayoría de las</w:t>
      </w:r>
      <w:r w:rsidR="00545D1B" w:rsidRPr="00742A04">
        <w:t xml:space="preserve"> </w:t>
      </w:r>
      <w:r w:rsidR="00EF71C9" w:rsidRPr="00742A04">
        <w:t>empresas</w:t>
      </w:r>
      <w:r w:rsidR="00545D1B" w:rsidRPr="00742A04">
        <w:t xml:space="preserve"> </w:t>
      </w:r>
      <w:r w:rsidRPr="00742A04">
        <w:t>se fija la meta de tener</w:t>
      </w:r>
      <w:r w:rsidR="00545D1B" w:rsidRPr="00742A04">
        <w:t xml:space="preserve"> </w:t>
      </w:r>
      <w:r w:rsidR="00657260" w:rsidRPr="00742A04">
        <w:t>por lo menos</w:t>
      </w:r>
      <w:r w:rsidR="00545D1B" w:rsidRPr="00742A04">
        <w:t xml:space="preserve"> </w:t>
      </w:r>
      <w:r w:rsidRPr="00742A04">
        <w:t>una</w:t>
      </w:r>
      <w:r w:rsidR="00545D1B" w:rsidRPr="00742A04">
        <w:t xml:space="preserve"> </w:t>
      </w:r>
      <w:r w:rsidR="007C65B3" w:rsidRPr="00742A04">
        <w:t>nueva</w:t>
      </w:r>
      <w:r w:rsidR="00545D1B" w:rsidRPr="00742A04">
        <w:t xml:space="preserve"> </w:t>
      </w:r>
      <w:r w:rsidR="00AC5D28" w:rsidRPr="00742A04">
        <w:t>mujer</w:t>
      </w:r>
      <w:r w:rsidR="00545D1B" w:rsidRPr="00742A04">
        <w:t xml:space="preserve"> </w:t>
      </w:r>
      <w:r w:rsidRPr="00742A04">
        <w:t>en un</w:t>
      </w:r>
      <w:r w:rsidR="00545D1B" w:rsidRPr="00742A04">
        <w:t xml:space="preserve"> </w:t>
      </w:r>
      <w:r w:rsidR="00E44A9D" w:rsidRPr="00742A04">
        <w:t>puesto d</w:t>
      </w:r>
      <w:r w:rsidR="00E44A9D" w:rsidRPr="00742A04">
        <w:t>i</w:t>
      </w:r>
      <w:r w:rsidR="00E44A9D" w:rsidRPr="00742A04">
        <w:t>rectivo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en la j</w:t>
      </w:r>
      <w:r w:rsidR="00D75341" w:rsidRPr="00742A04">
        <w:t>unta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22FC" w:rsidRPr="00742A04">
        <w:t>directores</w:t>
      </w:r>
      <w:r w:rsidR="00545D1B" w:rsidRPr="00742A04">
        <w:t xml:space="preserve"> </w:t>
      </w:r>
      <w:r w:rsidR="00C07ED9" w:rsidRPr="00742A04">
        <w:t>dentro de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. </w:t>
      </w:r>
      <w:r w:rsidRPr="00742A04">
        <w:t>La</w:t>
      </w:r>
      <w:r w:rsidR="00545D1B" w:rsidRPr="00742A04">
        <w:t xml:space="preserve"> NHO </w:t>
      </w:r>
      <w:r w:rsidRPr="00742A04">
        <w:t>está comprometida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935A90" w:rsidRPr="00742A04">
        <w:t>apoy</w:t>
      </w:r>
      <w:r w:rsidRPr="00742A04">
        <w:t>ar a las</w:t>
      </w:r>
      <w:r w:rsidR="00545D1B" w:rsidRPr="00742A04">
        <w:t xml:space="preserve"> </w:t>
      </w:r>
      <w:r w:rsidR="00EF71C9" w:rsidRPr="00742A04">
        <w:t>empresas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43124" w:rsidRPr="00742A04">
        <w:t>esos</w:t>
      </w:r>
      <w:r w:rsidR="00502E16" w:rsidRPr="00742A04">
        <w:t xml:space="preserve"> esfuerzos</w:t>
      </w:r>
      <w:r w:rsidRPr="00742A04">
        <w:t>, así como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administ</w:t>
      </w:r>
      <w:r w:rsidRPr="00742A04">
        <w:t>rar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F43124" w:rsidRPr="00742A04">
        <w:t>programa</w:t>
      </w:r>
      <w:r w:rsidRPr="00742A04">
        <w:t xml:space="preserve"> Futuro Fem</w:t>
      </w:r>
      <w:r w:rsidRPr="00742A04">
        <w:t>e</w:t>
      </w:r>
      <w:r w:rsidRPr="00742A04">
        <w:t>nino</w:t>
      </w:r>
      <w:r w:rsidR="00545D1B" w:rsidRPr="00742A04">
        <w:t>.</w:t>
      </w:r>
    </w:p>
    <w:p w:rsidR="00545D1B" w:rsidRPr="00742A04" w:rsidRDefault="00886279" w:rsidP="0019232D">
      <w:pPr>
        <w:pStyle w:val="SingleTxt"/>
        <w:ind w:firstLine="475"/>
      </w:pPr>
      <w:r w:rsidRPr="00742A04">
        <w:t>Se insta a las</w:t>
      </w:r>
      <w:r w:rsidR="00545D1B" w:rsidRPr="00742A04">
        <w:t xml:space="preserve"> </w:t>
      </w:r>
      <w:r w:rsidR="00EF71C9" w:rsidRPr="00742A04">
        <w:t>empresas</w:t>
      </w:r>
      <w:r w:rsidR="00545D1B" w:rsidRPr="00742A04">
        <w:t xml:space="preserve"> </w:t>
      </w:r>
      <w:r w:rsidRPr="00742A04">
        <w:t>que</w:t>
      </w:r>
      <w:r w:rsidR="00545D1B" w:rsidRPr="00742A04">
        <w:t xml:space="preserve"> </w:t>
      </w:r>
      <w:r w:rsidR="00492C77" w:rsidRPr="00742A04">
        <w:t>participen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Futuro Femenino </w:t>
      </w:r>
      <w:r w:rsidR="0030626A" w:rsidRPr="00742A04">
        <w:t>a</w:t>
      </w:r>
      <w:r w:rsidR="00545D1B" w:rsidRPr="00742A04">
        <w:t xml:space="preserve"> mo</w:t>
      </w:r>
      <w:r w:rsidRPr="00742A04">
        <w:t>vilizar a las</w:t>
      </w:r>
      <w:r w:rsidR="00545D1B" w:rsidRPr="00742A04">
        <w:t xml:space="preserve"> </w:t>
      </w:r>
      <w:r w:rsidRPr="00742A04">
        <w:t>mujeres de talento</w:t>
      </w:r>
      <w:r w:rsidR="00545D1B" w:rsidRPr="00742A04">
        <w:t xml:space="preserve"> </w:t>
      </w:r>
      <w:r w:rsidRPr="00742A04">
        <w:t>dentro de las mismas empresas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detectar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consideren que tienen</w:t>
      </w:r>
      <w:r w:rsidR="00545D1B" w:rsidRPr="00742A04">
        <w:t xml:space="preserve"> </w:t>
      </w:r>
      <w:r w:rsidR="005D2D07" w:rsidRPr="00742A04">
        <w:t>potencial</w:t>
      </w:r>
      <w:r w:rsidR="00545D1B" w:rsidRPr="00742A04">
        <w:t xml:space="preserve"> </w:t>
      </w:r>
      <w:r w:rsidRPr="00742A04">
        <w:t>para ser</w:t>
      </w:r>
      <w:r w:rsidR="00545D1B" w:rsidRPr="00742A04">
        <w:t xml:space="preserve"> </w:t>
      </w:r>
      <w:r w:rsidR="005C19C7" w:rsidRPr="00742A04">
        <w:t>buenas</w:t>
      </w:r>
      <w:r w:rsidR="00545D1B" w:rsidRPr="00742A04">
        <w:t xml:space="preserve"> </w:t>
      </w:r>
      <w:r w:rsidRPr="00742A04">
        <w:t>líderes</w:t>
      </w:r>
      <w:r w:rsidR="00545D1B" w:rsidRPr="00742A04">
        <w:t xml:space="preserve">, </w:t>
      </w:r>
      <w:r w:rsidR="003E5775" w:rsidRPr="00742A04">
        <w:t>que</w:t>
      </w:r>
      <w:r w:rsidR="00545D1B" w:rsidRPr="00742A04">
        <w:t xml:space="preserve"> </w:t>
      </w:r>
      <w:r w:rsidRPr="00742A04">
        <w:t>tengan las condiciones adecuadas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integrar las j</w:t>
      </w:r>
      <w:r w:rsidR="00D75341" w:rsidRPr="00742A04">
        <w:t>unta</w:t>
      </w:r>
      <w:r w:rsidRPr="00742A04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tengan</w:t>
      </w:r>
      <w:r w:rsidR="00545D1B" w:rsidRPr="00742A04">
        <w:t xml:space="preserve"> ambi</w:t>
      </w:r>
      <w:r w:rsidR="008907B8" w:rsidRPr="00742A04">
        <w:t>ciones</w:t>
      </w:r>
      <w:r w:rsidR="00545D1B" w:rsidRPr="00742A04">
        <w:t xml:space="preserve">. </w:t>
      </w:r>
      <w:r w:rsidRPr="00742A04">
        <w:t>Las mujeres seleccion</w:t>
      </w:r>
      <w:r w:rsidRPr="00742A04">
        <w:t>a</w:t>
      </w:r>
      <w:r w:rsidRPr="00742A04">
        <w:t>das</w:t>
      </w:r>
      <w:r w:rsidR="00545D1B" w:rsidRPr="00742A04">
        <w:t xml:space="preserve"> </w:t>
      </w:r>
      <w:r w:rsidRPr="00742A04">
        <w:t>participan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 </w:t>
      </w:r>
      <w:r w:rsidRPr="00742A04">
        <w:t xml:space="preserve">de desarrollo </w:t>
      </w:r>
      <w:r w:rsidR="00545D1B" w:rsidRPr="00742A04">
        <w:t>adapt</w:t>
      </w:r>
      <w:r w:rsidRPr="00742A04">
        <w:t>ado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F97F41" w:rsidRPr="00742A04">
        <w:t>su</w:t>
      </w:r>
      <w:r w:rsidRPr="00742A04">
        <w:t>s</w:t>
      </w:r>
      <w:r w:rsidR="00545D1B" w:rsidRPr="00742A04">
        <w:t xml:space="preserve"> </w:t>
      </w:r>
      <w:r w:rsidR="007C65B3" w:rsidRPr="00742A04">
        <w:t>propi</w:t>
      </w:r>
      <w:r w:rsidRPr="00742A04">
        <w:t>a</w:t>
      </w:r>
      <w:r w:rsidR="009C08FB" w:rsidRPr="00742A04">
        <w:t>s necesidades</w:t>
      </w:r>
      <w:r w:rsidR="00545D1B" w:rsidRPr="00742A04">
        <w:t xml:space="preserve">. </w:t>
      </w:r>
      <w:r w:rsidR="00615664" w:rsidRPr="00742A04">
        <w:t>El programa</w:t>
      </w:r>
      <w:r w:rsidR="00545D1B" w:rsidRPr="00742A04">
        <w:t xml:space="preserve"> prom</w:t>
      </w:r>
      <w:r w:rsidR="0019232D" w:rsidRPr="00742A04">
        <w:t>ueve la</w:t>
      </w:r>
      <w:r w:rsidR="00545D1B" w:rsidRPr="00742A04">
        <w:t xml:space="preserve"> competen</w:t>
      </w:r>
      <w:r w:rsidR="0019232D" w:rsidRPr="00742A04">
        <w:t>cia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16976" w:rsidRPr="00742A04">
        <w:t>trabaj</w:t>
      </w:r>
      <w:r w:rsidR="0019232D" w:rsidRPr="00742A04">
        <w:t>ar en las</w:t>
      </w:r>
      <w:r w:rsidR="00545D1B" w:rsidRPr="00742A04">
        <w:t xml:space="preserve"> </w:t>
      </w:r>
      <w:r w:rsidR="00A836A1" w:rsidRPr="00742A04">
        <w:t>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22FC" w:rsidRPr="00742A04">
        <w:t>directores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9232D" w:rsidRPr="00742A04">
        <w:t>el d</w:t>
      </w:r>
      <w:r w:rsidR="0019232D" w:rsidRPr="00742A04">
        <w:t>e</w:t>
      </w:r>
      <w:r w:rsidR="0019232D" w:rsidRPr="00742A04">
        <w:t>sarrollo de la capacidad</w:t>
      </w:r>
      <w:r w:rsidR="00E44A9D" w:rsidRPr="00742A04">
        <w:t xml:space="preserve"> directiv</w:t>
      </w:r>
      <w:r w:rsidR="0019232D" w:rsidRPr="00742A04">
        <w:t>a</w:t>
      </w:r>
      <w:r w:rsidR="00545D1B" w:rsidRPr="00742A04">
        <w:t xml:space="preserve">, </w:t>
      </w:r>
      <w:r w:rsidR="0019232D" w:rsidRPr="00742A04">
        <w:t>las propias</w:t>
      </w:r>
      <w:r w:rsidR="00545D1B" w:rsidRPr="00742A04">
        <w:t xml:space="preserve"> </w:t>
      </w:r>
      <w:r w:rsidRPr="00742A04">
        <w:t>mujeres de talento</w:t>
      </w:r>
      <w:r w:rsidR="00545D1B" w:rsidRPr="00742A04">
        <w:t xml:space="preserve"> determin</w:t>
      </w:r>
      <w:r w:rsidR="0019232D" w:rsidRPr="00742A04">
        <w:t>an su</w:t>
      </w:r>
      <w:r w:rsidR="00032136" w:rsidRPr="00742A04">
        <w:t xml:space="preserve"> a</w:t>
      </w:r>
      <w:r w:rsidR="00032136" w:rsidRPr="00742A04">
        <w:t>l</w:t>
      </w:r>
      <w:r w:rsidR="00032136" w:rsidRPr="00742A04">
        <w:t>cance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19232D" w:rsidRPr="00742A04">
        <w:t>desean obtener un</w:t>
      </w:r>
      <w:r w:rsidR="0030626A" w:rsidRPr="00742A04">
        <w:t>a</w:t>
      </w:r>
      <w:r w:rsidR="00545D1B" w:rsidRPr="00742A04">
        <w:t xml:space="preserve"> </w:t>
      </w:r>
      <w:r w:rsidR="0019232D" w:rsidRPr="00742A04">
        <w:t>calificación</w:t>
      </w:r>
      <w:r w:rsidR="00545D1B" w:rsidRPr="00742A04">
        <w:t xml:space="preserve"> formal </w:t>
      </w:r>
      <w:r w:rsidR="00C14BFF" w:rsidRPr="00742A04">
        <w:t>en</w:t>
      </w:r>
      <w:r w:rsidR="00545D1B" w:rsidRPr="00742A04">
        <w:t xml:space="preserve"> </w:t>
      </w:r>
      <w:r w:rsidR="006F4432" w:rsidRPr="00742A04">
        <w:t>puestos gerenciales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9232D" w:rsidRPr="00742A04">
        <w:t xml:space="preserve">trabajar </w:t>
      </w:r>
      <w:r w:rsidR="00894371" w:rsidRPr="00742A04">
        <w:t>en</w:t>
      </w:r>
      <w:r w:rsidR="0019232D" w:rsidRPr="00742A04">
        <w:t xml:space="preserve"> las j</w:t>
      </w:r>
      <w:r w:rsidR="00D75341" w:rsidRPr="00742A04">
        <w:t>unta</w:t>
      </w:r>
      <w:r w:rsidR="0019232D" w:rsidRPr="00742A04">
        <w:t>s</w:t>
      </w:r>
      <w:r w:rsidR="00545D1B" w:rsidRPr="00742A04">
        <w:t xml:space="preserve">. </w:t>
      </w:r>
      <w:r w:rsidR="0019232D" w:rsidRPr="00742A04">
        <w:t>T</w:t>
      </w:r>
      <w:r w:rsidR="0030626A" w:rsidRPr="00742A04">
        <w:t>ambién</w:t>
      </w:r>
      <w:r w:rsidR="0019232D" w:rsidRPr="00742A04">
        <w:t xml:space="preserve"> se les</w:t>
      </w:r>
      <w:r w:rsidR="00545D1B" w:rsidRPr="00742A04">
        <w:t xml:space="preserve"> </w:t>
      </w:r>
      <w:r w:rsidR="0019232D" w:rsidRPr="00742A04">
        <w:t>brinda</w:t>
      </w:r>
      <w:r w:rsidR="00545D1B" w:rsidRPr="00742A04">
        <w:t xml:space="preserve"> </w:t>
      </w:r>
      <w:r w:rsidR="00F43124" w:rsidRPr="00742A04">
        <w:t>capacitación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9232D" w:rsidRPr="00742A04">
        <w:t xml:space="preserve">materia de </w:t>
      </w:r>
      <w:r w:rsidR="00484F0B" w:rsidRPr="00742A04">
        <w:t>narración</w:t>
      </w:r>
      <w:r w:rsidR="00545D1B" w:rsidRPr="00742A04">
        <w:t xml:space="preserve">, </w:t>
      </w:r>
      <w:r w:rsidR="00F43124" w:rsidRPr="00742A04">
        <w:t>capacit</w:t>
      </w:r>
      <w:r w:rsidR="00F43124" w:rsidRPr="00742A04">
        <w:t>a</w:t>
      </w:r>
      <w:r w:rsidR="00F43124" w:rsidRPr="00742A04">
        <w:t>ción</w:t>
      </w:r>
      <w:r w:rsidR="0019232D" w:rsidRPr="00742A04">
        <w:t xml:space="preserve"> para actuar ante los medios de comunicación</w:t>
      </w:r>
      <w:r w:rsidR="00545D1B" w:rsidRPr="00742A04">
        <w:t xml:space="preserve">, </w:t>
      </w:r>
      <w:r w:rsidR="00B73629" w:rsidRPr="00742A04">
        <w:t>formación de redes</w:t>
      </w:r>
      <w:r w:rsidR="00545D1B" w:rsidRPr="00742A04">
        <w:t xml:space="preserve">, </w:t>
      </w:r>
      <w:r w:rsidR="006B65CD" w:rsidRPr="00742A04">
        <w:t>desarrollo</w:t>
      </w:r>
      <w:r w:rsidR="0019232D" w:rsidRPr="00742A04">
        <w:t xml:space="preserve"> personal</w:t>
      </w:r>
      <w:r w:rsidR="00545D1B" w:rsidRPr="00742A04">
        <w:t xml:space="preserve">, </w:t>
      </w:r>
      <w:r w:rsidR="0019232D" w:rsidRPr="00742A04">
        <w:t>f</w:t>
      </w:r>
      <w:r w:rsidR="007D4688" w:rsidRPr="00742A04">
        <w:t>inanzas</w:t>
      </w:r>
      <w:r w:rsidR="00545D1B" w:rsidRPr="00742A04">
        <w:t>, etc.</w:t>
      </w:r>
    </w:p>
    <w:p w:rsidR="000A08D8" w:rsidRPr="00742A04" w:rsidRDefault="005C19C7" w:rsidP="00D574C4">
      <w:pPr>
        <w:pStyle w:val="SingleTxt"/>
        <w:ind w:firstLine="475"/>
      </w:pPr>
      <w:r w:rsidRPr="00742A04">
        <w:t>Las 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484F0B" w:rsidRPr="00742A04">
        <w:t>participan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86279" w:rsidRPr="00742A04">
        <w:t>Futuro Femenino</w:t>
      </w:r>
      <w:r w:rsidR="00484F0B" w:rsidRPr="00742A04">
        <w:t xml:space="preserve"> son presentadas en forma de</w:t>
      </w:r>
      <w:r w:rsidR="00484F0B" w:rsidRPr="00742A04">
        <w:t>s</w:t>
      </w:r>
      <w:r w:rsidR="00484F0B" w:rsidRPr="00742A04">
        <w:t>tacada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15664" w:rsidRPr="00742A04">
        <w:t>los medios de comunicación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37EC" w:rsidRPr="00742A04">
        <w:t>s</w:t>
      </w:r>
      <w:r w:rsidR="00484F0B" w:rsidRPr="00742A04">
        <w:t>e brinda</w:t>
      </w:r>
      <w:r w:rsidR="00545D1B" w:rsidRPr="00742A04">
        <w:t xml:space="preserve"> </w:t>
      </w:r>
      <w:r w:rsidR="00484F0B" w:rsidRPr="00742A04">
        <w:t xml:space="preserve">a las empresas información </w:t>
      </w:r>
      <w:r w:rsidR="003E4840" w:rsidRPr="00742A04">
        <w:t>ace</w:t>
      </w:r>
      <w:r w:rsidR="003E4840" w:rsidRPr="00742A04">
        <w:t>r</w:t>
      </w:r>
      <w:r w:rsidR="003E4840" w:rsidRPr="00742A04">
        <w:t>ca de</w:t>
      </w:r>
      <w:r w:rsidR="00545D1B" w:rsidRPr="00742A04">
        <w:t xml:space="preserve"> </w:t>
      </w:r>
      <w:r w:rsidR="00484F0B" w:rsidRPr="00742A04">
        <w:t>ella</w:t>
      </w:r>
      <w:r w:rsidR="00E83B7A" w:rsidRPr="00742A04">
        <w:t>s</w:t>
      </w:r>
      <w:r w:rsidR="00545D1B" w:rsidRPr="00742A04">
        <w:t>. T</w:t>
      </w:r>
      <w:r w:rsidR="0030626A" w:rsidRPr="00742A04">
        <w:t>ambién</w:t>
      </w:r>
      <w:r w:rsidR="00484F0B" w:rsidRPr="00742A04">
        <w:t xml:space="preserve"> son</w:t>
      </w:r>
      <w:r w:rsidR="00545D1B" w:rsidRPr="00742A04">
        <w:t xml:space="preserve"> </w:t>
      </w:r>
      <w:r w:rsidR="0030626A" w:rsidRPr="00742A04">
        <w:t>invit</w:t>
      </w:r>
      <w:r w:rsidR="00484F0B" w:rsidRPr="00742A04">
        <w:t>adas a integrarse a redes</w:t>
      </w:r>
      <w:r w:rsidR="00545D1B" w:rsidRPr="00742A04">
        <w:t xml:space="preserve"> establ</w:t>
      </w:r>
      <w:r w:rsidR="00484F0B" w:rsidRPr="00742A04">
        <w:t>ecida</w:t>
      </w:r>
      <w:r w:rsidR="00A8681A" w:rsidRPr="00742A04">
        <w:t>s</w:t>
      </w:r>
      <w:r w:rsidR="00545D1B" w:rsidRPr="00742A04">
        <w:t xml:space="preserve">, </w:t>
      </w:r>
      <w:r w:rsidR="00484F0B" w:rsidRPr="00742A04">
        <w:t>asistir a</w:t>
      </w:r>
      <w:r w:rsidR="00545D1B" w:rsidRPr="00742A04">
        <w:t xml:space="preserve"> </w:t>
      </w:r>
      <w:r w:rsidR="00F13355" w:rsidRPr="00742A04">
        <w:t>conf</w:t>
      </w:r>
      <w:r w:rsidR="00F13355" w:rsidRPr="00742A04">
        <w:t>e</w:t>
      </w:r>
      <w:r w:rsidR="00F13355" w:rsidRPr="00742A04">
        <w:t>rencia</w:t>
      </w:r>
      <w:r w:rsidR="00545D1B" w:rsidRPr="00742A04">
        <w:t>s</w:t>
      </w:r>
      <w:r w:rsidR="00484F0B" w:rsidRPr="00742A04">
        <w:t xml:space="preserve"> pertinentes</w:t>
      </w:r>
      <w:r w:rsidR="00545D1B" w:rsidRPr="00742A04">
        <w:t xml:space="preserve">, etc. </w:t>
      </w:r>
      <w:r w:rsidR="00484F0B" w:rsidRPr="00742A04">
        <w:t xml:space="preserve">Se les imparte capacitación </w:t>
      </w:r>
      <w:r w:rsidR="00C14BFF" w:rsidRPr="00742A04">
        <w:t>en</w:t>
      </w:r>
      <w:r w:rsidR="00545D1B" w:rsidRPr="00742A04">
        <w:t xml:space="preserve"> </w:t>
      </w:r>
      <w:r w:rsidR="00484F0B" w:rsidRPr="00742A04">
        <w:t>materia de</w:t>
      </w:r>
      <w:r w:rsidR="00B73629" w:rsidRPr="00742A04">
        <w:t xml:space="preserve"> formación de r</w:t>
      </w:r>
      <w:r w:rsidR="00B73629" w:rsidRPr="00742A04">
        <w:t>e</w:t>
      </w:r>
      <w:r w:rsidR="00B73629" w:rsidRPr="00742A04">
        <w:t>des</w:t>
      </w:r>
      <w:r w:rsidR="00484F0B" w:rsidRPr="00742A04">
        <w:t xml:space="preserve"> profesional</w:t>
      </w:r>
      <w:r w:rsidR="003E2AF9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484F0B" w:rsidRPr="00742A04">
        <w:t>incluidas</w:t>
      </w:r>
      <w:r w:rsidR="00545D1B" w:rsidRPr="00742A04">
        <w:t xml:space="preserve"> </w:t>
      </w:r>
      <w:r w:rsidR="00484F0B" w:rsidRPr="00742A04">
        <w:t>en la base de datos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84F0B" w:rsidRPr="00742A04">
        <w:t>candidatos a integrar las juntas de directores que lleva la NHO y puede consultarse en</w:t>
      </w:r>
      <w:r w:rsidR="00545D1B" w:rsidRPr="00742A04">
        <w:t xml:space="preserve"> </w:t>
      </w:r>
      <w:r w:rsidR="003E5775" w:rsidRPr="00742A04">
        <w:t>la I</w:t>
      </w:r>
      <w:r w:rsidR="003E5775" w:rsidRPr="00742A04">
        <w:t>n</w:t>
      </w:r>
      <w:r w:rsidR="003E5775" w:rsidRPr="00742A04">
        <w:t>ternet</w:t>
      </w:r>
      <w:r w:rsidR="000A08D8" w:rsidRPr="00742A04">
        <w:t>.</w:t>
      </w:r>
    </w:p>
    <w:p w:rsidR="000A08D8" w:rsidRPr="00742A04" w:rsidRDefault="00484F0B" w:rsidP="00D574C4">
      <w:pPr>
        <w:pStyle w:val="SingleTxt"/>
        <w:ind w:firstLine="475"/>
      </w:pPr>
      <w:r w:rsidRPr="00742A04">
        <w:t>Des</w:t>
      </w:r>
      <w:r w:rsidR="00B34971" w:rsidRPr="00742A04">
        <w:t>de</w:t>
      </w:r>
      <w:r w:rsidR="00545D1B" w:rsidRPr="00742A04">
        <w:t xml:space="preserve"> 2003, ha</w:t>
      </w:r>
      <w:r w:rsidRPr="00742A04">
        <w:t>n</w:t>
      </w:r>
      <w:r w:rsidR="00545D1B" w:rsidRPr="00742A04">
        <w:t xml:space="preserve"> </w:t>
      </w:r>
      <w:r w:rsidR="00492C77" w:rsidRPr="00742A04">
        <w:t>particip</w:t>
      </w:r>
      <w:r w:rsidRPr="00742A04">
        <w:t>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 programa</w:t>
      </w:r>
      <w:r w:rsidR="00545D1B" w:rsidRPr="00742A04">
        <w:t xml:space="preserve"> </w:t>
      </w:r>
      <w:r w:rsidR="00886279" w:rsidRPr="00742A04">
        <w:t>Futuro Femenino</w:t>
      </w:r>
      <w:r w:rsidR="00545D1B" w:rsidRPr="00742A04">
        <w:t xml:space="preserve"> </w:t>
      </w:r>
      <w:r w:rsidRPr="00742A04">
        <w:t>480 mujeres, 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5D2D07" w:rsidRPr="00742A04">
        <w:t>potencial</w:t>
      </w:r>
      <w:r w:rsidRPr="00742A04">
        <w:t>es</w:t>
      </w:r>
      <w:r w:rsidR="00545D1B" w:rsidRPr="00742A04">
        <w:t xml:space="preserve"> </w:t>
      </w:r>
      <w:r w:rsidRPr="00742A04">
        <w:t>candidata</w:t>
      </w:r>
      <w:r w:rsidR="00A223F4" w:rsidRPr="00742A04">
        <w:t>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puestos en las j</w:t>
      </w:r>
      <w:r w:rsidR="00D75341" w:rsidRPr="00742A04">
        <w:t>unta</w:t>
      </w:r>
      <w:r w:rsidRPr="00742A04">
        <w:t>s</w:t>
      </w:r>
      <w:r w:rsidR="00545D1B" w:rsidRPr="00742A04">
        <w:t xml:space="preserve">. </w:t>
      </w:r>
      <w:r w:rsidRPr="00742A04">
        <w:t xml:space="preserve">Se han formulado </w:t>
      </w:r>
      <w:r w:rsidR="0059357E" w:rsidRPr="00742A04">
        <w:t>proye</w:t>
      </w:r>
      <w:r w:rsidR="0059357E" w:rsidRPr="00742A04">
        <w:t>c</w:t>
      </w:r>
      <w:r w:rsidR="0059357E" w:rsidRPr="00742A04">
        <w:t>tos</w:t>
      </w:r>
      <w:r w:rsidR="00545D1B" w:rsidRPr="00742A04">
        <w:t xml:space="preserve"> </w:t>
      </w:r>
      <w:r w:rsidRPr="00742A04">
        <w:t xml:space="preserve">especiales dirigidos a </w:t>
      </w:r>
      <w:r w:rsidR="009A12C2" w:rsidRPr="00742A04">
        <w:t>sociedades anónimas de participación abierta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95D7B" w:rsidRPr="00742A04">
        <w:t>se han ll</w:t>
      </w:r>
      <w:r w:rsidR="00495D7B" w:rsidRPr="00742A04">
        <w:t>e</w:t>
      </w:r>
      <w:r w:rsidR="00495D7B" w:rsidRPr="00742A04">
        <w:t>vado a cabo</w:t>
      </w:r>
      <w:r w:rsidRPr="00742A04">
        <w:t xml:space="preserve"> proyectos regionales</w:t>
      </w:r>
      <w:r w:rsidR="00545D1B" w:rsidRPr="00742A04">
        <w:t xml:space="preserve">. </w:t>
      </w:r>
      <w:r w:rsidRPr="00742A04">
        <w:t>Una</w:t>
      </w:r>
      <w:r w:rsidR="00545D1B" w:rsidRPr="00742A04">
        <w:t xml:space="preserve"> evalua</w:t>
      </w:r>
      <w:r w:rsidR="00C14BFF" w:rsidRPr="00742A04">
        <w:t xml:space="preserve">ción </w:t>
      </w:r>
      <w:r w:rsidR="003E5775" w:rsidRPr="00742A04">
        <w:t>indica que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36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las </w:t>
      </w:r>
      <w:r w:rsidR="00177E2E" w:rsidRPr="00742A04">
        <w:t>partic</w:t>
      </w:r>
      <w:r w:rsidR="00177E2E" w:rsidRPr="00742A04">
        <w:t>i</w:t>
      </w:r>
      <w:r w:rsidR="00177E2E" w:rsidRPr="00742A04">
        <w:t>pantes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100BD0" w:rsidRPr="00742A04">
        <w:t>pr</w:t>
      </w:r>
      <w:r w:rsidR="00100BD0" w:rsidRPr="00742A04">
        <w:t>o</w:t>
      </w:r>
      <w:r w:rsidR="00100BD0" w:rsidRPr="00742A04">
        <w:t>yecto</w:t>
      </w:r>
      <w:r w:rsidR="00545D1B" w:rsidRPr="00742A04">
        <w:t xml:space="preserve"> </w:t>
      </w:r>
      <w:r w:rsidRPr="00742A04">
        <w:t xml:space="preserve">nacional </w:t>
      </w:r>
      <w:r w:rsidR="00545D1B" w:rsidRPr="00742A04">
        <w:t>ha</w:t>
      </w:r>
      <w:r w:rsidRPr="00742A04">
        <w:t>n</w:t>
      </w:r>
      <w:r w:rsidR="00545D1B" w:rsidRPr="00742A04">
        <w:t xml:space="preserve"> </w:t>
      </w:r>
      <w:r w:rsidR="00644C8F" w:rsidRPr="00742A04">
        <w:t>recibi</w:t>
      </w:r>
      <w:r w:rsidRPr="00742A04">
        <w:t>do</w:t>
      </w:r>
      <w:r w:rsidR="00545D1B" w:rsidRPr="00742A04">
        <w:t xml:space="preserve"> </w:t>
      </w:r>
      <w:r w:rsidRPr="00742A04">
        <w:t>ofertas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puestos en las juntas</w:t>
      </w:r>
      <w:r w:rsidR="00545D1B" w:rsidRPr="00742A04">
        <w:t xml:space="preserve"> </w:t>
      </w:r>
      <w:r w:rsidR="003315C7" w:rsidRPr="00742A04">
        <w:t>durante</w:t>
      </w:r>
      <w:r w:rsidR="00545D1B" w:rsidRPr="00742A04">
        <w:t xml:space="preserve"> </w:t>
      </w:r>
      <w:r w:rsidR="004F2F8A" w:rsidRPr="00742A04">
        <w:t xml:space="preserve">el </w:t>
      </w:r>
      <w:r w:rsidR="00894371" w:rsidRPr="00742A04">
        <w:t>programa</w:t>
      </w:r>
      <w:r w:rsidR="00894371">
        <w:t xml:space="preserve"> </w:t>
      </w:r>
      <w:r w:rsidR="00894371" w:rsidRPr="00742A04">
        <w:t>o</w:t>
      </w:r>
      <w:r w:rsidRPr="00742A04">
        <w:t xml:space="preserve"> después de él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0A5430" w:rsidRPr="00742A04">
        <w:t>el caso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 proyectos regionales</w:t>
      </w:r>
      <w:r w:rsidR="00545D1B" w:rsidRPr="00742A04">
        <w:t xml:space="preserve">, </w:t>
      </w:r>
      <w:r w:rsidR="00E575DB" w:rsidRPr="00742A04">
        <w:t>más de</w:t>
      </w:r>
      <w:r w:rsidRPr="00742A04">
        <w:t>l</w:t>
      </w:r>
      <w:r w:rsidR="00545D1B" w:rsidRPr="00742A04">
        <w:t xml:space="preserve"> 50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las </w:t>
      </w:r>
      <w:r w:rsidR="00177E2E" w:rsidRPr="00742A04">
        <w:t>participa</w:t>
      </w:r>
      <w:r w:rsidR="00177E2E" w:rsidRPr="00742A04">
        <w:t>n</w:t>
      </w:r>
      <w:r w:rsidR="00177E2E" w:rsidRPr="00742A04">
        <w:t>tes</w:t>
      </w:r>
      <w:r w:rsidR="00545D1B" w:rsidRPr="00742A04">
        <w:t xml:space="preserve"> </w:t>
      </w:r>
      <w:r w:rsidRPr="00742A04">
        <w:t xml:space="preserve">han recibido ofertas </w:t>
      </w:r>
      <w:r w:rsidR="004A0730" w:rsidRPr="00742A04">
        <w:t>de</w:t>
      </w:r>
      <w:r w:rsidR="00545D1B" w:rsidRPr="00742A04">
        <w:t xml:space="preserve"> </w:t>
      </w:r>
      <w:r w:rsidRPr="00742A04">
        <w:t>puestos en las juntas</w:t>
      </w:r>
      <w:r w:rsidR="00545D1B" w:rsidRPr="00742A04">
        <w:t xml:space="preserve">. </w:t>
      </w:r>
      <w:r w:rsidR="00495D7B" w:rsidRPr="00742A04">
        <w:t>Un</w:t>
      </w:r>
      <w:r w:rsidRPr="00742A04">
        <w:t xml:space="preserve"> efecto secundari</w:t>
      </w:r>
      <w:r w:rsidR="00495D7B" w:rsidRPr="00742A04">
        <w:t>o</w:t>
      </w:r>
      <w:r w:rsidR="00545D1B" w:rsidRPr="00742A04">
        <w:t xml:space="preserve"> </w:t>
      </w:r>
      <w:r w:rsidR="00FD58FD" w:rsidRPr="00742A04">
        <w:t>positiv</w:t>
      </w:r>
      <w:r w:rsidRPr="00742A04">
        <w:t>o</w:t>
      </w:r>
      <w:r w:rsidR="00545D1B" w:rsidRPr="00742A04">
        <w:t xml:space="preserve"> </w:t>
      </w:r>
      <w:r w:rsidR="0081178E" w:rsidRPr="00742A04">
        <w:t>es que</w:t>
      </w:r>
      <w:r w:rsidR="00545D1B" w:rsidRPr="00742A04">
        <w:t xml:space="preserve"> </w:t>
      </w:r>
      <w:r w:rsidR="00477ECA" w:rsidRPr="00742A04">
        <w:t>las empresas</w:t>
      </w:r>
      <w:r w:rsidR="00545D1B" w:rsidRPr="00742A04">
        <w:t xml:space="preserve"> </w:t>
      </w:r>
      <w:r w:rsidRPr="00742A04">
        <w:t xml:space="preserve">pequeñas </w:t>
      </w:r>
      <w:r w:rsidR="00545D1B" w:rsidRPr="00742A04">
        <w:t>ha</w:t>
      </w:r>
      <w:r w:rsidRPr="00742A04">
        <w:t>n designado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Pr="00742A04">
        <w:t>en</w:t>
      </w:r>
      <w:r w:rsidR="00545D1B" w:rsidRPr="00742A04">
        <w:t xml:space="preserve"> </w:t>
      </w:r>
      <w:r w:rsidR="00F97F41" w:rsidRPr="00742A04">
        <w:t>su</w:t>
      </w:r>
      <w:r w:rsidRPr="00742A04">
        <w:t>s</w:t>
      </w:r>
      <w:r w:rsidR="00545D1B" w:rsidRPr="00742A04">
        <w:t xml:space="preserve"> </w:t>
      </w:r>
      <w:r w:rsidR="00A836A1" w:rsidRPr="00742A04">
        <w:t>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22FC" w:rsidRPr="00742A04">
        <w:t>dire</w:t>
      </w:r>
      <w:r w:rsidR="003922FC" w:rsidRPr="00742A04">
        <w:t>c</w:t>
      </w:r>
      <w:r w:rsidR="003922FC" w:rsidRPr="00742A04">
        <w:t>tores</w:t>
      </w:r>
      <w:r w:rsidR="00545D1B" w:rsidRPr="00742A04">
        <w:t xml:space="preserve"> </w:t>
      </w:r>
      <w:r w:rsidR="000F0ACC" w:rsidRPr="00742A04">
        <w:t>a fin de</w:t>
      </w:r>
      <w:r w:rsidR="00545D1B" w:rsidRPr="00742A04">
        <w:t xml:space="preserve"> </w:t>
      </w:r>
      <w:r w:rsidR="003E4840" w:rsidRPr="00742A04">
        <w:t>profesional</w:t>
      </w:r>
      <w:r w:rsidR="00545D1B" w:rsidRPr="00742A04">
        <w:t>i</w:t>
      </w:r>
      <w:r w:rsidRPr="00742A04">
        <w:t>zar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7C65B3" w:rsidRPr="00742A04">
        <w:t>propio</w:t>
      </w:r>
      <w:r w:rsidR="00545D1B" w:rsidRPr="00742A04">
        <w:t xml:space="preserve"> </w:t>
      </w:r>
      <w:r w:rsidR="00116976" w:rsidRPr="00742A04">
        <w:t>trab</w:t>
      </w:r>
      <w:r w:rsidR="00116976" w:rsidRPr="00742A04">
        <w:t>a</w:t>
      </w:r>
      <w:r w:rsidR="00116976" w:rsidRPr="00742A04">
        <w:t>jo</w:t>
      </w:r>
      <w:r w:rsidR="000A08D8" w:rsidRPr="00742A04">
        <w:t>.</w:t>
      </w:r>
    </w:p>
    <w:p w:rsidR="00545D1B" w:rsidRPr="00742A04" w:rsidRDefault="00484F0B" w:rsidP="00D574C4">
      <w:pPr>
        <w:pStyle w:val="SingleTxt"/>
        <w:ind w:firstLine="475"/>
      </w:pPr>
      <w:r w:rsidRPr="00742A04">
        <w:t>La</w:t>
      </w:r>
      <w:r w:rsidR="00545D1B" w:rsidRPr="00742A04">
        <w:t xml:space="preserve"> NHO </w:t>
      </w:r>
      <w:r w:rsidR="00BB4DB1" w:rsidRPr="00742A04">
        <w:t>es</w:t>
      </w:r>
      <w:r w:rsidR="004D1381" w:rsidRPr="00742A04">
        <w:t>tá ampliando el programa</w:t>
      </w:r>
      <w:r w:rsidR="00545D1B" w:rsidRPr="00742A04">
        <w:t xml:space="preserve"> </w:t>
      </w:r>
      <w:r w:rsidR="00886279" w:rsidRPr="00742A04">
        <w:t>Futuro Femenino</w:t>
      </w:r>
      <w:r w:rsidR="004D1381" w:rsidRPr="00742A04">
        <w:t xml:space="preserve"> </w:t>
      </w:r>
      <w:r w:rsidR="00877AA0" w:rsidRPr="00742A04">
        <w:t>y</w:t>
      </w:r>
      <w:r w:rsidR="00545D1B" w:rsidRPr="00742A04">
        <w:t xml:space="preserve"> la</w:t>
      </w:r>
      <w:r w:rsidR="004D1381" w:rsidRPr="00742A04">
        <w:t>nzando</w:t>
      </w:r>
      <w:r w:rsidR="00545D1B" w:rsidRPr="00742A04">
        <w:t xml:space="preserve"> </w:t>
      </w:r>
      <w:r w:rsidR="0059357E" w:rsidRPr="00742A04">
        <w:t>proyectos</w:t>
      </w:r>
      <w:r w:rsidR="00545D1B" w:rsidRPr="00742A04">
        <w:t xml:space="preserve"> </w:t>
      </w:r>
      <w:r w:rsidR="004D1381" w:rsidRPr="00742A04">
        <w:t xml:space="preserve">regionales </w:t>
      </w:r>
      <w:r w:rsidR="00C14BFF" w:rsidRPr="00742A04">
        <w:t>en</w:t>
      </w:r>
      <w:r w:rsidR="00545D1B" w:rsidRPr="00742A04">
        <w:t xml:space="preserve"> </w:t>
      </w:r>
      <w:r w:rsidR="001C54BB" w:rsidRPr="00742A04">
        <w:t>diez</w:t>
      </w:r>
      <w:r w:rsidR="00545D1B" w:rsidRPr="00742A04">
        <w:t xml:space="preserve"> </w:t>
      </w:r>
      <w:r w:rsidR="004D1381" w:rsidRPr="00742A04">
        <w:t>condados</w:t>
      </w:r>
      <w:r w:rsidR="00545D1B" w:rsidRPr="00742A04">
        <w:t xml:space="preserve">, </w:t>
      </w:r>
      <w:r w:rsidR="004D1381" w:rsidRPr="00742A04">
        <w:t>a partir d</w:t>
      </w:r>
      <w:r w:rsidR="004D313C" w:rsidRPr="00742A04">
        <w:t>el otoño</w:t>
      </w:r>
      <w:r w:rsidR="00F43124" w:rsidRPr="00742A04">
        <w:t xml:space="preserve"> de</w:t>
      </w:r>
      <w:r w:rsidR="00545D1B" w:rsidRPr="00742A04">
        <w:t xml:space="preserve"> 2006. </w:t>
      </w:r>
      <w:r w:rsidR="004D1381" w:rsidRPr="00742A04">
        <w:t>Esos</w:t>
      </w:r>
      <w:r w:rsidR="00545D1B" w:rsidRPr="00742A04">
        <w:t xml:space="preserve"> </w:t>
      </w:r>
      <w:r w:rsidR="0059357E" w:rsidRPr="00742A04">
        <w:t>proyectos</w:t>
      </w:r>
      <w:r w:rsidR="00545D1B" w:rsidRPr="00742A04">
        <w:t xml:space="preserve"> </w:t>
      </w:r>
      <w:r w:rsidR="004D1381" w:rsidRPr="00742A04">
        <w:t>tienen</w:t>
      </w:r>
      <w:r w:rsidR="00545D1B" w:rsidRPr="00742A04">
        <w:t xml:space="preserve"> </w:t>
      </w:r>
      <w:r w:rsidR="00811B7C" w:rsidRPr="00742A04">
        <w:t>dire</w:t>
      </w:r>
      <w:r w:rsidR="00811B7C" w:rsidRPr="00742A04">
        <w:t>c</w:t>
      </w:r>
      <w:r w:rsidR="00811B7C" w:rsidRPr="00742A04">
        <w:t>tor</w:t>
      </w:r>
      <w:r w:rsidR="004D1381" w:rsidRPr="00742A04">
        <w:t>es</w:t>
      </w:r>
      <w:r w:rsidR="00811B7C" w:rsidRPr="00742A04">
        <w:t xml:space="preserve"> </w:t>
      </w:r>
      <w:r w:rsidR="004D1381" w:rsidRPr="00742A04">
        <w:t xml:space="preserve">regionales </w:t>
      </w:r>
      <w:r w:rsidR="00811B7C" w:rsidRPr="00742A04">
        <w:t>de proyecto</w:t>
      </w:r>
      <w:r w:rsidR="00545D1B" w:rsidRPr="00742A04">
        <w:t>s</w:t>
      </w:r>
      <w:r w:rsidR="004D1381" w:rsidRPr="00742A04">
        <w:t>, así como</w:t>
      </w:r>
      <w:r w:rsidR="00545D1B" w:rsidRPr="00742A04">
        <w:t xml:space="preserve"> </w:t>
      </w:r>
      <w:r w:rsidR="00F97F41" w:rsidRPr="00742A04">
        <w:t>su</w:t>
      </w:r>
      <w:r w:rsidR="004D1381" w:rsidRPr="00742A04">
        <w:t>s</w:t>
      </w:r>
      <w:r w:rsidR="00545D1B" w:rsidRPr="00742A04">
        <w:t xml:space="preserve"> </w:t>
      </w:r>
      <w:r w:rsidR="007C65B3" w:rsidRPr="00742A04">
        <w:t>propio</w:t>
      </w:r>
      <w:r w:rsidR="004D1381" w:rsidRPr="00742A04">
        <w:t>s</w:t>
      </w:r>
      <w:r w:rsidR="00545D1B" w:rsidRPr="00742A04">
        <w:t xml:space="preserve"> </w:t>
      </w:r>
      <w:r w:rsidR="00A836A1" w:rsidRPr="00742A04">
        <w:t>comités</w:t>
      </w:r>
      <w:r w:rsidR="004D1381" w:rsidRPr="00742A04">
        <w:t xml:space="preserve"> directivos</w:t>
      </w:r>
      <w:r w:rsidR="00545D1B" w:rsidRPr="00742A04">
        <w:t xml:space="preserve">. </w:t>
      </w:r>
      <w:r w:rsidR="004D1381" w:rsidRPr="00742A04">
        <w:t>El</w:t>
      </w:r>
      <w:r w:rsidR="00545D1B" w:rsidRPr="00742A04">
        <w:t xml:space="preserve"> </w:t>
      </w:r>
      <w:r w:rsidR="00B2334F" w:rsidRPr="00742A04">
        <w:t>pres</w:t>
      </w:r>
      <w:r w:rsidR="00B2334F" w:rsidRPr="00742A04">
        <w:t>u</w:t>
      </w:r>
      <w:r w:rsidR="00B2334F" w:rsidRPr="00742A04">
        <w:t>puesto</w:t>
      </w:r>
      <w:r w:rsidR="00545D1B" w:rsidRPr="00742A04">
        <w:t xml:space="preserve"> </w:t>
      </w:r>
      <w:r w:rsidR="004D1381" w:rsidRPr="00742A04">
        <w:t>total destinado a esta actividad</w:t>
      </w:r>
      <w:r w:rsidR="00545D1B" w:rsidRPr="00742A04">
        <w:t xml:space="preserve"> </w:t>
      </w:r>
      <w:r w:rsidR="00BB4DB1" w:rsidRPr="00742A04">
        <w:t>es</w:t>
      </w:r>
      <w:r w:rsidR="004D1381" w:rsidRPr="00742A04">
        <w:t xml:space="preserve"> de </w:t>
      </w:r>
      <w:r w:rsidR="00545D1B" w:rsidRPr="00742A04">
        <w:t xml:space="preserve">16 </w:t>
      </w:r>
      <w:r w:rsidR="008C4612" w:rsidRPr="00742A04">
        <w:t xml:space="preserve">millones </w:t>
      </w:r>
      <w:r w:rsidR="004D1381" w:rsidRPr="00742A04">
        <w:t>de coronas noruegas dura</w:t>
      </w:r>
      <w:r w:rsidR="004D1381" w:rsidRPr="00742A04">
        <w:t>n</w:t>
      </w:r>
      <w:r w:rsidR="004D1381" w:rsidRPr="00742A04">
        <w:t xml:space="preserve">te </w:t>
      </w:r>
      <w:r w:rsidR="003C5A2B" w:rsidRPr="00742A04">
        <w:t>dos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. </w:t>
      </w:r>
      <w:r w:rsidR="00615664" w:rsidRPr="00742A04">
        <w:t>El programa</w:t>
      </w:r>
      <w:r w:rsidR="00545D1B" w:rsidRPr="00742A04">
        <w:t xml:space="preserve"> </w:t>
      </w:r>
      <w:r w:rsidR="00BB4DB1" w:rsidRPr="00742A04">
        <w:t>es</w:t>
      </w:r>
      <w:r w:rsidR="004D1381" w:rsidRPr="00742A04">
        <w:t>tá</w:t>
      </w:r>
      <w:r w:rsidR="00545D1B" w:rsidRPr="00742A04">
        <w:t xml:space="preserve"> financ</w:t>
      </w:r>
      <w:r w:rsidR="004D1381" w:rsidRPr="00742A04">
        <w:t>iado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4D1381" w:rsidRPr="00742A04">
        <w:t xml:space="preserve">las autoridades de los </w:t>
      </w:r>
      <w:r w:rsidR="00BC2FBE" w:rsidRPr="00742A04">
        <w:t>condado</w:t>
      </w:r>
      <w:r w:rsidR="004D1381" w:rsidRPr="00742A04">
        <w:t>s</w:t>
      </w:r>
      <w:r w:rsidR="00545D1B" w:rsidRPr="00742A04">
        <w:t xml:space="preserve"> </w:t>
      </w:r>
      <w:r w:rsidR="004D1381" w:rsidRPr="00742A04">
        <w:t>e I</w:t>
      </w:r>
      <w:r w:rsidR="00545D1B" w:rsidRPr="00742A04">
        <w:t>n</w:t>
      </w:r>
      <w:r w:rsidR="00545D1B" w:rsidRPr="00742A04">
        <w:t>nova</w:t>
      </w:r>
      <w:r w:rsidR="00C14BFF" w:rsidRPr="00742A04">
        <w:t xml:space="preserve">ción </w:t>
      </w:r>
      <w:r w:rsidR="00EA26AB" w:rsidRPr="00742A04">
        <w:t>Noruega</w:t>
      </w:r>
      <w:r w:rsidR="004D1381" w:rsidRPr="00742A04">
        <w:t>,</w:t>
      </w:r>
      <w:r w:rsidR="00545D1B" w:rsidRPr="00742A04">
        <w:t xml:space="preserve"> </w:t>
      </w:r>
      <w:r w:rsidR="006B65CD" w:rsidRPr="00742A04">
        <w:t>así como</w:t>
      </w:r>
      <w:r w:rsidR="00545D1B" w:rsidRPr="00742A04">
        <w:t xml:space="preserve"> </w:t>
      </w:r>
      <w:r w:rsidR="004D1381" w:rsidRPr="00742A04">
        <w:t>por la</w:t>
      </w:r>
      <w:r w:rsidR="00545D1B" w:rsidRPr="00742A04">
        <w:t xml:space="preserve"> NHO.</w:t>
      </w:r>
    </w:p>
    <w:p w:rsidR="00545D1B" w:rsidRPr="00742A04" w:rsidRDefault="00D574C4" w:rsidP="002C4922">
      <w:pPr>
        <w:pStyle w:val="SingleTxt"/>
        <w:rPr>
          <w:i/>
        </w:rPr>
      </w:pPr>
      <w:r w:rsidRPr="00742A04">
        <w:rPr>
          <w:i/>
        </w:rPr>
        <w:t>El sector público</w:t>
      </w:r>
    </w:p>
    <w:p w:rsidR="000A08D8" w:rsidRPr="00742A04" w:rsidRDefault="0017038C" w:rsidP="00D574C4">
      <w:pPr>
        <w:pStyle w:val="SingleTxt"/>
        <w:ind w:firstLine="475"/>
      </w:pPr>
      <w:r w:rsidRPr="00742A04">
        <w:t>Con respecto</w:t>
      </w:r>
      <w:r w:rsidR="00E575DB" w:rsidRPr="00742A04">
        <w:t xml:space="preserve"> al </w:t>
      </w:r>
      <w:r w:rsidR="00D574C4" w:rsidRPr="00742A04">
        <w:t>sector público</w:t>
      </w:r>
      <w:r w:rsidR="00545D1B" w:rsidRPr="00742A04">
        <w:t xml:space="preserve">, </w:t>
      </w:r>
      <w:r w:rsidR="00587443" w:rsidRPr="00742A04">
        <w:t>diversos</w:t>
      </w:r>
      <w:r w:rsidR="00545D1B" w:rsidRPr="00742A04">
        <w:t xml:space="preserve"> </w:t>
      </w:r>
      <w:r w:rsidR="003B42B1" w:rsidRPr="00742A04">
        <w:t>g</w:t>
      </w:r>
      <w:r w:rsidR="001B4F21" w:rsidRPr="00742A04">
        <w:t>obierno</w:t>
      </w:r>
      <w:r w:rsidR="00545D1B" w:rsidRPr="00742A04">
        <w:t>s ha</w:t>
      </w:r>
      <w:r w:rsidR="003B42B1" w:rsidRPr="00742A04">
        <w:t>n considerado i</w:t>
      </w:r>
      <w:r w:rsidR="00545D1B" w:rsidRPr="00742A04">
        <w:t>nsatisfa</w:t>
      </w:r>
      <w:r w:rsidR="00545D1B" w:rsidRPr="00742A04">
        <w:t>c</w:t>
      </w:r>
      <w:r w:rsidR="00545D1B" w:rsidRPr="00742A04">
        <w:t>tor</w:t>
      </w:r>
      <w:r w:rsidR="003B42B1" w:rsidRPr="00742A04">
        <w:t>ia</w:t>
      </w:r>
      <w:r w:rsidR="00545D1B" w:rsidRPr="00742A04">
        <w:t xml:space="preserve"> </w:t>
      </w:r>
      <w:r w:rsidR="00E73E8E" w:rsidRPr="00742A04">
        <w:t>la proporción</w:t>
      </w:r>
      <w:r w:rsidR="003B42B1" w:rsidRPr="00742A04">
        <w:t xml:space="preserve"> demasiado baja</w:t>
      </w:r>
      <w:r w:rsidR="00E73E8E" w:rsidRPr="00742A04">
        <w:t xml:space="preserve">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B42B1" w:rsidRPr="00742A04">
        <w:t>puestos de conducción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. </w:t>
      </w:r>
      <w:r w:rsidR="003B42B1" w:rsidRPr="00742A04">
        <w:t>Habida cuenta</w:t>
      </w:r>
      <w:r w:rsidR="00BD47D3" w:rsidRPr="00742A04">
        <w:t xml:space="preserve"> de 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1997 </w:t>
      </w:r>
      <w:r w:rsidR="0028385C" w:rsidRPr="00742A04">
        <w:t>había</w:t>
      </w:r>
      <w:r w:rsidR="00545D1B" w:rsidRPr="00742A04">
        <w:t xml:space="preserve"> </w:t>
      </w:r>
      <w:r w:rsidR="00A836A1" w:rsidRPr="00742A04">
        <w:t>sólo</w:t>
      </w:r>
      <w:r w:rsidR="003B42B1" w:rsidRPr="00742A04">
        <w:t xml:space="preserve"> un</w:t>
      </w:r>
      <w:r w:rsidR="00545D1B" w:rsidRPr="00742A04">
        <w:t xml:space="preserve"> 22</w:t>
      </w:r>
      <w:r w:rsidR="001167D2" w:rsidRPr="00742A04">
        <w:t>%</w:t>
      </w:r>
      <w:r w:rsidR="00545D1B" w:rsidRPr="00742A04">
        <w:t xml:space="preserve"> </w:t>
      </w:r>
      <w:r w:rsidR="003B42B1" w:rsidRPr="00742A04">
        <w:t xml:space="preserve">de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B42B1" w:rsidRPr="00742A04">
        <w:t>puestos de conducción</w:t>
      </w:r>
      <w:r w:rsidR="00545D1B" w:rsidRPr="00742A04">
        <w:t xml:space="preserve">, </w:t>
      </w:r>
      <w:r w:rsidR="003B42B1" w:rsidRPr="00742A04">
        <w:t xml:space="preserve">se puso en marcha un </w:t>
      </w:r>
      <w:r w:rsidR="00100BD0" w:rsidRPr="00742A04">
        <w:t>proyecto</w:t>
      </w:r>
      <w:r w:rsidR="00545D1B" w:rsidRPr="00742A04">
        <w:t xml:space="preserve"> </w:t>
      </w:r>
      <w:r w:rsidR="003B42B1" w:rsidRPr="00742A04">
        <w:t>cuatrienal</w:t>
      </w:r>
      <w:r w:rsidR="00545D1B" w:rsidRPr="00742A04">
        <w:t xml:space="preserve">, </w:t>
      </w:r>
      <w:r w:rsidR="003B42B1" w:rsidRPr="00742A04">
        <w:t>denomin</w:t>
      </w:r>
      <w:r w:rsidR="008A0C75" w:rsidRPr="00742A04">
        <w:t>ado</w:t>
      </w:r>
      <w:r w:rsidR="00545D1B" w:rsidRPr="00742A04">
        <w:t xml:space="preserve"> </w:t>
      </w:r>
      <w:r w:rsidR="00545D1B" w:rsidRPr="00742A04">
        <w:rPr>
          <w:i/>
        </w:rPr>
        <w:t>Kvinner, kvalitet og kompetanse i staten</w:t>
      </w:r>
      <w:r w:rsidR="00545D1B" w:rsidRPr="00742A04">
        <w:t xml:space="preserve"> (</w:t>
      </w:r>
      <w:r w:rsidR="003B42B1" w:rsidRPr="00742A04">
        <w:t>“</w:t>
      </w:r>
      <w:r w:rsidR="00072AD7" w:rsidRPr="00742A04">
        <w:t>Mujeres</w:t>
      </w:r>
      <w:r w:rsidR="00545D1B" w:rsidRPr="00742A04">
        <w:t xml:space="preserve">, </w:t>
      </w:r>
      <w:r w:rsidR="003B42B1" w:rsidRPr="00742A04">
        <w:t>c</w:t>
      </w:r>
      <w:r w:rsidR="004B0EC3" w:rsidRPr="00742A04">
        <w:t>ali</w:t>
      </w:r>
      <w:r w:rsidR="00502E16" w:rsidRPr="00742A04">
        <w:t>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B42B1" w:rsidRPr="00742A04">
        <w:t>competencia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B42B1" w:rsidRPr="00742A04">
        <w:t>el s</w:t>
      </w:r>
      <w:r w:rsidR="00545D1B" w:rsidRPr="00742A04">
        <w:t>ector</w:t>
      </w:r>
      <w:r w:rsidR="003B42B1" w:rsidRPr="00742A04">
        <w:t xml:space="preserve"> estatal</w:t>
      </w:r>
      <w:r w:rsidR="003E2AF9">
        <w:t>”</w:t>
      </w:r>
      <w:r w:rsidR="00545D1B" w:rsidRPr="00742A04">
        <w:t xml:space="preserve">). </w:t>
      </w:r>
      <w:r w:rsidR="003B42B1" w:rsidRPr="00742A04">
        <w:t>E</w:t>
      </w:r>
      <w:r w:rsidR="00B306AA" w:rsidRPr="00742A04">
        <w:t>l</w:t>
      </w:r>
      <w:r w:rsidR="003B42B1" w:rsidRPr="00742A04">
        <w:t xml:space="preserve"> </w:t>
      </w:r>
      <w:r w:rsidR="00B306AA" w:rsidRPr="00742A04">
        <w:t>objetivo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B42B1" w:rsidRPr="00742A04">
        <w:t>puestos de conducción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 </w:t>
      </w:r>
      <w:r w:rsidR="0030626A" w:rsidRPr="00742A04">
        <w:t>a</w:t>
      </w:r>
      <w:r w:rsidR="003B42B1" w:rsidRPr="00742A04">
        <w:t>l</w:t>
      </w:r>
      <w:r w:rsidR="00545D1B" w:rsidRPr="00742A04">
        <w:t xml:space="preserve"> 30</w:t>
      </w:r>
      <w:r w:rsidR="001167D2" w:rsidRPr="00742A04">
        <w:t>%</w:t>
      </w:r>
      <w:r w:rsidR="00545D1B" w:rsidRPr="00742A04">
        <w:t xml:space="preserve"> </w:t>
      </w:r>
      <w:r w:rsidR="001167D2" w:rsidRPr="00742A04">
        <w:t>p</w:t>
      </w:r>
      <w:r w:rsidR="003B42B1" w:rsidRPr="00742A04">
        <w:t>ara fines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2001. </w:t>
      </w:r>
      <w:r w:rsidR="003C25BF" w:rsidRPr="00742A04">
        <w:t>Cuando</w:t>
      </w:r>
      <w:r w:rsidR="00545D1B" w:rsidRPr="00742A04">
        <w:t xml:space="preserve"> </w:t>
      </w:r>
      <w:r w:rsidR="002213CF" w:rsidRPr="00742A04">
        <w:t>el proyecto</w:t>
      </w:r>
      <w:r w:rsidR="00545D1B" w:rsidRPr="00742A04">
        <w:t xml:space="preserve"> </w:t>
      </w:r>
      <w:r w:rsidR="003B42B1" w:rsidRPr="00742A04">
        <w:t>terminó</w:t>
      </w:r>
      <w:r w:rsidR="00545D1B" w:rsidRPr="00742A04">
        <w:t xml:space="preserve">, </w:t>
      </w:r>
      <w:r w:rsidR="00E73E8E" w:rsidRPr="00742A04">
        <w:t>la pr</w:t>
      </w:r>
      <w:r w:rsidR="00E73E8E" w:rsidRPr="00742A04">
        <w:t>o</w:t>
      </w:r>
      <w:r w:rsidR="00E73E8E" w:rsidRPr="00742A04">
        <w:t>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F4432" w:rsidRPr="00742A04">
        <w:t>puestos gerenciales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3B42B1" w:rsidRPr="00742A04">
        <w:t xml:space="preserve">de </w:t>
      </w:r>
      <w:r w:rsidR="003C25BF" w:rsidRPr="00742A04">
        <w:t>casi</w:t>
      </w:r>
      <w:r w:rsidR="00545D1B" w:rsidRPr="00742A04">
        <w:t xml:space="preserve"> </w:t>
      </w:r>
      <w:r w:rsidR="003B42B1" w:rsidRPr="00742A04">
        <w:t xml:space="preserve">un </w:t>
      </w:r>
      <w:r w:rsidR="00545D1B" w:rsidRPr="00742A04">
        <w:t>28</w:t>
      </w:r>
      <w:r w:rsidR="001167D2" w:rsidRPr="00742A04">
        <w:t>%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2002 </w:t>
      </w:r>
      <w:r w:rsidR="008F0C8E" w:rsidRPr="00742A04">
        <w:t>el Gobierno</w:t>
      </w:r>
      <w:r w:rsidR="00545D1B" w:rsidRPr="00742A04">
        <w:t xml:space="preserve"> </w:t>
      </w:r>
      <w:r w:rsidR="004D313C" w:rsidRPr="00742A04">
        <w:t>adoptó</w:t>
      </w:r>
      <w:r w:rsidR="00545D1B" w:rsidRPr="00742A04">
        <w:t xml:space="preserve"> </w:t>
      </w:r>
      <w:r w:rsidR="003B42B1" w:rsidRPr="00742A04">
        <w:t>un</w:t>
      </w:r>
      <w:r w:rsidR="00545D1B" w:rsidRPr="00742A04">
        <w:t>a resolu</w:t>
      </w:r>
      <w:r w:rsidR="00C14BFF" w:rsidRPr="00742A04">
        <w:t>ción</w:t>
      </w:r>
      <w:r w:rsidR="003B42B1" w:rsidRPr="00742A04">
        <w:t xml:space="preserve"> encaminada</w:t>
      </w:r>
      <w:r w:rsidR="00C14BFF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3B42B1" w:rsidRPr="00742A04">
        <w:t>la meta en materia de</w:t>
      </w:r>
      <w:r w:rsidR="00545D1B" w:rsidRPr="00742A04">
        <w:t xml:space="preserve"> </w:t>
      </w:r>
      <w:r w:rsidR="006F4432" w:rsidRPr="00742A04">
        <w:t>puestos gerenciales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 </w:t>
      </w:r>
      <w:r w:rsidR="0030626A" w:rsidRPr="00742A04">
        <w:t>a</w:t>
      </w:r>
      <w:r w:rsidR="003B42B1" w:rsidRPr="00742A04">
        <w:t>l</w:t>
      </w:r>
      <w:r w:rsidR="00545D1B" w:rsidRPr="00742A04">
        <w:t xml:space="preserve"> 40</w:t>
      </w:r>
      <w:r w:rsidR="001167D2" w:rsidRPr="00742A04">
        <w:t>%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B42B1" w:rsidRPr="00742A04">
        <w:t>ambos</w:t>
      </w:r>
      <w:r w:rsidR="00545D1B" w:rsidRPr="00742A04">
        <w:t xml:space="preserve"> </w:t>
      </w:r>
      <w:r w:rsidR="009F34B6" w:rsidRPr="00742A04">
        <w:t>sexos</w:t>
      </w:r>
      <w:r w:rsidR="00545D1B" w:rsidRPr="00742A04">
        <w:t xml:space="preserve"> </w:t>
      </w:r>
      <w:r w:rsidR="001167D2" w:rsidRPr="00742A04">
        <w:t>p</w:t>
      </w:r>
      <w:r w:rsidR="003B42B1" w:rsidRPr="00742A04">
        <w:t>ara el</w:t>
      </w:r>
      <w:r w:rsidR="00834309" w:rsidRPr="00742A04">
        <w:t xml:space="preserve"> 1° de julio de 2</w:t>
      </w:r>
      <w:r w:rsidR="00545D1B" w:rsidRPr="00742A04">
        <w:t xml:space="preserve">006. </w:t>
      </w:r>
      <w:r w:rsidR="003B42B1" w:rsidRPr="00742A04">
        <w:t>A finales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2004, </w:t>
      </w:r>
      <w:r w:rsidR="003B42B1" w:rsidRPr="00742A04">
        <w:t xml:space="preserve">el </w:t>
      </w:r>
      <w:r w:rsidR="00545D1B" w:rsidRPr="00742A04">
        <w:t>35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B42B1" w:rsidRPr="00742A04">
        <w:t>los</w:t>
      </w:r>
      <w:r w:rsidR="00545D1B" w:rsidRPr="00742A04">
        <w:t xml:space="preserve"> 9</w:t>
      </w:r>
      <w:r w:rsidR="00E575DB" w:rsidRPr="00742A04">
        <w:t>.000</w:t>
      </w:r>
      <w:r w:rsidR="00545D1B" w:rsidRPr="00742A04">
        <w:t xml:space="preserve"> </w:t>
      </w:r>
      <w:r w:rsidR="003B42B1" w:rsidRPr="00742A04">
        <w:t>gerentes d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. </w:t>
      </w:r>
      <w:r w:rsidR="00537384" w:rsidRPr="00742A04">
        <w:t>La distribución de género</w:t>
      </w:r>
      <w:r w:rsidR="00C14BFF" w:rsidRPr="00742A04">
        <w:t xml:space="preserve"> </w:t>
      </w:r>
      <w:r w:rsidR="007E0DFE" w:rsidRPr="00742A04">
        <w:t>en</w:t>
      </w:r>
      <w:r w:rsidR="003B42B1" w:rsidRPr="00742A04">
        <w:t xml:space="preserve"> los</w:t>
      </w:r>
      <w:r w:rsidR="00545D1B" w:rsidRPr="00742A04">
        <w:t xml:space="preserve"> </w:t>
      </w:r>
      <w:r w:rsidR="00600888" w:rsidRPr="00742A04">
        <w:t>puestos  directivos superiores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sati</w:t>
      </w:r>
      <w:r w:rsidR="00545D1B" w:rsidRPr="00742A04">
        <w:t>s</w:t>
      </w:r>
      <w:r w:rsidR="00545D1B" w:rsidRPr="00742A04">
        <w:t>factor</w:t>
      </w:r>
      <w:r w:rsidR="003B42B1" w:rsidRPr="00742A04">
        <w:t>ia</w:t>
      </w:r>
      <w:r w:rsidR="00545D1B" w:rsidRPr="00742A04">
        <w:t xml:space="preserve">. </w:t>
      </w:r>
      <w:r w:rsidR="003B42B1" w:rsidRPr="00742A04">
        <w:t>A finales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2004, </w:t>
      </w:r>
      <w:r w:rsidR="00A836A1" w:rsidRPr="00742A04">
        <w:t>sólo</w:t>
      </w:r>
      <w:r w:rsidR="00545D1B" w:rsidRPr="00742A04">
        <w:t xml:space="preserve"> </w:t>
      </w:r>
      <w:r w:rsidR="003B42B1" w:rsidRPr="00742A04">
        <w:t xml:space="preserve">el </w:t>
      </w:r>
      <w:r w:rsidR="00545D1B" w:rsidRPr="00742A04">
        <w:t>23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B42B1" w:rsidRPr="00742A04">
        <w:t>los</w:t>
      </w:r>
      <w:r w:rsidR="00545D1B" w:rsidRPr="00742A04">
        <w:t xml:space="preserve"> 300 </w:t>
      </w:r>
      <w:r w:rsidR="006F4432" w:rsidRPr="00742A04">
        <w:t>puestos gerenciales</w:t>
      </w:r>
      <w:r w:rsidR="00600888" w:rsidRPr="00742A04">
        <w:t xml:space="preserve"> superiores</w:t>
      </w:r>
      <w:r w:rsidR="00545D1B" w:rsidRPr="00742A04">
        <w:t xml:space="preserve"> </w:t>
      </w:r>
      <w:r w:rsidR="003B42B1" w:rsidRPr="00742A04">
        <w:t>d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 </w:t>
      </w:r>
      <w:r w:rsidR="003B42B1" w:rsidRPr="00742A04">
        <w:t>estaban ocupados por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3B42B1" w:rsidRPr="00742A04">
        <w:t>Por consiguiente, e</w:t>
      </w:r>
      <w:r w:rsidR="004A0730" w:rsidRPr="00742A04">
        <w:t>n</w:t>
      </w:r>
      <w:r w:rsidR="00545D1B" w:rsidRPr="00742A04">
        <w:t xml:space="preserve"> </w:t>
      </w:r>
      <w:r w:rsidR="004D313C" w:rsidRPr="00742A04">
        <w:t>los últimos años</w:t>
      </w:r>
      <w:r w:rsidR="00545D1B" w:rsidRPr="00742A04">
        <w:t xml:space="preserve"> </w:t>
      </w:r>
      <w:r w:rsidR="00502E16" w:rsidRPr="00742A04">
        <w:t>los esfuerzos</w:t>
      </w:r>
      <w:r w:rsidR="00545D1B" w:rsidRPr="00742A04">
        <w:t xml:space="preserve"> </w:t>
      </w:r>
      <w:r w:rsidR="003B42B1" w:rsidRPr="00742A04">
        <w:t>se han</w:t>
      </w:r>
      <w:r w:rsidR="00024DBC" w:rsidRPr="00742A04">
        <w:t xml:space="preserve"> cen</w:t>
      </w:r>
      <w:r w:rsidR="003B42B1" w:rsidRPr="00742A04">
        <w:t>trado</w:t>
      </w:r>
      <w:r w:rsidR="00545D1B" w:rsidRPr="00742A04">
        <w:t xml:space="preserve"> </w:t>
      </w:r>
      <w:r w:rsidR="007C3856" w:rsidRPr="00742A04">
        <w:t>especialmente</w:t>
      </w:r>
      <w:r w:rsidR="00545D1B" w:rsidRPr="00742A04">
        <w:t xml:space="preserve"> </w:t>
      </w:r>
      <w:r w:rsidR="003B42B1" w:rsidRPr="00742A04">
        <w:t>e</w:t>
      </w:r>
      <w:r w:rsidR="00545D1B" w:rsidRPr="00742A04">
        <w:t xml:space="preserve">n </w:t>
      </w:r>
      <w:r w:rsidR="00E542AA" w:rsidRPr="00742A04">
        <w:t>el incremento de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B42B1" w:rsidRPr="00742A04">
        <w:t>esos puestos fundamentales</w:t>
      </w:r>
      <w:r w:rsidR="000A08D8" w:rsidRPr="00742A04">
        <w:t>.</w:t>
      </w:r>
    </w:p>
    <w:p w:rsidR="00D574C4" w:rsidRPr="00742A04" w:rsidRDefault="00D574C4" w:rsidP="00D574C4">
      <w:pPr>
        <w:pStyle w:val="SingleTxt"/>
        <w:spacing w:after="0" w:line="120" w:lineRule="exact"/>
        <w:ind w:firstLine="475"/>
        <w:rPr>
          <w:sz w:val="10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1050"/>
        <w:gridCol w:w="1050"/>
        <w:gridCol w:w="1050"/>
      </w:tblGrid>
      <w:tr w:rsidR="00123F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050" w:type="dxa"/>
            <w:tcBorders>
              <w:top w:val="single" w:sz="4" w:space="0" w:color="auto"/>
              <w:bottom w:val="single" w:sz="12" w:space="0" w:color="auto"/>
            </w:tcBorders>
          </w:tcPr>
          <w:p w:rsidR="00123F21" w:rsidRPr="003E2AF9" w:rsidRDefault="0094079C" w:rsidP="00D574C4">
            <w:pPr>
              <w:pStyle w:val="SingleTxt"/>
              <w:keepNext/>
              <w:spacing w:before="40" w:after="40" w:line="240" w:lineRule="auto"/>
              <w:ind w:left="115" w:right="115"/>
              <w:rPr>
                <w:i/>
                <w:sz w:val="14"/>
                <w:szCs w:val="14"/>
              </w:rPr>
            </w:pPr>
            <w:r w:rsidRPr="003E2AF9">
              <w:rPr>
                <w:i/>
                <w:sz w:val="14"/>
                <w:szCs w:val="14"/>
              </w:rPr>
              <w:br w:type="page"/>
            </w:r>
            <w:r w:rsidR="003B42B1" w:rsidRPr="003E2AF9">
              <w:rPr>
                <w:i/>
                <w:sz w:val="14"/>
                <w:szCs w:val="14"/>
              </w:rPr>
              <w:t>G</w:t>
            </w:r>
            <w:r w:rsidR="00D76655" w:rsidRPr="003E2AF9">
              <w:rPr>
                <w:i/>
                <w:sz w:val="14"/>
                <w:szCs w:val="14"/>
              </w:rPr>
              <w:t>rupo</w:t>
            </w:r>
            <w:r w:rsidR="003B42B1" w:rsidRPr="003E2AF9">
              <w:rPr>
                <w:i/>
                <w:sz w:val="14"/>
                <w:szCs w:val="14"/>
              </w:rPr>
              <w:t xml:space="preserve"> de personal directivo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3F21" w:rsidRPr="003E2AF9" w:rsidRDefault="003E2AF9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123F21" w:rsidRPr="003E2AF9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i/>
                <w:sz w:val="14"/>
                <w:szCs w:val="14"/>
              </w:rPr>
            </w:pPr>
            <w:r w:rsidRPr="003E2AF9">
              <w:rPr>
                <w:i/>
                <w:sz w:val="14"/>
                <w:szCs w:val="1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3F21" w:rsidRPr="003E2AF9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i/>
                <w:sz w:val="14"/>
                <w:szCs w:val="14"/>
              </w:rPr>
            </w:pPr>
            <w:r w:rsidRPr="003E2AF9">
              <w:rPr>
                <w:i/>
                <w:sz w:val="14"/>
                <w:szCs w:val="14"/>
              </w:rPr>
              <w:t>2005</w:t>
            </w:r>
          </w:p>
        </w:tc>
      </w:tr>
      <w:tr w:rsidR="00123F21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4050" w:type="dxa"/>
            <w:tcBorders>
              <w:top w:val="single" w:sz="12" w:space="0" w:color="auto"/>
            </w:tcBorders>
          </w:tcPr>
          <w:p w:rsidR="00123F21" w:rsidRPr="00742A04" w:rsidRDefault="00123F21" w:rsidP="00D574C4">
            <w:pPr>
              <w:pStyle w:val="SingleTxt"/>
              <w:keepNext/>
              <w:spacing w:before="40" w:after="40" w:line="240" w:lineRule="auto"/>
              <w:ind w:left="115" w:right="115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123F21" w:rsidRPr="00742A04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23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123F21" w:rsidRPr="00742A04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123F21" w:rsidRPr="00742A04" w:rsidRDefault="00123F21" w:rsidP="00496A4A">
            <w:pPr>
              <w:pStyle w:val="SingleTxt"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22</w:t>
            </w:r>
          </w:p>
        </w:tc>
      </w:tr>
      <w:tr w:rsidR="0094079C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0" w:type="dxa"/>
          </w:tcPr>
          <w:p w:rsidR="0094079C" w:rsidRPr="00742A04" w:rsidRDefault="003B42B1" w:rsidP="00D574C4">
            <w:pPr>
              <w:pStyle w:val="SingleTxt"/>
              <w:keepNext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Todo el personal directivo</w:t>
            </w:r>
            <w:r w:rsidR="0094079C" w:rsidRPr="00742A04">
              <w:rPr>
                <w:sz w:val="17"/>
                <w:szCs w:val="17"/>
              </w:rPr>
              <w:t xml:space="preserve"> </w:t>
            </w:r>
            <w:r w:rsidRPr="00742A04">
              <w:rPr>
                <w:sz w:val="17"/>
                <w:szCs w:val="17"/>
              </w:rPr>
              <w:t>d</w:t>
            </w:r>
            <w:r w:rsidR="005532F5" w:rsidRPr="00742A04">
              <w:rPr>
                <w:sz w:val="17"/>
                <w:szCs w:val="17"/>
              </w:rPr>
              <w:t xml:space="preserve">el </w:t>
            </w:r>
            <w:r w:rsidR="008C6468" w:rsidRPr="00742A04">
              <w:rPr>
                <w:sz w:val="17"/>
                <w:szCs w:val="17"/>
              </w:rPr>
              <w:t>sector estatal</w:t>
            </w:r>
          </w:p>
        </w:tc>
        <w:tc>
          <w:tcPr>
            <w:tcW w:w="1050" w:type="dxa"/>
          </w:tcPr>
          <w:p w:rsidR="0094079C" w:rsidRPr="00742A04" w:rsidRDefault="0094079C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28</w:t>
            </w:r>
          </w:p>
        </w:tc>
        <w:tc>
          <w:tcPr>
            <w:tcW w:w="1050" w:type="dxa"/>
          </w:tcPr>
          <w:p w:rsidR="0094079C" w:rsidRPr="00742A04" w:rsidRDefault="0094079C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34</w:t>
            </w:r>
          </w:p>
        </w:tc>
        <w:tc>
          <w:tcPr>
            <w:tcW w:w="1050" w:type="dxa"/>
          </w:tcPr>
          <w:p w:rsidR="0094079C" w:rsidRPr="00742A04" w:rsidRDefault="0094079C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35</w:t>
            </w:r>
          </w:p>
        </w:tc>
      </w:tr>
      <w:tr w:rsidR="0094079C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0" w:type="dxa"/>
            <w:tcBorders>
              <w:bottom w:val="single" w:sz="12" w:space="0" w:color="auto"/>
            </w:tcBorders>
          </w:tcPr>
          <w:p w:rsidR="0094079C" w:rsidRPr="00742A04" w:rsidRDefault="006F4432" w:rsidP="002D1B69">
            <w:pPr>
              <w:pStyle w:val="SingleTxt"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Puestos gerenciales</w:t>
            </w:r>
            <w:r w:rsidR="00600888" w:rsidRPr="00742A04">
              <w:rPr>
                <w:sz w:val="17"/>
                <w:szCs w:val="17"/>
              </w:rPr>
              <w:t xml:space="preserve"> superiores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4079C" w:rsidRPr="00742A04" w:rsidRDefault="0094079C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21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4079C" w:rsidRPr="00742A04" w:rsidRDefault="0094079C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4079C" w:rsidRPr="00742A04" w:rsidRDefault="0094079C" w:rsidP="00496A4A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23</w:t>
            </w:r>
          </w:p>
        </w:tc>
      </w:tr>
    </w:tbl>
    <w:p w:rsidR="00D574C4" w:rsidRPr="00742A04" w:rsidRDefault="00D574C4" w:rsidP="00D574C4">
      <w:pPr>
        <w:pStyle w:val="SingleTxt"/>
        <w:spacing w:after="0" w:line="120" w:lineRule="exact"/>
        <w:rPr>
          <w:sz w:val="10"/>
        </w:rPr>
      </w:pPr>
    </w:p>
    <w:p w:rsidR="00D574C4" w:rsidRPr="00742A04" w:rsidRDefault="00D574C4" w:rsidP="00D574C4">
      <w:pPr>
        <w:pStyle w:val="SingleTxt"/>
        <w:spacing w:after="0" w:line="120" w:lineRule="exact"/>
        <w:rPr>
          <w:sz w:val="10"/>
        </w:rPr>
      </w:pPr>
    </w:p>
    <w:p w:rsidR="000A08D8" w:rsidRPr="00742A04" w:rsidRDefault="00A60436" w:rsidP="00D574C4">
      <w:pPr>
        <w:pStyle w:val="SingleTxt"/>
        <w:ind w:firstLine="475"/>
      </w:pPr>
      <w:r w:rsidRPr="00742A04">
        <w:t>Se han aplicado d</w:t>
      </w:r>
      <w:r w:rsidR="00587443" w:rsidRPr="00742A04">
        <w:t>i</w:t>
      </w:r>
      <w:r w:rsidRPr="00742A04">
        <w:t>versa</w:t>
      </w:r>
      <w:r w:rsidR="00587443" w:rsidRPr="00742A04">
        <w:t>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2552AE" w:rsidRPr="00742A04">
        <w:t>centralizadas par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F4432" w:rsidRPr="00742A04">
        <w:t>puestos gerenciales</w:t>
      </w:r>
      <w:r w:rsidR="00545D1B" w:rsidRPr="00742A04">
        <w:t xml:space="preserve">. </w:t>
      </w:r>
      <w:r w:rsidR="00B34971" w:rsidRPr="00742A04">
        <w:t>A partir de</w:t>
      </w:r>
      <w:r w:rsidR="00545D1B" w:rsidRPr="00742A04">
        <w:t xml:space="preserve"> 1999, Statskonsult </w:t>
      </w:r>
      <w:r w:rsidR="002552AE" w:rsidRPr="00742A04">
        <w:t>está encabezando un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 </w:t>
      </w:r>
      <w:r w:rsidR="002552AE" w:rsidRPr="00742A04">
        <w:t xml:space="preserve">de mentores </w:t>
      </w:r>
      <w:r w:rsidR="00F43124" w:rsidRPr="00742A04">
        <w:t>para</w:t>
      </w:r>
      <w:r w:rsidR="00545D1B" w:rsidRPr="00742A04">
        <w:t xml:space="preserve"> </w:t>
      </w:r>
      <w:r w:rsidR="003922FC" w:rsidRPr="00742A04">
        <w:t xml:space="preserve">mujeres que ocupan </w:t>
      </w:r>
      <w:r w:rsidR="006F4432" w:rsidRPr="00742A04">
        <w:t>puestos gerenciales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>.</w:t>
      </w:r>
      <w:r w:rsidR="001E30D6" w:rsidRPr="00742A04">
        <w:t xml:space="preserve"> </w:t>
      </w:r>
      <w:r w:rsidR="002552AE" w:rsidRPr="00742A04">
        <w:t>U</w:t>
      </w:r>
      <w:r w:rsidR="001E30D6" w:rsidRPr="00742A04">
        <w:t xml:space="preserve">na </w:t>
      </w:r>
      <w:r w:rsidR="00311327" w:rsidRPr="00742A04">
        <w:t>encuesta</w:t>
      </w:r>
      <w:r w:rsidR="00545D1B" w:rsidRPr="00742A04">
        <w:t xml:space="preserve"> </w:t>
      </w:r>
      <w:r w:rsidR="003E5775" w:rsidRPr="00742A04">
        <w:t>indica que</w:t>
      </w:r>
      <w:r w:rsidR="00545D1B" w:rsidRPr="00742A04">
        <w:t xml:space="preserve"> </w:t>
      </w:r>
      <w:r w:rsidR="002552AE" w:rsidRPr="00742A04">
        <w:t>el programa de mentores</w:t>
      </w:r>
      <w:r w:rsidR="00545D1B" w:rsidRPr="00742A04">
        <w:t xml:space="preserve"> </w:t>
      </w:r>
      <w:r w:rsidR="002552AE" w:rsidRPr="00742A04">
        <w:t>incrementó la</w:t>
      </w:r>
      <w:r w:rsidR="00AC1BF5" w:rsidRPr="00742A04">
        <w:t xml:space="preserve"> </w:t>
      </w:r>
      <w:r w:rsidR="002552AE" w:rsidRPr="00742A04">
        <w:t xml:space="preserve">motivación </w:t>
      </w:r>
      <w:r w:rsidR="00AC1BF5" w:rsidRPr="00742A04">
        <w:t>de</w:t>
      </w:r>
      <w:r w:rsidR="002552AE" w:rsidRPr="00742A04">
        <w:t xml:space="preserve"> las</w:t>
      </w:r>
      <w:r w:rsidR="00545D1B" w:rsidRPr="00742A04">
        <w:t xml:space="preserve"> </w:t>
      </w:r>
      <w:r w:rsidR="00177E2E" w:rsidRPr="00742A04">
        <w:t>participantes</w:t>
      </w:r>
      <w:r w:rsidR="00545D1B" w:rsidRPr="00742A04">
        <w:t xml:space="preserve"> </w:t>
      </w:r>
      <w:r w:rsidR="002552AE" w:rsidRPr="00742A04">
        <w:t>para tratar de seguir un</w:t>
      </w:r>
      <w:r w:rsidR="00545D1B" w:rsidRPr="00742A04">
        <w:t xml:space="preserve">a </w:t>
      </w:r>
      <w:r w:rsidR="00B62650" w:rsidRPr="00742A04">
        <w:t>futu</w:t>
      </w:r>
      <w:r w:rsidR="002552AE" w:rsidRPr="00742A04">
        <w:t xml:space="preserve">ra </w:t>
      </w:r>
      <w:r w:rsidR="005C6D40" w:rsidRPr="00742A04">
        <w:t>carrera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F4432" w:rsidRPr="00742A04">
        <w:t>puestos gerenciales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AE655D" w:rsidRPr="00742A04">
        <w:t>se han establecido</w:t>
      </w:r>
      <w:r w:rsidR="00545D1B" w:rsidRPr="00742A04">
        <w:t xml:space="preserve"> </w:t>
      </w:r>
      <w:r w:rsidR="002552AE" w:rsidRPr="00742A04">
        <w:t xml:space="preserve">una red y un lugar de reunión </w:t>
      </w:r>
      <w:r w:rsidR="00F43124" w:rsidRPr="00742A04">
        <w:t>para</w:t>
      </w:r>
      <w:r w:rsidR="00545D1B" w:rsidRPr="00742A04">
        <w:t xml:space="preserve"> </w:t>
      </w:r>
      <w:r w:rsidR="002552AE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2552AE" w:rsidRPr="00742A04">
        <w:t>que oc</w:t>
      </w:r>
      <w:r w:rsidR="002552AE" w:rsidRPr="00742A04">
        <w:t>u</w:t>
      </w:r>
      <w:r w:rsidR="002552AE" w:rsidRPr="00742A04">
        <w:t>pan</w:t>
      </w:r>
      <w:r w:rsidR="00545D1B" w:rsidRPr="00742A04">
        <w:t xml:space="preserve"> </w:t>
      </w:r>
      <w:r w:rsidR="006F4432" w:rsidRPr="00742A04">
        <w:t>puestos gerenciales</w:t>
      </w:r>
      <w:r w:rsidR="008A7280" w:rsidRPr="00742A04">
        <w:t xml:space="preserve"> de nivel medio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los ministerios</w:t>
      </w:r>
      <w:r w:rsidR="00545D1B" w:rsidRPr="00742A04">
        <w:t xml:space="preserve">. </w:t>
      </w:r>
      <w:r w:rsidR="002552AE" w:rsidRPr="00742A04">
        <w:t>T</w:t>
      </w:r>
      <w:r w:rsidR="00210DB1" w:rsidRPr="00742A04">
        <w:t>ambién</w:t>
      </w:r>
      <w:r w:rsidR="002552AE" w:rsidRPr="00742A04">
        <w:t xml:space="preserve"> </w:t>
      </w:r>
      <w:r w:rsidR="00AE655D" w:rsidRPr="00742A04">
        <w:t>se han establ</w:t>
      </w:r>
      <w:r w:rsidR="00AE655D" w:rsidRPr="00742A04">
        <w:t>e</w:t>
      </w:r>
      <w:r w:rsidR="00AE655D" w:rsidRPr="00742A04">
        <w:t>cido</w:t>
      </w:r>
      <w:r w:rsidR="00545D1B" w:rsidRPr="00742A04">
        <w:t xml:space="preserve"> </w:t>
      </w:r>
      <w:r w:rsidR="002552AE" w:rsidRPr="00742A04">
        <w:t>nuevos procedimientos para seleccionar a las personas que ocuparán los</w:t>
      </w:r>
      <w:r w:rsidR="00545D1B" w:rsidRPr="00742A04">
        <w:t xml:space="preserve"> </w:t>
      </w:r>
      <w:r w:rsidR="006F4432" w:rsidRPr="00742A04">
        <w:t>pue</w:t>
      </w:r>
      <w:r w:rsidR="006F4432" w:rsidRPr="00742A04">
        <w:t>s</w:t>
      </w:r>
      <w:r w:rsidR="006F4432" w:rsidRPr="00742A04">
        <w:t>tos gerenciales</w:t>
      </w:r>
      <w:r w:rsidR="00600888" w:rsidRPr="00742A04">
        <w:t xml:space="preserve"> superiores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="002552AE" w:rsidRPr="00742A04">
        <w:t>designación para</w:t>
      </w:r>
      <w:r w:rsidR="00545D1B" w:rsidRPr="00742A04">
        <w:t xml:space="preserve"> </w:t>
      </w:r>
      <w:r w:rsidR="006F4432" w:rsidRPr="00742A04">
        <w:t>puestos gerenci</w:t>
      </w:r>
      <w:r w:rsidR="006F4432" w:rsidRPr="00742A04">
        <w:t>a</w:t>
      </w:r>
      <w:r w:rsidR="006F4432" w:rsidRPr="00742A04">
        <w:t>les</w:t>
      </w:r>
      <w:r w:rsidR="00600888" w:rsidRPr="00742A04">
        <w:t xml:space="preserve"> superiores</w:t>
      </w:r>
      <w:r w:rsidR="00545D1B" w:rsidRPr="00742A04">
        <w:t xml:space="preserve">, </w:t>
      </w:r>
      <w:r w:rsidR="00C33C47" w:rsidRPr="00742A04">
        <w:t>en la medida de lo posible</w:t>
      </w:r>
      <w:r w:rsidR="00545D1B" w:rsidRPr="00742A04">
        <w:t xml:space="preserve">, </w:t>
      </w:r>
      <w:r w:rsidR="002552AE" w:rsidRPr="00742A04">
        <w:t xml:space="preserve">deberán presentarse </w:t>
      </w:r>
      <w:r w:rsidR="00657260" w:rsidRPr="00742A04">
        <w:t>por lo menos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A223F4" w:rsidRPr="00742A04">
        <w:t>cand</w:t>
      </w:r>
      <w:r w:rsidR="00A223F4" w:rsidRPr="00742A04">
        <w:t>i</w:t>
      </w:r>
      <w:r w:rsidR="00A223F4" w:rsidRPr="00742A04">
        <w:t>datos</w:t>
      </w:r>
      <w:r w:rsidR="00545D1B" w:rsidRPr="00742A04">
        <w:t xml:space="preserve"> </w:t>
      </w:r>
      <w:r w:rsidR="002552AE" w:rsidRPr="00742A04">
        <w:t>finales</w:t>
      </w:r>
      <w:r w:rsidR="00545D1B" w:rsidRPr="00742A04">
        <w:t xml:space="preserve">, </w:t>
      </w:r>
      <w:r w:rsidR="002552AE" w:rsidRPr="00742A04">
        <w:t xml:space="preserve">de los cuales </w:t>
      </w:r>
      <w:r w:rsidR="00657260" w:rsidRPr="00742A04">
        <w:t>por lo menos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2552AE" w:rsidRPr="00742A04">
        <w:t>tiene que ser</w:t>
      </w:r>
      <w:r w:rsidR="00072AD7" w:rsidRPr="00742A04">
        <w:t xml:space="preserve"> mujer</w:t>
      </w:r>
      <w:r w:rsidR="00545D1B" w:rsidRPr="00742A04">
        <w:t xml:space="preserve">. </w:t>
      </w:r>
      <w:r w:rsidR="00232DF9" w:rsidRPr="00742A04">
        <w:t>Si</w:t>
      </w:r>
      <w:r w:rsidR="00545D1B" w:rsidRPr="00742A04">
        <w:t xml:space="preserve"> </w:t>
      </w:r>
      <w:r w:rsidR="002552AE" w:rsidRPr="00742A04">
        <w:t xml:space="preserve">se utilizan </w:t>
      </w:r>
      <w:r w:rsidR="00545D1B" w:rsidRPr="00742A04">
        <w:t>consult</w:t>
      </w:r>
      <w:r w:rsidR="002552AE" w:rsidRPr="00742A04">
        <w:t>ore</w:t>
      </w:r>
      <w:r w:rsidR="00545D1B" w:rsidRPr="00742A04">
        <w:t xml:space="preserve">s </w:t>
      </w:r>
      <w:r w:rsidR="002552AE" w:rsidRPr="00742A04">
        <w:t>externos</w:t>
      </w:r>
      <w:r w:rsidR="00545D1B" w:rsidRPr="00742A04">
        <w:t xml:space="preserve"> </w:t>
      </w:r>
      <w:r w:rsidR="00C14BFF" w:rsidRPr="00742A04">
        <w:t>en</w:t>
      </w:r>
      <w:r w:rsidR="002552AE" w:rsidRPr="00742A04">
        <w:t xml:space="preserve"> el</w:t>
      </w:r>
      <w:r w:rsidR="00545D1B" w:rsidRPr="00742A04">
        <w:t xml:space="preserve"> </w:t>
      </w:r>
      <w:r w:rsidR="00242371" w:rsidRPr="00742A04">
        <w:t>proceso</w:t>
      </w:r>
      <w:r w:rsidR="002552AE" w:rsidRPr="00742A04">
        <w:t xml:space="preserve"> de selección</w:t>
      </w:r>
      <w:r w:rsidR="00545D1B" w:rsidRPr="00742A04">
        <w:t xml:space="preserve">, </w:t>
      </w:r>
      <w:r w:rsidR="002552AE" w:rsidRPr="00742A04">
        <w:t>el</w:t>
      </w:r>
      <w:r w:rsidR="00545D1B" w:rsidRPr="00742A04">
        <w:t xml:space="preserve"> contra</w:t>
      </w:r>
      <w:r w:rsidR="002552AE" w:rsidRPr="00742A04">
        <w:t>to</w:t>
      </w:r>
      <w:r w:rsidR="00545D1B" w:rsidRPr="00742A04">
        <w:t xml:space="preserve"> </w:t>
      </w:r>
      <w:r w:rsidR="007D4688" w:rsidRPr="00742A04">
        <w:t>debe</w:t>
      </w:r>
      <w:r w:rsidR="002552AE" w:rsidRPr="00742A04">
        <w:t>rá</w:t>
      </w:r>
      <w:r w:rsidR="00545D1B" w:rsidRPr="00742A04">
        <w:t xml:space="preserve"> </w:t>
      </w:r>
      <w:r w:rsidR="002552AE" w:rsidRPr="00742A04">
        <w:t>e</w:t>
      </w:r>
      <w:r w:rsidR="00545D1B" w:rsidRPr="00742A04">
        <w:t>stipula</w:t>
      </w:r>
      <w:r w:rsidR="002552AE" w:rsidRPr="00742A04">
        <w:t>r que los consultores</w:t>
      </w:r>
      <w:r w:rsidR="00545D1B" w:rsidRPr="00742A04">
        <w:t xml:space="preserve"> </w:t>
      </w:r>
      <w:r w:rsidR="007D4688" w:rsidRPr="00742A04">
        <w:t>debe</w:t>
      </w:r>
      <w:r w:rsidR="002552AE" w:rsidRPr="00742A04">
        <w:t>n</w:t>
      </w:r>
      <w:r w:rsidR="00545D1B" w:rsidRPr="00742A04">
        <w:t xml:space="preserve"> present</w:t>
      </w:r>
      <w:r w:rsidR="002552AE" w:rsidRPr="00742A04">
        <w:t>ar</w:t>
      </w:r>
      <w:r w:rsidR="00545D1B" w:rsidRPr="00742A04">
        <w:t xml:space="preserve"> </w:t>
      </w:r>
      <w:r w:rsidR="00A223F4" w:rsidRPr="00742A04">
        <w:t>candidatos</w:t>
      </w:r>
      <w:r w:rsidR="002552AE" w:rsidRPr="00742A04">
        <w:t xml:space="preserve"> finales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552AE" w:rsidRPr="00742A04">
        <w:t>ambos</w:t>
      </w:r>
      <w:r w:rsidR="00545D1B" w:rsidRPr="00742A04">
        <w:t xml:space="preserve"> </w:t>
      </w:r>
      <w:r w:rsidR="009F34B6" w:rsidRPr="00742A04">
        <w:t>sexos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2004 </w:t>
      </w:r>
      <w:r w:rsidR="002552AE" w:rsidRPr="00742A04">
        <w:t xml:space="preserve">se inició un </w:t>
      </w:r>
      <w:r w:rsidR="00894371" w:rsidRPr="00742A04">
        <w:t>proyecto</w:t>
      </w:r>
      <w:r w:rsidR="00894371">
        <w:t xml:space="preserve"> </w:t>
      </w:r>
      <w:r w:rsidR="00894371" w:rsidRPr="00742A04">
        <w:t>bienal</w:t>
      </w:r>
      <w:r w:rsidR="002552AE" w:rsidRPr="00742A04">
        <w:t xml:space="preserve"> de prueba con el fin de</w:t>
      </w:r>
      <w:r w:rsidR="00545D1B" w:rsidRPr="00742A04">
        <w:t xml:space="preserve"> </w:t>
      </w:r>
      <w:r w:rsidR="00242371" w:rsidRPr="00742A04">
        <w:t>promover</w:t>
      </w:r>
      <w:r w:rsidR="002552AE" w:rsidRPr="00742A04">
        <w:t xml:space="preserve"> la mov</w:t>
      </w:r>
      <w:r w:rsidR="00502E16" w:rsidRPr="00742A04">
        <w:t>ilidad</w:t>
      </w:r>
      <w:r w:rsidR="00545D1B" w:rsidRPr="00742A04">
        <w:t xml:space="preserve"> </w:t>
      </w:r>
      <w:r w:rsidR="007E0DFE" w:rsidRPr="00742A04">
        <w:t>entre</w:t>
      </w:r>
      <w:r w:rsidR="00545D1B" w:rsidRPr="00742A04">
        <w:t xml:space="preserve"> </w:t>
      </w:r>
      <w:r w:rsidR="002552AE" w:rsidRPr="00742A04">
        <w:t>el personal d</w:t>
      </w:r>
      <w:r w:rsidR="002552AE" w:rsidRPr="00742A04">
        <w:t>i</w:t>
      </w:r>
      <w:r w:rsidR="002552AE" w:rsidRPr="00742A04">
        <w:t>rectivo de la</w:t>
      </w:r>
      <w:r w:rsidR="00545D1B" w:rsidRPr="00742A04">
        <w:t xml:space="preserve"> administra</w:t>
      </w:r>
      <w:r w:rsidR="00C27C42" w:rsidRPr="00742A04">
        <w:t>ci</w:t>
      </w:r>
      <w:r w:rsidR="00C14BFF" w:rsidRPr="00742A04">
        <w:t>ón</w:t>
      </w:r>
      <w:r w:rsidR="002552AE" w:rsidRPr="00742A04">
        <w:t xml:space="preserve"> estatal</w:t>
      </w:r>
      <w:r w:rsidR="00C27C42" w:rsidRPr="00742A04">
        <w:t>.</w:t>
      </w:r>
      <w:r w:rsidR="00545D1B" w:rsidRPr="00742A04">
        <w:t xml:space="preserve"> </w:t>
      </w:r>
      <w:r w:rsidR="002B77F8" w:rsidRPr="00742A04">
        <w:t>Se hace</w:t>
      </w:r>
      <w:r w:rsidR="00545D1B" w:rsidRPr="00742A04">
        <w:t xml:space="preserve"> </w:t>
      </w:r>
      <w:r w:rsidR="00E574AD" w:rsidRPr="00742A04">
        <w:t>especial</w:t>
      </w:r>
      <w:r w:rsidR="00545D1B" w:rsidRPr="00742A04">
        <w:t xml:space="preserve"> </w:t>
      </w:r>
      <w:r w:rsidR="002B77F8" w:rsidRPr="00742A04">
        <w:t>hincapié en</w:t>
      </w:r>
      <w:r w:rsidR="00545D1B" w:rsidRPr="00742A04">
        <w:t xml:space="preserve"> </w:t>
      </w:r>
      <w:r w:rsidR="00A8633B" w:rsidRPr="00742A04">
        <w:t>asegurar que</w:t>
      </w:r>
      <w:r w:rsidR="00545D1B" w:rsidRPr="00742A04">
        <w:t xml:space="preserve"> </w:t>
      </w:r>
      <w:r w:rsidR="003E2AF9" w:rsidRPr="00742A04">
        <w:t>en d</w:t>
      </w:r>
      <w:r w:rsidR="003E2AF9" w:rsidRPr="00742A04">
        <w:t>i</w:t>
      </w:r>
      <w:r w:rsidR="003E2AF9" w:rsidRPr="00742A04">
        <w:t xml:space="preserve">cho proyecto </w:t>
      </w:r>
      <w:r w:rsidR="001633F4" w:rsidRPr="00742A04">
        <w:t>particip</w:t>
      </w:r>
      <w:r w:rsidR="002B77F8" w:rsidRPr="00742A04">
        <w:t>en</w:t>
      </w:r>
      <w:r w:rsidR="00545D1B" w:rsidRPr="00742A04">
        <w:t xml:space="preserve"> </w:t>
      </w:r>
      <w:r w:rsidR="002B77F8" w:rsidRPr="00742A04">
        <w:t>muj</w:t>
      </w:r>
      <w:r w:rsidR="002B77F8" w:rsidRPr="00742A04">
        <w:t>e</w:t>
      </w:r>
      <w:r w:rsidR="002B77F8" w:rsidRPr="00742A04">
        <w:t>res</w:t>
      </w:r>
      <w:r w:rsidR="000A08D8" w:rsidRPr="00742A04">
        <w:t>.</w:t>
      </w:r>
    </w:p>
    <w:p w:rsidR="000A08D8" w:rsidRPr="00742A04" w:rsidRDefault="004A0730" w:rsidP="00D574C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2F3238" w:rsidRPr="00742A04">
        <w:t>la primavera de</w:t>
      </w:r>
      <w:r w:rsidR="00545D1B" w:rsidRPr="00742A04">
        <w:t xml:space="preserve"> 2005</w:t>
      </w:r>
      <w:r w:rsidR="001E30D6" w:rsidRPr="00742A04">
        <w:t xml:space="preserve"> </w:t>
      </w:r>
      <w:r w:rsidR="007220AF" w:rsidRPr="00742A04">
        <w:t>se hizo</w:t>
      </w:r>
      <w:r w:rsidR="00545D1B" w:rsidRPr="00742A04">
        <w:t xml:space="preserve"> </w:t>
      </w:r>
      <w:r w:rsidR="007220AF" w:rsidRPr="00742A04">
        <w:t>una encuesta entr</w:t>
      </w:r>
      <w:r w:rsidRPr="00742A04">
        <w:t>e</w:t>
      </w:r>
      <w:r w:rsidR="00545D1B" w:rsidRPr="00742A04">
        <w:t xml:space="preserve"> </w:t>
      </w:r>
      <w:r w:rsidR="00311327" w:rsidRPr="00742A04">
        <w:t>1.000</w:t>
      </w:r>
      <w:r w:rsidR="00545D1B" w:rsidRPr="00742A04">
        <w:t xml:space="preserve"> </w:t>
      </w:r>
      <w:r w:rsidR="007220AF" w:rsidRPr="00742A04">
        <w:t>gerentes d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 </w:t>
      </w:r>
      <w:r w:rsidR="007220AF" w:rsidRPr="00742A04">
        <w:t>acerca 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motiva</w:t>
      </w:r>
      <w:r w:rsidR="00C14BFF" w:rsidRPr="00742A04">
        <w:t xml:space="preserve">ción </w:t>
      </w:r>
      <w:r w:rsidR="007220AF" w:rsidRPr="00742A04">
        <w:t>para procurar una</w:t>
      </w:r>
      <w:r w:rsidR="00545D1B" w:rsidRPr="00742A04">
        <w:t xml:space="preserve"> </w:t>
      </w:r>
      <w:r w:rsidR="007220AF" w:rsidRPr="00742A04">
        <w:t xml:space="preserve">futura </w:t>
      </w:r>
      <w:r w:rsidR="005C6D40" w:rsidRPr="00742A04">
        <w:t>carrera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F4432" w:rsidRPr="00742A04">
        <w:t>puestos gerenci</w:t>
      </w:r>
      <w:r w:rsidR="006F4432" w:rsidRPr="00742A04">
        <w:t>a</w:t>
      </w:r>
      <w:r w:rsidR="006F4432" w:rsidRPr="00742A04">
        <w:t>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220AF" w:rsidRPr="00742A04">
        <w:t xml:space="preserve">de </w:t>
      </w:r>
      <w:r w:rsidR="00F97F41" w:rsidRPr="00742A04">
        <w:t>su</w:t>
      </w:r>
      <w:r w:rsidR="00545D1B" w:rsidRPr="00742A04">
        <w:t xml:space="preserve"> </w:t>
      </w:r>
      <w:r w:rsidR="008F0C8E" w:rsidRPr="00742A04">
        <w:t>experiencia</w:t>
      </w:r>
      <w:r w:rsidR="00545D1B" w:rsidRPr="00742A04">
        <w:t xml:space="preserve"> </w:t>
      </w:r>
      <w:r w:rsidR="007220AF" w:rsidRPr="00742A04">
        <w:t>en la presentación de solicitudes</w:t>
      </w:r>
      <w:r w:rsidR="00545D1B" w:rsidRPr="00742A04">
        <w:t xml:space="preserve"> </w:t>
      </w:r>
      <w:r w:rsidR="00F43124" w:rsidRPr="00742A04">
        <w:t>para</w:t>
      </w:r>
      <w:r w:rsidR="007220AF" w:rsidRPr="00742A04">
        <w:t xml:space="preserve"> ocupar</w:t>
      </w:r>
      <w:r w:rsidR="00545D1B" w:rsidRPr="00742A04">
        <w:t xml:space="preserve"> </w:t>
      </w:r>
      <w:r w:rsidR="003B42B1" w:rsidRPr="00742A04">
        <w:t>puestos de conducción</w:t>
      </w:r>
      <w:r w:rsidR="00545D1B" w:rsidRPr="00742A04">
        <w:t xml:space="preserve">. </w:t>
      </w:r>
      <w:r w:rsidR="007220AF" w:rsidRPr="00742A04">
        <w:t>Las conclusiones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101B8C" w:rsidRPr="00742A04">
        <w:t xml:space="preserve">esta </w:t>
      </w:r>
      <w:r w:rsidR="00311327" w:rsidRPr="00742A04">
        <w:t>encuesta</w:t>
      </w:r>
      <w:r w:rsidR="00545D1B" w:rsidRPr="00742A04">
        <w:t xml:space="preserve"> </w:t>
      </w:r>
      <w:r w:rsidR="007220AF" w:rsidRPr="00742A04">
        <w:t>demostraron</w:t>
      </w:r>
      <w:r w:rsidR="00E575DB" w:rsidRPr="00742A04">
        <w:t xml:space="preserve"> que</w:t>
      </w:r>
      <w:r w:rsidR="00545D1B" w:rsidRPr="00742A04">
        <w:t xml:space="preserve"> </w:t>
      </w:r>
      <w:r w:rsidR="007220AF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7220AF" w:rsidRPr="00742A04">
        <w:t>desean ocupar</w:t>
      </w:r>
      <w:r w:rsidR="00545D1B" w:rsidRPr="00742A04">
        <w:t xml:space="preserve"> </w:t>
      </w:r>
      <w:r w:rsidR="006F4432" w:rsidRPr="00742A04">
        <w:t>puestos gerenciales</w:t>
      </w:r>
      <w:r w:rsidR="00600888" w:rsidRPr="00742A04">
        <w:t xml:space="preserve"> superiores</w:t>
      </w:r>
      <w:r w:rsidR="001E30D6" w:rsidRPr="00742A04">
        <w:t xml:space="preserve"> </w:t>
      </w:r>
      <w:r w:rsidR="007220AF" w:rsidRPr="00742A04">
        <w:t>en el mismo grado que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</w:t>
      </w:r>
      <w:r w:rsidR="007220AF" w:rsidRPr="00742A04">
        <w:t xml:space="preserve">El </w:t>
      </w:r>
      <w:r w:rsidR="00545D1B" w:rsidRPr="00742A04">
        <w:t>40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220AF" w:rsidRPr="00742A04">
        <w:t xml:space="preserve">el </w:t>
      </w:r>
      <w:r w:rsidR="00545D1B" w:rsidRPr="00742A04">
        <w:t>43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220AF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7220AF" w:rsidRPr="00742A04">
        <w:t>dij</w:t>
      </w:r>
      <w:r w:rsidR="007220AF" w:rsidRPr="00742A04">
        <w:t>e</w:t>
      </w:r>
      <w:r w:rsidR="007220AF" w:rsidRPr="00742A04">
        <w:t>ron que desearían ser ocupar cargos directivos superiores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, </w:t>
      </w:r>
      <w:r w:rsidR="007220AF" w:rsidRPr="00742A04">
        <w:t>en la actualidad o más ad</w:t>
      </w:r>
      <w:r w:rsidR="007220AF" w:rsidRPr="00742A04">
        <w:t>e</w:t>
      </w:r>
      <w:r w:rsidR="007220AF" w:rsidRPr="00742A04">
        <w:t>lante</w:t>
      </w:r>
      <w:r w:rsidR="000A08D8" w:rsidRPr="00742A04">
        <w:t>.</w:t>
      </w:r>
    </w:p>
    <w:p w:rsidR="00545D1B" w:rsidRPr="00742A04" w:rsidRDefault="00E44A9D" w:rsidP="00D574C4">
      <w:pPr>
        <w:pStyle w:val="SingleTxt"/>
        <w:ind w:firstLine="475"/>
      </w:pPr>
      <w:r w:rsidRPr="00742A04">
        <w:t>Las mujeres</w:t>
      </w:r>
      <w:r w:rsidR="00545D1B" w:rsidRPr="00742A04">
        <w:t xml:space="preserve"> </w:t>
      </w:r>
      <w:r w:rsidR="008F4DB2" w:rsidRPr="00742A04">
        <w:t>trabaj</w:t>
      </w:r>
      <w:r w:rsidR="005D6D85" w:rsidRPr="00742A04">
        <w:t>an tan intensamente como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D6D85" w:rsidRPr="00742A04">
        <w:t xml:space="preserve">tienen la misma </w:t>
      </w:r>
      <w:r w:rsidR="00545D1B" w:rsidRPr="00742A04">
        <w:t>confi</w:t>
      </w:r>
      <w:r w:rsidR="005D6D85" w:rsidRPr="00742A04">
        <w:t>anza en sí mismas</w:t>
      </w:r>
      <w:r w:rsidR="00545D1B" w:rsidRPr="00742A04">
        <w:t xml:space="preserve">. </w:t>
      </w:r>
      <w:r w:rsidR="001D532F" w:rsidRPr="00742A04">
        <w:t>Entre</w:t>
      </w:r>
      <w:r w:rsidR="00545D1B" w:rsidRPr="00742A04">
        <w:t xml:space="preserve"> </w:t>
      </w:r>
      <w:r w:rsidR="005D6D85" w:rsidRPr="00742A04">
        <w:t>quienes dijeron que no deseaban ocupar</w:t>
      </w:r>
      <w:r w:rsidR="00545D1B" w:rsidRPr="00742A04">
        <w:t xml:space="preserve"> </w:t>
      </w:r>
      <w:r w:rsidR="006F4432" w:rsidRPr="00742A04">
        <w:t>puestos g</w:t>
      </w:r>
      <w:r w:rsidR="006F4432" w:rsidRPr="00742A04">
        <w:t>e</w:t>
      </w:r>
      <w:r w:rsidR="006F4432" w:rsidRPr="00742A04">
        <w:t>renciales</w:t>
      </w:r>
      <w:r w:rsidR="00600888" w:rsidRPr="00742A04">
        <w:t xml:space="preserve"> superiores</w:t>
      </w:r>
      <w:r w:rsidR="00545D1B" w:rsidRPr="00742A04">
        <w:t xml:space="preserve">, </w:t>
      </w:r>
      <w:r w:rsidR="005D6D85" w:rsidRPr="00742A04">
        <w:t>la misma proporción 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5D6D85" w:rsidRPr="00742A04">
        <w:t>y de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5D6D85" w:rsidRPr="00742A04">
        <w:t>dijeron que ello era por</w:t>
      </w:r>
      <w:r w:rsidR="00545D1B" w:rsidRPr="00742A04">
        <w:t xml:space="preserve"> considera</w:t>
      </w:r>
      <w:r w:rsidR="00C14BFF" w:rsidRPr="00742A04">
        <w:t xml:space="preserve">ción </w:t>
      </w:r>
      <w:r w:rsidR="00F43124" w:rsidRPr="00742A04">
        <w:t>a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5C6D40" w:rsidRPr="00742A04">
        <w:t>familia</w:t>
      </w:r>
      <w:r w:rsidR="00545D1B" w:rsidRPr="00742A04">
        <w:t xml:space="preserve">. </w:t>
      </w:r>
      <w:r w:rsidR="00F67A1B" w:rsidRPr="00742A04">
        <w:t>La encuesta</w:t>
      </w:r>
      <w:r w:rsidR="00545D1B" w:rsidRPr="00742A04">
        <w:t xml:space="preserve"> </w:t>
      </w:r>
      <w:r w:rsidR="0028385C" w:rsidRPr="00742A04">
        <w:t>demostró</w:t>
      </w:r>
      <w:r w:rsidR="00E575DB" w:rsidRPr="00742A04">
        <w:t xml:space="preserve"> que</w:t>
      </w:r>
      <w:r w:rsidR="005D6D85" w:rsidRPr="00742A04">
        <w:t xml:space="preserve"> a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</w:t>
      </w:r>
      <w:r w:rsidR="005D6D85" w:rsidRPr="00742A04">
        <w:t xml:space="preserve">las </w:t>
      </w:r>
      <w:r w:rsidR="003C5A2B" w:rsidRPr="00742A04">
        <w:t>dos</w:t>
      </w:r>
      <w:r w:rsidR="00545D1B" w:rsidRPr="00742A04">
        <w:t xml:space="preserve"> </w:t>
      </w:r>
      <w:r w:rsidR="00355BCE" w:rsidRPr="00742A04">
        <w:t>terc</w:t>
      </w:r>
      <w:r w:rsidR="00355BCE" w:rsidRPr="00742A04">
        <w:t>e</w:t>
      </w:r>
      <w:r w:rsidR="00355BCE" w:rsidRPr="00742A04">
        <w:t>r</w:t>
      </w:r>
      <w:r w:rsidR="005D6D85" w:rsidRPr="00742A04">
        <w:t>a</w:t>
      </w:r>
      <w:r w:rsidR="00545D1B" w:rsidRPr="00742A04">
        <w:t xml:space="preserve">s </w:t>
      </w:r>
      <w:r w:rsidR="005D6D85" w:rsidRPr="00742A04">
        <w:t xml:space="preserve">partes </w:t>
      </w:r>
      <w:r w:rsidR="004A0730" w:rsidRPr="00742A04">
        <w:t>de</w:t>
      </w:r>
      <w:r w:rsidR="00545D1B" w:rsidRPr="00742A04">
        <w:t xml:space="preserve"> </w:t>
      </w:r>
      <w:r w:rsidR="005D6D85" w:rsidRPr="00742A04">
        <w:t>los gerentes</w:t>
      </w:r>
      <w:r w:rsidR="00545D1B" w:rsidRPr="00742A04">
        <w:t xml:space="preserve"> </w:t>
      </w:r>
      <w:r w:rsidR="008E38BC" w:rsidRPr="00742A04">
        <w:t xml:space="preserve">se </w:t>
      </w:r>
      <w:r w:rsidR="005D6D85" w:rsidRPr="00742A04">
        <w:t xml:space="preserve">les </w:t>
      </w:r>
      <w:r w:rsidR="008E38BC" w:rsidRPr="00742A04">
        <w:t>ha</w:t>
      </w:r>
      <w:r w:rsidR="005D6D85" w:rsidRPr="00742A04">
        <w:t xml:space="preserve"> instado una o más veces a presentar solicitudes </w:t>
      </w:r>
      <w:r w:rsidR="00F43124" w:rsidRPr="00742A04">
        <w:t>para</w:t>
      </w:r>
      <w:r w:rsidR="00545D1B" w:rsidRPr="00742A04">
        <w:t xml:space="preserve"> p</w:t>
      </w:r>
      <w:r w:rsidR="005D6D85" w:rsidRPr="00742A04">
        <w:t>uesto</w:t>
      </w:r>
      <w:r w:rsidR="00545D1B" w:rsidRPr="00742A04">
        <w:t xml:space="preserve">s, </w:t>
      </w:r>
      <w:r w:rsidR="00877AA0" w:rsidRPr="00742A04">
        <w:t>y</w:t>
      </w:r>
      <w:r w:rsidR="00545D1B" w:rsidRPr="00742A04">
        <w:t xml:space="preserve"> </w:t>
      </w:r>
      <w:r w:rsidR="005D6D85" w:rsidRPr="00742A04">
        <w:t xml:space="preserve">que se insta a las </w:t>
      </w:r>
      <w:r w:rsidR="00072AD7" w:rsidRPr="00742A04">
        <w:t>mujeres</w:t>
      </w:r>
      <w:r w:rsidR="00545D1B" w:rsidRPr="00742A04">
        <w:t xml:space="preserve"> </w:t>
      </w:r>
      <w:r w:rsidR="005D6D85" w:rsidRPr="00742A04">
        <w:t>con la misma frecuencia que a los hombres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D6D85" w:rsidRPr="00742A04">
        <w:t>presentarse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D6D85" w:rsidRPr="00742A04">
        <w:t>puestos de ni</w:t>
      </w:r>
      <w:r w:rsidR="00545D1B" w:rsidRPr="00742A04">
        <w:t>vel</w:t>
      </w:r>
      <w:r w:rsidR="005D6D85" w:rsidRPr="00742A04">
        <w:t xml:space="preserve"> más elevado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F67A1B" w:rsidRPr="00742A04">
        <w:t>la encuesta</w:t>
      </w:r>
      <w:r w:rsidR="00545D1B" w:rsidRPr="00742A04">
        <w:t xml:space="preserve"> </w:t>
      </w:r>
      <w:r w:rsidR="005D6D85" w:rsidRPr="00742A04">
        <w:t>indicó una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5D6D85" w:rsidRPr="00742A04">
        <w:t xml:space="preserve">las pautas de las carreras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D6D85" w:rsidRPr="00742A04">
        <w:t xml:space="preserve">las </w:t>
      </w:r>
      <w:r w:rsidR="00C076F2" w:rsidRPr="00742A04">
        <w:t xml:space="preserve">de los </w:t>
      </w:r>
      <w:r w:rsidR="007E0DFE" w:rsidRPr="00742A04">
        <w:t>hombres</w:t>
      </w:r>
      <w:r w:rsidR="00BD7DD0" w:rsidRPr="00742A04">
        <w:t xml:space="preserve">. Las mujeres </w:t>
      </w:r>
      <w:r w:rsidR="005D6D85" w:rsidRPr="00742A04">
        <w:rPr>
          <w:i/>
        </w:rPr>
        <w:t>se presentan para</w:t>
      </w:r>
      <w:r w:rsidR="00545D1B" w:rsidRPr="00742A04">
        <w:rPr>
          <w:i/>
        </w:rPr>
        <w:t xml:space="preserve"> </w:t>
      </w:r>
      <w:r w:rsidR="006F4432" w:rsidRPr="00742A04">
        <w:rPr>
          <w:i/>
        </w:rPr>
        <w:t>puestos gerenciales</w:t>
      </w:r>
      <w:r w:rsidR="00545D1B" w:rsidRPr="00742A04">
        <w:rPr>
          <w:i/>
        </w:rPr>
        <w:t xml:space="preserve"> </w:t>
      </w:r>
      <w:r w:rsidR="005D6D85" w:rsidRPr="00742A04">
        <w:rPr>
          <w:i/>
        </w:rPr>
        <w:t>con menos frecuencia</w:t>
      </w:r>
      <w:r w:rsidR="00545D1B" w:rsidRPr="00742A04">
        <w:rPr>
          <w:i/>
        </w:rPr>
        <w:t xml:space="preserve"> </w:t>
      </w:r>
      <w:r w:rsidR="0081178E" w:rsidRPr="00742A04">
        <w:rPr>
          <w:i/>
        </w:rPr>
        <w:t>que los hombres</w:t>
      </w:r>
      <w:r w:rsidR="00545D1B" w:rsidRPr="00742A04">
        <w:rPr>
          <w:i/>
        </w:rPr>
        <w:t xml:space="preserve"> </w:t>
      </w:r>
      <w:r w:rsidR="00232DF9" w:rsidRPr="00742A04">
        <w:rPr>
          <w:i/>
        </w:rPr>
        <w:t>si</w:t>
      </w:r>
      <w:r w:rsidR="00545D1B" w:rsidRPr="00742A04">
        <w:rPr>
          <w:i/>
        </w:rPr>
        <w:t xml:space="preserve"> </w:t>
      </w:r>
      <w:r w:rsidR="00CE5A7F" w:rsidRPr="00742A04">
        <w:rPr>
          <w:i/>
        </w:rPr>
        <w:t>no se</w:t>
      </w:r>
      <w:r w:rsidR="005D6D85" w:rsidRPr="00742A04">
        <w:rPr>
          <w:i/>
        </w:rPr>
        <w:t xml:space="preserve"> les insta a hacerlo</w:t>
      </w:r>
      <w:r w:rsidR="00545D1B" w:rsidRPr="00742A04">
        <w:t xml:space="preserve">. </w:t>
      </w:r>
      <w:r w:rsidR="005D6D85" w:rsidRPr="00742A04">
        <w:t xml:space="preserve">El </w:t>
      </w:r>
      <w:r w:rsidR="00545D1B" w:rsidRPr="00742A04">
        <w:t>32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5D6D85" w:rsidRPr="00742A04">
        <w:t>nunca se han presentado</w:t>
      </w:r>
      <w:r w:rsidR="00545D1B" w:rsidRPr="00742A04">
        <w:t xml:space="preserve"> </w:t>
      </w:r>
      <w:r w:rsidR="00F43124" w:rsidRPr="00742A04">
        <w:t>para</w:t>
      </w:r>
      <w:r w:rsidR="005D6D85" w:rsidRPr="00742A04">
        <w:t xml:space="preserve"> un puesto </w:t>
      </w:r>
      <w:r w:rsidR="00CB0483" w:rsidRPr="00742A04">
        <w:t>sin</w:t>
      </w:r>
      <w:r w:rsidR="00545D1B" w:rsidRPr="00742A04">
        <w:t xml:space="preserve"> </w:t>
      </w:r>
      <w:r w:rsidR="005D6D85" w:rsidRPr="00742A04">
        <w:t>que se les haya instado a hacerlo</w:t>
      </w:r>
      <w:r w:rsidR="00545D1B" w:rsidRPr="00742A04">
        <w:t xml:space="preserve">, </w:t>
      </w:r>
      <w:r w:rsidR="00E73E8E" w:rsidRPr="00742A04">
        <w:t>en compar</w:t>
      </w:r>
      <w:r w:rsidR="00E73E8E" w:rsidRPr="00742A04">
        <w:t>a</w:t>
      </w:r>
      <w:r w:rsidR="00E73E8E" w:rsidRPr="00742A04">
        <w:t>ción con</w:t>
      </w:r>
      <w:r w:rsidR="00545D1B" w:rsidRPr="00742A04">
        <w:t xml:space="preserve"> </w:t>
      </w:r>
      <w:r w:rsidR="005D6D85" w:rsidRPr="00742A04">
        <w:t xml:space="preserve">el </w:t>
      </w:r>
      <w:r w:rsidR="00545D1B" w:rsidRPr="00742A04">
        <w:t>24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D6D85" w:rsidRPr="00742A04">
        <w:t xml:space="preserve">los </w:t>
      </w:r>
      <w:r w:rsidR="00072AD7" w:rsidRPr="00742A04">
        <w:t>hombres</w:t>
      </w:r>
      <w:r w:rsidR="00545D1B" w:rsidRPr="00742A04">
        <w:t xml:space="preserve">. </w:t>
      </w:r>
      <w:r w:rsidR="008E5EBF" w:rsidRPr="00742A04">
        <w:rPr>
          <w:i/>
        </w:rPr>
        <w:t>Además</w:t>
      </w:r>
      <w:r w:rsidR="00545D1B" w:rsidRPr="00742A04">
        <w:rPr>
          <w:i/>
        </w:rPr>
        <w:t xml:space="preserve">, </w:t>
      </w:r>
      <w:r w:rsidR="005D6D85" w:rsidRPr="00742A04">
        <w:rPr>
          <w:i/>
        </w:rPr>
        <w:t xml:space="preserve">los </w:t>
      </w:r>
      <w:r w:rsidR="00072AD7" w:rsidRPr="00742A04">
        <w:rPr>
          <w:i/>
        </w:rPr>
        <w:t>hombres</w:t>
      </w:r>
      <w:r w:rsidR="00545D1B" w:rsidRPr="00742A04">
        <w:rPr>
          <w:i/>
        </w:rPr>
        <w:t xml:space="preserve"> </w:t>
      </w:r>
      <w:r w:rsidR="005D6D85" w:rsidRPr="00742A04">
        <w:rPr>
          <w:i/>
        </w:rPr>
        <w:t>se presentan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</w:t>
      </w:r>
      <w:r w:rsidR="00BA5ABE" w:rsidRPr="00742A04">
        <w:rPr>
          <w:i/>
        </w:rPr>
        <w:t>más</w:t>
      </w:r>
      <w:r w:rsidR="00545D1B" w:rsidRPr="00742A04">
        <w:rPr>
          <w:i/>
        </w:rPr>
        <w:t xml:space="preserve"> p</w:t>
      </w:r>
      <w:r w:rsidR="005D6D85" w:rsidRPr="00742A04">
        <w:rPr>
          <w:i/>
        </w:rPr>
        <w:t>uestos en total</w:t>
      </w:r>
      <w:r w:rsidR="00545D1B" w:rsidRPr="00742A04">
        <w:rPr>
          <w:i/>
        </w:rPr>
        <w:t xml:space="preserve"> </w:t>
      </w:r>
      <w:r w:rsidR="005C6D40" w:rsidRPr="00742A04">
        <w:rPr>
          <w:i/>
        </w:rPr>
        <w:t>que</w:t>
      </w:r>
      <w:r w:rsidR="00545D1B" w:rsidRPr="00742A04">
        <w:rPr>
          <w:i/>
        </w:rPr>
        <w:t xml:space="preserve"> </w:t>
      </w:r>
      <w:r w:rsidR="00F97F41" w:rsidRPr="00742A04">
        <w:rPr>
          <w:i/>
        </w:rPr>
        <w:t>su</w:t>
      </w:r>
      <w:r w:rsidR="005D6D85" w:rsidRPr="00742A04">
        <w:rPr>
          <w:i/>
        </w:rPr>
        <w:t>s colegas</w:t>
      </w:r>
      <w:r w:rsidR="00545D1B" w:rsidRPr="00742A04">
        <w:rPr>
          <w:i/>
        </w:rPr>
        <w:t xml:space="preserve"> </w:t>
      </w:r>
      <w:r w:rsidR="000220D6" w:rsidRPr="00742A04">
        <w:rPr>
          <w:i/>
        </w:rPr>
        <w:t>mujeres</w:t>
      </w:r>
      <w:r w:rsidR="00545D1B" w:rsidRPr="00742A04">
        <w:rPr>
          <w:i/>
        </w:rPr>
        <w:t>.</w:t>
      </w:r>
      <w:r w:rsidR="00545D1B" w:rsidRPr="00742A04">
        <w:t xml:space="preserve"> </w:t>
      </w:r>
      <w:r w:rsidR="005D6D85" w:rsidRPr="00742A04">
        <w:t xml:space="preserve">El </w:t>
      </w:r>
      <w:r w:rsidR="00545D1B" w:rsidRPr="00742A04">
        <w:t>63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E2AF9">
        <w:t xml:space="preserve">los </w:t>
      </w:r>
      <w:r w:rsidR="00072AD7" w:rsidRPr="00742A04">
        <w:t>hombres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5D6D85" w:rsidRPr="00742A04">
        <w:t xml:space="preserve">el </w:t>
      </w:r>
      <w:r w:rsidR="00545D1B" w:rsidRPr="00742A04">
        <w:t>52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, </w:t>
      </w:r>
      <w:r w:rsidR="005D6D85" w:rsidRPr="00742A04">
        <w:t>dijeron que se habían presentado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6F4432" w:rsidRPr="00742A04">
        <w:t>puestos gerenciales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11327" w:rsidRPr="00742A04">
        <w:t>el curso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5C6D40" w:rsidRPr="00742A04">
        <w:t>carrera</w:t>
      </w:r>
      <w:r w:rsidR="00545D1B" w:rsidRPr="00742A04">
        <w:t>.</w:t>
      </w:r>
    </w:p>
    <w:p w:rsidR="00545D1B" w:rsidRPr="00742A04" w:rsidRDefault="008F4DB2" w:rsidP="00D574C4">
      <w:pPr>
        <w:pStyle w:val="SingleTxt"/>
        <w:ind w:firstLine="475"/>
      </w:pPr>
      <w:r w:rsidRPr="00742A04">
        <w:t>La falta</w:t>
      </w:r>
      <w:r w:rsidR="00545D1B" w:rsidRPr="00742A04">
        <w:t xml:space="preserve"> </w:t>
      </w:r>
      <w:r w:rsidR="004D313C" w:rsidRPr="00742A04">
        <w:t xml:space="preserve">de </w:t>
      </w:r>
      <w:r w:rsidR="003922FC" w:rsidRPr="00742A04">
        <w:t xml:space="preserve">mujeres </w:t>
      </w:r>
      <w:r w:rsidRPr="00742A04">
        <w:t>en</w:t>
      </w:r>
      <w:r w:rsidR="003922FC" w:rsidRPr="00742A04">
        <w:t xml:space="preserve"> </w:t>
      </w:r>
      <w:r w:rsidR="006F4432" w:rsidRPr="00742A04">
        <w:t>puestos gerenciales</w:t>
      </w:r>
      <w:r w:rsidR="00545D1B" w:rsidRPr="00742A04">
        <w:t xml:space="preserve"> </w:t>
      </w:r>
      <w:r w:rsidRPr="00742A04">
        <w:t xml:space="preserve">se </w:t>
      </w:r>
      <w:r w:rsidR="00545D1B" w:rsidRPr="00742A04">
        <w:t>ha expl</w:t>
      </w:r>
      <w:r w:rsidRPr="00742A04">
        <w:t>icado frecuentemente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657260" w:rsidRPr="00742A04">
        <w:t>factores</w:t>
      </w:r>
      <w:r w:rsidR="00545D1B" w:rsidRPr="00742A04">
        <w:t xml:space="preserve"> </w:t>
      </w:r>
      <w:r w:rsidR="000A5430" w:rsidRPr="00742A04">
        <w:t>aso</w:t>
      </w:r>
      <w:r w:rsidR="00545D1B" w:rsidRPr="00742A04">
        <w:t>cia</w:t>
      </w:r>
      <w:r w:rsidRPr="00742A04">
        <w:t>dos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l</w:t>
      </w:r>
      <w:r w:rsidR="005C19C7" w:rsidRPr="00742A04">
        <w:t>as mujeres</w:t>
      </w:r>
      <w:r w:rsidR="00545D1B" w:rsidRPr="00742A04">
        <w:t xml:space="preserve"> </w:t>
      </w:r>
      <w:r w:rsidRPr="00742A04">
        <w:t>mismas</w:t>
      </w:r>
      <w:r w:rsidR="00545D1B" w:rsidRPr="00742A04">
        <w:t xml:space="preserve">, </w:t>
      </w:r>
      <w:r w:rsidRPr="00742A04">
        <w:t>por ejemplo,</w:t>
      </w:r>
      <w:r w:rsidR="00545D1B" w:rsidRPr="00742A04">
        <w:t xml:space="preserve"> </w:t>
      </w:r>
      <w:r w:rsidRPr="00742A04">
        <w:t>que hay</w:t>
      </w:r>
      <w:r w:rsidR="00545D1B" w:rsidRPr="00742A04">
        <w:t xml:space="preserve"> </w:t>
      </w:r>
      <w:r w:rsidR="00E77E20" w:rsidRPr="00742A04">
        <w:t>menos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1178E" w:rsidRPr="00742A04">
        <w:t>que hombres</w:t>
      </w:r>
      <w:r w:rsidR="00545D1B" w:rsidRPr="00742A04">
        <w:t xml:space="preserve"> </w:t>
      </w:r>
      <w:r w:rsidRPr="00742A04">
        <w:t>que deseen ser gerentes</w:t>
      </w:r>
      <w:r w:rsidR="00545D1B" w:rsidRPr="00742A04">
        <w:t xml:space="preserve">, </w:t>
      </w:r>
      <w:r w:rsidRPr="00742A04">
        <w:t>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982243" w:rsidRPr="00742A04">
        <w:t>menos</w:t>
      </w:r>
      <w:r w:rsidRPr="00742A04">
        <w:t xml:space="preserve"> ambic</w:t>
      </w:r>
      <w:r w:rsidR="00545D1B" w:rsidRPr="00742A04">
        <w:t>io</w:t>
      </w:r>
      <w:r w:rsidRPr="00742A04">
        <w:t>sa</w:t>
      </w:r>
      <w:r w:rsidR="00545D1B" w:rsidRPr="00742A04">
        <w:t xml:space="preserve">s, </w:t>
      </w:r>
      <w:r w:rsidRPr="00742A04">
        <w:t>que tienen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</w:t>
      </w:r>
      <w:r w:rsidRPr="00742A04">
        <w:t>confianza en sí mismas</w:t>
      </w:r>
      <w:r w:rsidR="00545D1B" w:rsidRPr="00742A04">
        <w:t xml:space="preserve">, </w:t>
      </w:r>
      <w:r w:rsidR="00116976" w:rsidRPr="00742A04">
        <w:t>trabaj</w:t>
      </w:r>
      <w:r w:rsidRPr="00742A04">
        <w:t>an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tienen</w:t>
      </w:r>
      <w:r w:rsidR="00545D1B" w:rsidRPr="00742A04">
        <w:t xml:space="preserve"> </w:t>
      </w:r>
      <w:r w:rsidR="00982243" w:rsidRPr="00742A04">
        <w:t>un mayor grado de</w:t>
      </w:r>
      <w:r w:rsidR="00545D1B" w:rsidRPr="00742A04">
        <w:t xml:space="preserve"> </w:t>
      </w:r>
      <w:r w:rsidRPr="00742A04">
        <w:t>dificultad</w:t>
      </w:r>
      <w:r w:rsidR="00545D1B" w:rsidRPr="00742A04">
        <w:t xml:space="preserve"> </w:t>
      </w:r>
      <w:r w:rsidRPr="00742A04">
        <w:t>para</w:t>
      </w:r>
      <w:r w:rsidR="00545D1B" w:rsidRPr="00742A04">
        <w:t xml:space="preserve"> combin</w:t>
      </w:r>
      <w:r w:rsidRPr="00742A04">
        <w:t>ar</w:t>
      </w:r>
      <w:r w:rsidR="00545D1B" w:rsidRPr="00742A04">
        <w:t xml:space="preserve"> </w:t>
      </w:r>
      <w:r w:rsidR="00116976" w:rsidRPr="00742A04">
        <w:t>el trabajo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las obligaciones </w:t>
      </w:r>
      <w:r w:rsidR="005C6D40" w:rsidRPr="00742A04">
        <w:t>familia</w:t>
      </w:r>
      <w:r w:rsidRPr="00742A04">
        <w:t>res</w:t>
      </w:r>
      <w:r w:rsidR="00545D1B" w:rsidRPr="00742A04">
        <w:t xml:space="preserve">. </w:t>
      </w:r>
      <w:r w:rsidR="00024DBC" w:rsidRPr="00742A04">
        <w:t>Los resultados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67A1B" w:rsidRPr="00742A04">
        <w:t>la encuesta</w:t>
      </w:r>
      <w:r w:rsidR="00545D1B" w:rsidRPr="00742A04">
        <w:t xml:space="preserve"> </w:t>
      </w:r>
      <w:r w:rsidR="00ED6A69" w:rsidRPr="00742A04">
        <w:t>indican que</w:t>
      </w:r>
      <w:r w:rsidR="00545D1B" w:rsidRPr="00742A04">
        <w:t xml:space="preserve"> </w:t>
      </w:r>
      <w:r w:rsidRPr="00742A04">
        <w:t xml:space="preserve">esto </w:t>
      </w:r>
      <w:r w:rsidR="00673B5D" w:rsidRPr="00742A04">
        <w:t xml:space="preserve">no </w:t>
      </w:r>
      <w:r w:rsidRPr="00742A04">
        <w:t>s</w:t>
      </w:r>
      <w:r w:rsidR="00673B5D" w:rsidRPr="00742A04">
        <w:t xml:space="preserve">e </w:t>
      </w:r>
      <w:r w:rsidRPr="00742A04">
        <w:t>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los 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las </w:t>
      </w:r>
      <w:r w:rsidR="003922FC" w:rsidRPr="00742A04">
        <w:t xml:space="preserve">mujeres que ocupan </w:t>
      </w:r>
      <w:r w:rsidR="006F4432" w:rsidRPr="00742A04">
        <w:t>puestos gere</w:t>
      </w:r>
      <w:r w:rsidR="006F4432" w:rsidRPr="00742A04">
        <w:t>n</w:t>
      </w:r>
      <w:r w:rsidR="006F4432" w:rsidRPr="00742A04">
        <w:t>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. </w:t>
      </w:r>
      <w:r w:rsidRPr="00742A04">
        <w:t>La</w:t>
      </w:r>
      <w:r w:rsidR="00545D1B" w:rsidRPr="00742A04">
        <w:t xml:space="preserve"> s</w:t>
      </w:r>
      <w:r w:rsidRPr="00742A04">
        <w:t>emejanza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Pr="00742A04">
        <w:t>las</w:t>
      </w:r>
      <w:r w:rsidR="00545D1B" w:rsidRPr="00742A04">
        <w:t xml:space="preserve"> </w:t>
      </w:r>
      <w:r w:rsidR="00F43124" w:rsidRPr="00742A04">
        <w:t>prioridades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 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las </w:t>
      </w:r>
      <w:r w:rsidR="003922FC" w:rsidRPr="00742A04">
        <w:t xml:space="preserve">mujeres que ocupan </w:t>
      </w:r>
      <w:r w:rsidR="006F4432" w:rsidRPr="00742A04">
        <w:t>puestos gerenciales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llamativa</w:t>
      </w:r>
      <w:r w:rsidR="00545D1B" w:rsidRPr="00742A04">
        <w:t xml:space="preserve">. </w:t>
      </w:r>
      <w:r w:rsidR="00F67A1B" w:rsidRPr="00742A04">
        <w:t>La encuesta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E5775" w:rsidRPr="00742A04">
        <w:t>indica que</w:t>
      </w:r>
      <w:r w:rsidR="00545D1B" w:rsidRPr="00742A04">
        <w:t xml:space="preserve"> </w:t>
      </w:r>
      <w:r w:rsidR="00AD0883" w:rsidRPr="00742A04">
        <w:t>los empleadores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discrimina</w:t>
      </w:r>
      <w:r w:rsidRPr="00742A04">
        <w:t>n</w:t>
      </w:r>
      <w:r w:rsidR="00545D1B" w:rsidRPr="00742A04">
        <w:t xml:space="preserve"> </w:t>
      </w:r>
      <w:r w:rsidR="00F650FB" w:rsidRPr="00742A04">
        <w:t>contra</w:t>
      </w:r>
      <w:r w:rsidRPr="00742A04">
        <w:t xml:space="preserve">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los nombr</w:t>
      </w:r>
      <w:r w:rsidRPr="00742A04">
        <w:t>a</w:t>
      </w:r>
      <w:r w:rsidRPr="00742A04">
        <w:t xml:space="preserve">mientos para </w:t>
      </w:r>
      <w:r w:rsidR="006F4432" w:rsidRPr="00742A04">
        <w:t>puestos gerenciales</w:t>
      </w:r>
      <w:r w:rsidR="00545D1B" w:rsidRPr="00742A04">
        <w:t>.</w:t>
      </w:r>
    </w:p>
    <w:p w:rsidR="00545D1B" w:rsidRPr="00742A04" w:rsidRDefault="00356229" w:rsidP="00D574C4">
      <w:pPr>
        <w:pStyle w:val="SingleTxt"/>
        <w:ind w:firstLine="475"/>
      </w:pPr>
      <w:r w:rsidRPr="00742A04">
        <w:t>Sobre la base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F4DB2" w:rsidRPr="00742A04">
        <w:t>las</w:t>
      </w:r>
      <w:r w:rsidR="00545D1B" w:rsidRPr="00742A04">
        <w:t xml:space="preserve"> </w:t>
      </w:r>
      <w:r w:rsidR="00D52339" w:rsidRPr="00742A04">
        <w:t>comprobaciones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01B8C" w:rsidRPr="00742A04">
        <w:t xml:space="preserve">esta </w:t>
      </w:r>
      <w:r w:rsidR="00311327" w:rsidRPr="00742A04">
        <w:t>encuesta</w:t>
      </w:r>
      <w:r w:rsidR="00545D1B" w:rsidRPr="00742A04">
        <w:t xml:space="preserve">, </w:t>
      </w:r>
      <w:r w:rsidR="004A0730" w:rsidRPr="00742A04">
        <w:t>el Ministerio</w:t>
      </w:r>
      <w:r w:rsidR="008F4DB2" w:rsidRPr="00742A04">
        <w:t xml:space="preserve"> ha</w:t>
      </w:r>
      <w:r w:rsidR="00545D1B" w:rsidRPr="00742A04">
        <w:t xml:space="preserve"> </w:t>
      </w:r>
      <w:r w:rsidR="00C07ED9" w:rsidRPr="00742A04">
        <w:t>inici</w:t>
      </w:r>
      <w:r w:rsidR="00C07ED9" w:rsidRPr="00742A04">
        <w:t>a</w:t>
      </w:r>
      <w:r w:rsidR="008F4DB2" w:rsidRPr="00742A04">
        <w:t>do</w:t>
      </w:r>
      <w:r w:rsidR="00545D1B" w:rsidRPr="00742A04">
        <w:t xml:space="preserve"> </w:t>
      </w:r>
      <w:r w:rsidR="0077058E" w:rsidRPr="00742A04">
        <w:t>un proyecto</w:t>
      </w:r>
      <w:r w:rsidR="00545D1B" w:rsidRPr="00742A04">
        <w:t xml:space="preserve"> </w:t>
      </w:r>
      <w:r w:rsidR="008F4DB2" w:rsidRPr="00742A04">
        <w:t>con arreglo al cual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E5775" w:rsidRPr="00742A04">
        <w:t>que</w:t>
      </w:r>
      <w:r w:rsidR="008F4DB2" w:rsidRPr="00742A04">
        <w:t xml:space="preserve"> ocupen cargos directivos de n</w:t>
      </w:r>
      <w:r w:rsidR="008F4DB2" w:rsidRPr="00742A04">
        <w:t>i</w:t>
      </w:r>
      <w:r w:rsidR="008F4DB2" w:rsidRPr="00742A04">
        <w:t>vel medio y deseen presentarse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6F4432" w:rsidRPr="00742A04">
        <w:t>puestos gerenciales</w:t>
      </w:r>
      <w:r w:rsidR="008F4DB2" w:rsidRPr="00742A04">
        <w:t xml:space="preserve"> de</w:t>
      </w:r>
      <w:r w:rsidR="00545D1B" w:rsidRPr="00742A04">
        <w:t xml:space="preserve"> </w:t>
      </w:r>
      <w:r w:rsidR="008F4DB2" w:rsidRPr="00742A04">
        <w:t>mayor nivel se les brinda preparación y asesoramiento sobre la</w:t>
      </w:r>
      <w:r w:rsidR="00545D1B" w:rsidRPr="00742A04">
        <w:t xml:space="preserve"> </w:t>
      </w:r>
      <w:r w:rsidR="005C6D40" w:rsidRPr="00742A04">
        <w:t>carrera</w:t>
      </w:r>
      <w:r w:rsidR="00545D1B" w:rsidRPr="00742A04">
        <w:t xml:space="preserve">. </w:t>
      </w:r>
      <w:r w:rsidR="008F4DB2" w:rsidRPr="00742A04">
        <w:t>El</w:t>
      </w:r>
      <w:r w:rsidR="00545D1B" w:rsidRPr="00742A04">
        <w:t xml:space="preserve"> </w:t>
      </w:r>
      <w:r w:rsidR="00242371" w:rsidRPr="00742A04">
        <w:t>proceso</w:t>
      </w:r>
      <w:r w:rsidR="008F4DB2" w:rsidRPr="00742A04">
        <w:t xml:space="preserve"> de preparación abarca un período má</w:t>
      </w:r>
      <w:r w:rsidR="00545D1B" w:rsidRPr="00742A04">
        <w:t>xim</w:t>
      </w:r>
      <w:r w:rsidR="008F4DB2" w:rsidRPr="00742A04">
        <w:t>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11 </w:t>
      </w:r>
      <w:r w:rsidR="00AD5494" w:rsidRPr="00742A04">
        <w:t>meses</w:t>
      </w:r>
      <w:r w:rsidR="00545D1B" w:rsidRPr="00742A04">
        <w:t xml:space="preserve">. </w:t>
      </w:r>
      <w:r w:rsidR="008F4DB2" w:rsidRPr="00742A04">
        <w:t>Actualmente participan en el proyecto 20</w:t>
      </w:r>
      <w:r w:rsidR="00545D1B" w:rsidRPr="00742A04">
        <w:t xml:space="preserve"> </w:t>
      </w:r>
      <w:r w:rsidR="000220D6" w:rsidRPr="00742A04">
        <w:t>mujeres</w:t>
      </w:r>
      <w:r w:rsidR="00545D1B" w:rsidRPr="00742A04">
        <w:t xml:space="preserve"> </w:t>
      </w:r>
      <w:r w:rsidR="008F4DB2" w:rsidRPr="00742A04">
        <w:t xml:space="preserve">que son directoras de </w:t>
      </w:r>
      <w:r w:rsidR="00545D1B" w:rsidRPr="00742A04">
        <w:t>d</w:t>
      </w:r>
      <w:r w:rsidR="00545D1B" w:rsidRPr="00742A04">
        <w:t>e</w:t>
      </w:r>
      <w:r w:rsidR="00545D1B" w:rsidRPr="00742A04">
        <w:t>part</w:t>
      </w:r>
      <w:r w:rsidR="008F4DB2" w:rsidRPr="00742A04">
        <w:t>a</w:t>
      </w:r>
      <w:r w:rsidR="00545D1B" w:rsidRPr="00742A04">
        <w:t>ment</w:t>
      </w:r>
      <w:r w:rsidR="008F4DB2" w:rsidRPr="00742A04">
        <w:t>o en</w:t>
      </w:r>
      <w:r w:rsidR="00545D1B" w:rsidRPr="00742A04">
        <w:t xml:space="preserve"> </w:t>
      </w:r>
      <w:r w:rsidR="00587443" w:rsidRPr="00742A04">
        <w:t>diversos</w:t>
      </w:r>
      <w:r w:rsidR="00545D1B" w:rsidRPr="00742A04">
        <w:t xml:space="preserve"> </w:t>
      </w:r>
      <w:r w:rsidR="00603216" w:rsidRPr="00742A04">
        <w:t>ministerios</w:t>
      </w:r>
      <w:r w:rsidR="00545D1B" w:rsidRPr="00742A04">
        <w:t>.</w:t>
      </w:r>
    </w:p>
    <w:p w:rsidR="00545D1B" w:rsidRPr="00742A04" w:rsidRDefault="00A005AD" w:rsidP="002C4922">
      <w:pPr>
        <w:pStyle w:val="SingleTxt"/>
        <w:rPr>
          <w:i/>
        </w:rPr>
      </w:pPr>
      <w:r w:rsidRPr="00742A04">
        <w:rPr>
          <w:i/>
        </w:rPr>
        <w:t>El sector de</w:t>
      </w:r>
      <w:r w:rsidR="00545D1B" w:rsidRPr="00742A04">
        <w:rPr>
          <w:i/>
        </w:rPr>
        <w:t xml:space="preserve"> </w:t>
      </w:r>
      <w:r w:rsidR="00176976" w:rsidRPr="00742A04">
        <w:rPr>
          <w:i/>
        </w:rPr>
        <w:t>defensa</w:t>
      </w:r>
      <w:r w:rsidR="00545D1B" w:rsidRPr="00742A04">
        <w:rPr>
          <w:i/>
        </w:rPr>
        <w:t xml:space="preserve"> </w:t>
      </w:r>
    </w:p>
    <w:p w:rsidR="000A08D8" w:rsidRPr="00742A04" w:rsidRDefault="005E603B" w:rsidP="00D574C4">
      <w:pPr>
        <w:pStyle w:val="SingleTxt"/>
        <w:ind w:firstLine="475"/>
      </w:pPr>
      <w:r w:rsidRPr="00742A04">
        <w:t xml:space="preserve">Con arreglo al artículo </w:t>
      </w:r>
      <w:r w:rsidR="00545D1B" w:rsidRPr="00742A04">
        <w:t xml:space="preserve">3 </w:t>
      </w:r>
      <w:r w:rsidR="004A0730" w:rsidRPr="00742A04">
        <w:t>de</w:t>
      </w:r>
      <w:r w:rsidR="00545D1B" w:rsidRPr="00742A04">
        <w:t xml:space="preserve"> </w:t>
      </w:r>
      <w:r w:rsidR="005E6948" w:rsidRPr="00742A04">
        <w:t>la Ley sobre el Servicio Militar Obligatorio</w:t>
      </w:r>
      <w:r w:rsidR="00545D1B" w:rsidRPr="00742A04">
        <w:t xml:space="preserve">, </w:t>
      </w:r>
      <w:r w:rsidR="00B8584B" w:rsidRPr="00742A04">
        <w:t>los hombres noruegos</w:t>
      </w:r>
      <w:r w:rsidR="00545D1B" w:rsidRPr="00742A04">
        <w:t xml:space="preserve"> </w:t>
      </w:r>
      <w:r w:rsidR="00605079" w:rsidRPr="00742A04">
        <w:t>deben prestar</w:t>
      </w:r>
      <w:r w:rsidR="00545D1B" w:rsidRPr="00742A04">
        <w:t xml:space="preserve"> </w:t>
      </w:r>
      <w:r w:rsidR="005E6948" w:rsidRPr="00742A04">
        <w:t>servicio militar obligatorio</w:t>
      </w:r>
      <w:r w:rsidR="00BD7DD0" w:rsidRPr="00742A04">
        <w:t xml:space="preserve">. Las mujeres </w:t>
      </w:r>
      <w:r w:rsidR="00CE5A7F" w:rsidRPr="00742A04">
        <w:t xml:space="preserve">no </w:t>
      </w:r>
      <w:r w:rsidR="00605079" w:rsidRPr="00742A04">
        <w:t>están obligadas a hacerlo</w:t>
      </w:r>
      <w:r w:rsidR="00545D1B" w:rsidRPr="00742A04">
        <w:t xml:space="preserve">. </w:t>
      </w:r>
      <w:r w:rsidR="005E6948" w:rsidRPr="00742A04">
        <w:t>El sector de defensa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5E6948" w:rsidRPr="00742A04">
        <w:t>un sector en que predominan los ho</w:t>
      </w:r>
      <w:r w:rsidR="005E6948" w:rsidRPr="00742A04">
        <w:t>m</w:t>
      </w:r>
      <w:r w:rsidR="005E6948" w:rsidRPr="00742A04">
        <w:t>bres</w:t>
      </w:r>
      <w:r w:rsidR="00545D1B" w:rsidRPr="00742A04">
        <w:t xml:space="preserve"> </w:t>
      </w:r>
      <w:r w:rsidR="00BB4DB1" w:rsidRPr="00742A04">
        <w:t xml:space="preserve">y 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515FC" w:rsidRPr="00742A04">
        <w:t>Defensa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6948" w:rsidRPr="00742A04">
        <w:t>las fuerzas de defensa</w:t>
      </w:r>
      <w:r w:rsidR="00545D1B" w:rsidRPr="00742A04">
        <w:t xml:space="preserve"> </w:t>
      </w:r>
      <w:r w:rsidR="00310E39" w:rsidRPr="00742A04">
        <w:t>tienen la intención de</w:t>
      </w:r>
      <w:r w:rsidR="00EA6AC2" w:rsidRPr="00742A04">
        <w:t xml:space="preserve"> pr</w:t>
      </w:r>
      <w:r w:rsidR="00EA6AC2" w:rsidRPr="00742A04">
        <w:t>o</w:t>
      </w:r>
      <w:r w:rsidR="00EA6AC2" w:rsidRPr="00742A04">
        <w:t xml:space="preserve">mover </w:t>
      </w:r>
      <w:r w:rsidR="00310E39" w:rsidRPr="00742A04">
        <w:t>la</w:t>
      </w:r>
      <w:r w:rsidR="00545D1B" w:rsidRPr="00742A04">
        <w:t xml:space="preserve"> </w:t>
      </w:r>
      <w:r w:rsidR="002E5047" w:rsidRPr="00742A04">
        <w:t>contratación</w:t>
      </w:r>
      <w:r w:rsidR="00545D1B" w:rsidRPr="00742A04">
        <w:t xml:space="preserve"> </w:t>
      </w:r>
      <w:r w:rsidR="004D313C" w:rsidRPr="00742A04">
        <w:t xml:space="preserve">de </w:t>
      </w:r>
      <w:r w:rsidR="00310E39" w:rsidRPr="00742A04">
        <w:t>una mayor cantidad de</w:t>
      </w:r>
      <w:r w:rsidR="004D313C" w:rsidRPr="00742A04">
        <w:t xml:space="preserve"> mujeres</w:t>
      </w:r>
      <w:r w:rsidR="00545D1B" w:rsidRPr="00742A04">
        <w:t xml:space="preserve"> </w:t>
      </w:r>
      <w:r w:rsidR="00310E39" w:rsidRPr="00742A04">
        <w:t>en</w:t>
      </w:r>
      <w:r w:rsidR="00545D1B" w:rsidRPr="00742A04">
        <w:t xml:space="preserve"> </w:t>
      </w:r>
      <w:r w:rsidR="00310E39" w:rsidRPr="00742A04">
        <w:t>las fuerzas armadas</w:t>
      </w:r>
      <w:r w:rsidR="00545D1B" w:rsidRPr="00742A04">
        <w:t xml:space="preserve"> </w:t>
      </w:r>
      <w:r w:rsidR="00BB4DB1" w:rsidRPr="00742A04">
        <w:t xml:space="preserve">y 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515FC" w:rsidRPr="00742A04">
        <w:t>Defensa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310E39" w:rsidRPr="00742A04">
        <w:t xml:space="preserve">puestos de carácter </w:t>
      </w:r>
      <w:r w:rsidR="00545D1B" w:rsidRPr="00742A04">
        <w:t xml:space="preserve">general </w:t>
      </w:r>
      <w:r w:rsidR="00877AA0" w:rsidRPr="00742A04">
        <w:t>y</w:t>
      </w:r>
      <w:r w:rsidR="00545D1B" w:rsidRPr="00742A04">
        <w:t xml:space="preserve"> </w:t>
      </w:r>
      <w:r w:rsidR="007C3856" w:rsidRPr="00742A04">
        <w:t>especialmente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B42B1" w:rsidRPr="00742A04">
        <w:t>puestos de conducción</w:t>
      </w:r>
      <w:r w:rsidR="00545D1B" w:rsidRPr="00742A04">
        <w:t xml:space="preserve">. </w:t>
      </w:r>
      <w:r w:rsidR="00310E39" w:rsidRPr="00742A04">
        <w:t>T</w:t>
      </w:r>
      <w:r w:rsidR="0030626A" w:rsidRPr="00742A04">
        <w:t>ambién</w:t>
      </w:r>
      <w:r w:rsidR="00545D1B" w:rsidRPr="00742A04">
        <w:t xml:space="preserve"> </w:t>
      </w:r>
      <w:r w:rsidR="00310E39" w:rsidRPr="00742A04">
        <w:t>tienen la intención</w:t>
      </w:r>
      <w:r w:rsidR="00545D1B" w:rsidRPr="00742A04">
        <w:t xml:space="preserve"> </w:t>
      </w:r>
      <w:r w:rsidR="00310E39" w:rsidRPr="00742A04">
        <w:t xml:space="preserve">de </w:t>
      </w:r>
      <w:r w:rsidR="00545D1B" w:rsidRPr="00742A04">
        <w:t>ret</w:t>
      </w:r>
      <w:r w:rsidR="00310E39" w:rsidRPr="00742A04">
        <w:t>ener al</w:t>
      </w:r>
      <w:r w:rsidR="000220D6" w:rsidRPr="00742A04">
        <w:t xml:space="preserve"> </w:t>
      </w:r>
      <w:r w:rsidR="00BE7BDF" w:rsidRPr="00742A04">
        <w:t>personal de sexo femenino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8E38BC" w:rsidRPr="00742A04">
        <w:t>han</w:t>
      </w:r>
      <w:r w:rsidR="00545D1B" w:rsidRPr="00742A04">
        <w:t xml:space="preserve"> </w:t>
      </w:r>
      <w:r w:rsidR="00894371" w:rsidRPr="00742A04">
        <w:t>contratado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31D97" w:rsidRPr="00742A04">
        <w:t>asegurar que</w:t>
      </w:r>
      <w:r w:rsidR="00545D1B" w:rsidRPr="00742A04">
        <w:t xml:space="preserve"> </w:t>
      </w:r>
      <w:r w:rsidR="00310E39" w:rsidRPr="00742A04">
        <w:t>tenga</w:t>
      </w:r>
      <w:r w:rsidR="00545D1B" w:rsidRPr="00742A04">
        <w:t xml:space="preserve"> </w:t>
      </w:r>
      <w:r w:rsidR="00A05847" w:rsidRPr="00742A04">
        <w:t>igualdad de oportunidades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10E39" w:rsidRPr="00742A04">
        <w:t>el desarr</w:t>
      </w:r>
      <w:r w:rsidR="00310E39" w:rsidRPr="00742A04">
        <w:t>o</w:t>
      </w:r>
      <w:r w:rsidR="00310E39" w:rsidRPr="00742A04">
        <w:t>llo de la carrera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0A5430" w:rsidRPr="00742A04">
        <w:t>el caso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 </w:t>
      </w:r>
      <w:r w:rsidR="00310E39" w:rsidRPr="00742A04">
        <w:t>militares de</w:t>
      </w:r>
      <w:r w:rsidR="00545D1B" w:rsidRPr="00742A04">
        <w:t xml:space="preserve"> </w:t>
      </w:r>
      <w:r w:rsidR="005E6948" w:rsidRPr="00742A04">
        <w:t>las fuerzas de defensa</w:t>
      </w:r>
      <w:r w:rsidR="00545D1B" w:rsidRPr="00742A04">
        <w:t xml:space="preserve"> (</w:t>
      </w:r>
      <w:r w:rsidR="00BB4DB1" w:rsidRPr="00742A04">
        <w:t xml:space="preserve">y 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515FC" w:rsidRPr="00742A04">
        <w:t>Defensa</w:t>
      </w:r>
      <w:r w:rsidR="00545D1B" w:rsidRPr="00742A04">
        <w:t xml:space="preserve">), </w:t>
      </w:r>
      <w:r w:rsidR="00310E39" w:rsidRPr="00742A04">
        <w:t>el objetivo inic</w:t>
      </w:r>
      <w:r w:rsidR="00545D1B" w:rsidRPr="00742A04">
        <w:t xml:space="preserve">ial </w:t>
      </w:r>
      <w:r w:rsidR="00BB4DB1" w:rsidRPr="00742A04">
        <w:t>es</w:t>
      </w:r>
      <w:r w:rsidR="00545D1B" w:rsidRPr="00742A04">
        <w:t xml:space="preserve"> </w:t>
      </w:r>
      <w:r w:rsidR="00310E39" w:rsidRPr="00742A04">
        <w:t>llegar a un</w:t>
      </w:r>
      <w:r w:rsidR="00545D1B" w:rsidRPr="00742A04">
        <w:t xml:space="preserve"> 7</w:t>
      </w:r>
      <w:r w:rsidR="001167D2" w:rsidRPr="00742A04">
        <w:t>%</w:t>
      </w:r>
      <w:r w:rsidR="00545D1B" w:rsidRPr="00742A04">
        <w:t xml:space="preserve"> </w:t>
      </w:r>
      <w:r w:rsidR="00310E39" w:rsidRPr="00742A04">
        <w:t xml:space="preserve">de </w:t>
      </w:r>
      <w:r w:rsidR="00072AD7" w:rsidRPr="00742A04">
        <w:t>mujeres</w:t>
      </w:r>
      <w:r w:rsidR="00545D1B" w:rsidRPr="00742A04">
        <w:t xml:space="preserve">. </w:t>
      </w:r>
      <w:r w:rsidR="00310E39" w:rsidRPr="00742A04">
        <w:t>Para co</w:t>
      </w:r>
      <w:r w:rsidR="00310E39" w:rsidRPr="00742A04">
        <w:t>n</w:t>
      </w:r>
      <w:r w:rsidR="00310E39" w:rsidRPr="00742A04">
        <w:t>tribuir a ello se han aplicado m</w:t>
      </w:r>
      <w:r w:rsidR="00CE7870" w:rsidRPr="00742A04">
        <w:t>u</w:t>
      </w:r>
      <w:r w:rsidR="00310E39" w:rsidRPr="00742A04">
        <w:t>cha</w:t>
      </w:r>
      <w:r w:rsidR="00CE7870" w:rsidRPr="00742A04">
        <w:t>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, </w:t>
      </w:r>
      <w:r w:rsidR="00310E39" w:rsidRPr="00742A04">
        <w:t xml:space="preserve">entre ellas, el establecimiento de una capacitación básica </w:t>
      </w:r>
      <w:r w:rsidR="00545D1B" w:rsidRPr="00742A04">
        <w:t>voluntar</w:t>
      </w:r>
      <w:r w:rsidR="00310E39" w:rsidRPr="00742A04">
        <w:t>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242371" w:rsidRPr="00742A04">
        <w:t>encaminadas a</w:t>
      </w:r>
      <w:r w:rsidR="00545D1B" w:rsidRPr="00742A04">
        <w:t xml:space="preserve"> </w:t>
      </w:r>
      <w:r w:rsidR="00310E39" w:rsidRPr="00742A04">
        <w:t xml:space="preserve">mejorar la </w:t>
      </w:r>
      <w:r w:rsidR="00EC711A" w:rsidRPr="00742A04">
        <w:t xml:space="preserve">planificación </w:t>
      </w:r>
      <w:r w:rsidR="00310E39" w:rsidRPr="00742A04">
        <w:t>de la</w:t>
      </w:r>
      <w:r w:rsidR="00545D1B" w:rsidRPr="00742A04">
        <w:t xml:space="preserve"> </w:t>
      </w:r>
      <w:r w:rsidR="005C6D40" w:rsidRPr="00742A04">
        <w:t>carrera</w:t>
      </w:r>
      <w:r w:rsidR="00545D1B" w:rsidRPr="00742A04">
        <w:t xml:space="preserve"> (</w:t>
      </w:r>
      <w:r w:rsidR="00EC711A" w:rsidRPr="00742A04">
        <w:t>lo cual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vita</w:t>
      </w:r>
      <w:r w:rsidR="005F7B32" w:rsidRPr="00742A04">
        <w:t xml:space="preserve">lmente </w:t>
      </w:r>
      <w:r w:rsidR="00AE7B93" w:rsidRPr="00742A04">
        <w:t>importante</w:t>
      </w:r>
      <w:r w:rsidR="00545D1B" w:rsidRPr="00742A04">
        <w:t xml:space="preserve"> </w:t>
      </w:r>
      <w:r w:rsidR="00EC711A" w:rsidRPr="00742A04">
        <w:t>para permitir que el</w:t>
      </w:r>
      <w:r w:rsidR="00545D1B" w:rsidRPr="00742A04">
        <w:t xml:space="preserve"> </w:t>
      </w:r>
      <w:r w:rsidR="00E573DD" w:rsidRPr="00742A04">
        <w:t>personal</w:t>
      </w:r>
      <w:r w:rsidR="00545D1B" w:rsidRPr="00742A04">
        <w:t xml:space="preserve"> combine </w:t>
      </w:r>
      <w:r w:rsidR="00EC711A" w:rsidRPr="00742A04">
        <w:t>l</w:t>
      </w:r>
      <w:r w:rsidR="00545D1B" w:rsidRPr="00742A04">
        <w:t xml:space="preserve">a </w:t>
      </w:r>
      <w:r w:rsidR="005C6D40" w:rsidRPr="00742A04">
        <w:t>carrera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C711A" w:rsidRPr="00742A04">
        <w:t>l</w:t>
      </w:r>
      <w:r w:rsidR="00545D1B" w:rsidRPr="00742A04">
        <w:t xml:space="preserve">a </w:t>
      </w:r>
      <w:r w:rsidR="005C6D40" w:rsidRPr="00742A04">
        <w:t>familia</w:t>
      </w:r>
      <w:r w:rsidR="00EC711A" w:rsidRPr="00742A04">
        <w:t>)</w:t>
      </w:r>
      <w:r w:rsidR="00545D1B" w:rsidRPr="00742A04">
        <w:t xml:space="preserve">.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10E39" w:rsidRPr="00742A04">
        <w:t>las fuerzas armadas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EC711A" w:rsidRPr="00742A04">
        <w:t>del 5,</w:t>
      </w:r>
      <w:r w:rsidR="00545D1B" w:rsidRPr="00742A04">
        <w:t>05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2004. </w:t>
      </w:r>
      <w:r w:rsidR="004A0730" w:rsidRPr="00742A04">
        <w:t>En</w:t>
      </w:r>
      <w:r w:rsidR="00545D1B" w:rsidRPr="00742A04">
        <w:t xml:space="preserve">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515FC" w:rsidRPr="00742A04">
        <w:t>Defensa</w:t>
      </w:r>
      <w:r w:rsidR="00EC711A" w:rsidRPr="00742A04">
        <w:t>, el</w:t>
      </w:r>
      <w:r w:rsidR="00545D1B" w:rsidRPr="00742A04">
        <w:t xml:space="preserve"> 29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C711A" w:rsidRPr="00742A04">
        <w:t>los funci</w:t>
      </w:r>
      <w:r w:rsidR="00EC711A" w:rsidRPr="00742A04">
        <w:t>o</w:t>
      </w:r>
      <w:r w:rsidR="00EC711A" w:rsidRPr="00742A04">
        <w:t>narios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EC711A" w:rsidRPr="00742A04">
        <w:t>La</w:t>
      </w:r>
      <w:r w:rsidR="00545D1B" w:rsidRPr="00742A04">
        <w:t xml:space="preserve"> </w:t>
      </w:r>
      <w:r w:rsidR="00EC711A" w:rsidRPr="00742A04">
        <w:t>desigual distribución</w:t>
      </w:r>
      <w:r w:rsidR="00537384" w:rsidRPr="00742A04">
        <w:t xml:space="preserve"> de género</w:t>
      </w:r>
      <w:r w:rsidR="00C14BFF" w:rsidRPr="00742A04">
        <w:t xml:space="preserve"> en</w:t>
      </w:r>
      <w:r w:rsidR="00545D1B" w:rsidRPr="00742A04">
        <w:t xml:space="preserve"> </w:t>
      </w:r>
      <w:r w:rsidR="004A0730" w:rsidRPr="00742A04">
        <w:t>el Ministerio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894371" w:rsidRPr="00742A04">
        <w:t>notoria</w:t>
      </w:r>
      <w:r w:rsidR="00EC711A" w:rsidRPr="00742A04">
        <w:t xml:space="preserve"> en el nivel superior</w:t>
      </w:r>
      <w:r w:rsidR="00545D1B" w:rsidRPr="00742A04">
        <w:t xml:space="preserve">, </w:t>
      </w:r>
      <w:r w:rsidR="00056EF1" w:rsidRPr="00742A04">
        <w:t xml:space="preserve">en </w:t>
      </w:r>
      <w:r w:rsidR="00EC711A" w:rsidRPr="00742A04">
        <w:t>el cual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EC711A" w:rsidRPr="00742A04">
        <w:t xml:space="preserve">del </w:t>
      </w:r>
      <w:r w:rsidR="00545D1B" w:rsidRPr="00742A04">
        <w:t>13</w:t>
      </w:r>
      <w:r w:rsidR="001167D2" w:rsidRPr="00742A04">
        <w:t>%</w:t>
      </w:r>
      <w:r w:rsidR="00545D1B" w:rsidRPr="00742A04">
        <w:t xml:space="preserve">, </w:t>
      </w:r>
      <w:r w:rsidR="003C5A2B" w:rsidRPr="00742A04">
        <w:t>dos</w:t>
      </w:r>
      <w:r w:rsidR="00545D1B" w:rsidRPr="00742A04">
        <w:t xml:space="preserve"> </w:t>
      </w:r>
      <w:r w:rsidR="001D532F" w:rsidRPr="00742A04">
        <w:t>puntos</w:t>
      </w:r>
      <w:r w:rsidR="001F6F1A" w:rsidRPr="00742A04">
        <w:t xml:space="preserve"> porcentuales</w:t>
      </w:r>
      <w:r w:rsidR="00545D1B" w:rsidRPr="00742A04">
        <w:t xml:space="preserve"> </w:t>
      </w:r>
      <w:r w:rsidR="00EC711A" w:rsidRPr="00742A04">
        <w:t>menos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2002 </w:t>
      </w:r>
      <w:r w:rsidR="00877AA0" w:rsidRPr="00742A04">
        <w:t>y</w:t>
      </w:r>
      <w:r w:rsidR="00545D1B" w:rsidRPr="00742A04">
        <w:t xml:space="preserve"> 2003</w:t>
      </w:r>
      <w:r w:rsidR="000A08D8" w:rsidRPr="00742A04">
        <w:t>.</w:t>
      </w:r>
    </w:p>
    <w:p w:rsidR="00545D1B" w:rsidRPr="00742A04" w:rsidRDefault="00DA6B7C" w:rsidP="00D574C4">
      <w:pPr>
        <w:pStyle w:val="SingleTxt"/>
        <w:ind w:firstLine="475"/>
      </w:pPr>
      <w:r w:rsidRPr="00742A04">
        <w:t xml:space="preserve">Las directrices de </w:t>
      </w:r>
      <w:r w:rsidR="00B2334F" w:rsidRPr="00742A04">
        <w:t>política de personal</w:t>
      </w:r>
      <w:r w:rsidR="00545D1B" w:rsidRPr="00742A04">
        <w:t xml:space="preserve"> </w:t>
      </w:r>
      <w:r w:rsidRPr="00742A04">
        <w:t>centran la atención</w:t>
      </w:r>
      <w:r w:rsidR="00545D1B" w:rsidRPr="00742A04">
        <w:t xml:space="preserve"> </w:t>
      </w:r>
      <w:r w:rsidR="0077058E" w:rsidRPr="00742A04">
        <w:t>en la igualdad</w:t>
      </w:r>
      <w:r w:rsidR="00A05847" w:rsidRPr="00742A04">
        <w:t xml:space="preserve"> de género</w:t>
      </w:r>
      <w:r w:rsidR="00545D1B" w:rsidRPr="00742A04">
        <w:t>.</w:t>
      </w:r>
      <w:r w:rsidR="001167D2" w:rsidRPr="00742A04">
        <w:t xml:space="preserve"> </w:t>
      </w:r>
      <w:r w:rsidRPr="00742A04">
        <w:t>E</w:t>
      </w:r>
      <w:r w:rsidR="001167D2" w:rsidRPr="00742A04">
        <w:t xml:space="preserve">l </w:t>
      </w:r>
      <w:r w:rsidR="004A0730" w:rsidRPr="00742A04">
        <w:t>Ministerio</w:t>
      </w:r>
      <w:r w:rsidR="00545D1B" w:rsidRPr="00742A04">
        <w:t xml:space="preserve"> </w:t>
      </w:r>
      <w:r w:rsidRPr="00742A04">
        <w:t>convoca a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entrevistarlas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C65B3" w:rsidRPr="00742A04">
        <w:t>nuev</w:t>
      </w:r>
      <w:r w:rsidRPr="00742A04">
        <w:t>os</w:t>
      </w:r>
      <w:r w:rsidR="00545D1B" w:rsidRPr="00742A04">
        <w:t xml:space="preserve"> </w:t>
      </w:r>
      <w:r w:rsidR="002E5047" w:rsidRPr="00742A04">
        <w:t>nombramientos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357066" w:rsidRPr="00742A04">
        <w:t xml:space="preserve">el período </w:t>
      </w:r>
      <w:r w:rsidR="00545D1B" w:rsidRPr="00742A04">
        <w:t xml:space="preserve">2003-2004, </w:t>
      </w:r>
      <w:r w:rsidRPr="00742A04">
        <w:t xml:space="preserve">el </w:t>
      </w:r>
      <w:r w:rsidR="00545D1B" w:rsidRPr="00742A04">
        <w:t>43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los </w:t>
      </w:r>
      <w:r w:rsidR="00A223F4" w:rsidRPr="00742A04">
        <w:t>candidatos</w:t>
      </w:r>
      <w:r w:rsidRPr="00742A04">
        <w:t xml:space="preserve"> entrevistados</w:t>
      </w:r>
      <w:r w:rsidR="00545D1B" w:rsidRPr="00742A04">
        <w:t xml:space="preserve"> </w:t>
      </w:r>
      <w:r w:rsidRPr="00742A04">
        <w:t>fuero</w:t>
      </w:r>
      <w:r w:rsidR="00E73E8E" w:rsidRPr="00742A04">
        <w:t>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A60159" w:rsidRPr="00742A04">
        <w:t>cuatro</w:t>
      </w:r>
      <w:r w:rsidR="00545D1B" w:rsidRPr="00742A04">
        <w:t xml:space="preserve"> </w:t>
      </w:r>
      <w:r w:rsidR="004A3F50" w:rsidRPr="00742A04">
        <w:t>de cada</w:t>
      </w:r>
      <w:r w:rsidR="00545D1B" w:rsidRPr="00742A04">
        <w:t xml:space="preserve"> </w:t>
      </w:r>
      <w:r w:rsidR="00DD41C2" w:rsidRPr="00742A04">
        <w:t>siete</w:t>
      </w:r>
      <w:r w:rsidR="00545D1B" w:rsidRPr="00742A04">
        <w:t xml:space="preserve"> </w:t>
      </w:r>
      <w:r w:rsidR="002E5047" w:rsidRPr="00742A04">
        <w:t>nombramientos</w:t>
      </w:r>
      <w:r w:rsidR="00B05988" w:rsidRPr="00742A04">
        <w:t xml:space="preserve"> </w:t>
      </w:r>
      <w:r w:rsidR="00357066" w:rsidRPr="00742A04">
        <w:t>e</w:t>
      </w:r>
      <w:r w:rsidR="00B05988" w:rsidRPr="00742A04">
        <w:t xml:space="preserve">n </w:t>
      </w:r>
      <w:r w:rsidR="00357066" w:rsidRPr="00742A04">
        <w:t xml:space="preserve">puestos </w:t>
      </w:r>
      <w:r w:rsidR="00B05988" w:rsidRPr="00742A04">
        <w:t>nuevo</w:t>
      </w:r>
      <w:r w:rsidR="00545D1B" w:rsidRPr="00742A04">
        <w:t xml:space="preserve">s </w:t>
      </w:r>
      <w:r w:rsidR="00357066" w:rsidRPr="00742A04">
        <w:t>fu</w:t>
      </w:r>
      <w:r w:rsidR="00E73E8E" w:rsidRPr="00742A04">
        <w:t>er</w:t>
      </w:r>
      <w:r w:rsidR="00357066" w:rsidRPr="00742A04">
        <w:t>o</w:t>
      </w:r>
      <w:r w:rsidR="00E73E8E" w:rsidRPr="00742A04">
        <w:t>n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. </w:t>
      </w:r>
      <w:r w:rsidR="00537384" w:rsidRPr="00742A04">
        <w:t>Las cifras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57066" w:rsidRPr="00742A04">
        <w:t xml:space="preserve">el período </w:t>
      </w:r>
      <w:r w:rsidR="00545D1B" w:rsidRPr="00742A04">
        <w:t xml:space="preserve">2004-2005 </w:t>
      </w:r>
      <w:r w:rsidR="00ED6A69" w:rsidRPr="00742A04">
        <w:t>indican que</w:t>
      </w:r>
      <w:r w:rsidR="00545D1B" w:rsidRPr="00742A04">
        <w:t xml:space="preserve"> </w:t>
      </w:r>
      <w:r w:rsidR="00357066" w:rsidRPr="00742A04">
        <w:t xml:space="preserve">el </w:t>
      </w:r>
      <w:r w:rsidR="00545D1B" w:rsidRPr="00742A04">
        <w:t>70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57066" w:rsidRPr="00742A04">
        <w:t>los entrevistados</w:t>
      </w:r>
      <w:r w:rsidR="00545D1B" w:rsidRPr="00742A04">
        <w:t xml:space="preserve"> </w:t>
      </w:r>
      <w:r w:rsidR="00357066" w:rsidRPr="00742A04">
        <w:t>fuero</w:t>
      </w:r>
      <w:r w:rsidR="00E73E8E" w:rsidRPr="00742A04">
        <w:t>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A5364F" w:rsidRPr="00742A04">
        <w:t>cinco</w:t>
      </w:r>
      <w:r w:rsidR="00545D1B" w:rsidRPr="00742A04">
        <w:t xml:space="preserve"> </w:t>
      </w:r>
      <w:r w:rsidR="004A3F50" w:rsidRPr="00742A04">
        <w:t>de cada</w:t>
      </w:r>
      <w:r w:rsidR="00545D1B" w:rsidRPr="00742A04">
        <w:t xml:space="preserve"> </w:t>
      </w:r>
      <w:r w:rsidR="00DD41C2" w:rsidRPr="00742A04">
        <w:t>seis</w:t>
      </w:r>
      <w:r w:rsidR="00545D1B" w:rsidRPr="00742A04">
        <w:t xml:space="preserve"> </w:t>
      </w:r>
      <w:r w:rsidR="007C65B3" w:rsidRPr="00742A04">
        <w:t>nuev</w:t>
      </w:r>
      <w:r w:rsidR="00357066" w:rsidRPr="00742A04">
        <w:t>os</w:t>
      </w:r>
      <w:r w:rsidR="00545D1B" w:rsidRPr="00742A04">
        <w:t xml:space="preserve"> </w:t>
      </w:r>
      <w:r w:rsidR="00A223F4" w:rsidRPr="00742A04">
        <w:t>candidatos</w:t>
      </w:r>
      <w:r w:rsidR="00545D1B" w:rsidRPr="00742A04">
        <w:t xml:space="preserve"> </w:t>
      </w:r>
      <w:r w:rsidR="00357066" w:rsidRPr="00742A04">
        <w:t>designados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515FC" w:rsidRPr="00742A04">
        <w:t>Defensa</w:t>
      </w:r>
      <w:r w:rsidR="00545D1B" w:rsidRPr="00742A04">
        <w:t xml:space="preserve"> </w:t>
      </w:r>
      <w:r w:rsidR="00357066" w:rsidRPr="00742A04">
        <w:t>fuero</w:t>
      </w:r>
      <w:r w:rsidR="00E73E8E" w:rsidRPr="00742A04">
        <w:t>n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>.</w:t>
      </w:r>
    </w:p>
    <w:p w:rsidR="00545D1B" w:rsidRPr="00742A04" w:rsidRDefault="00BA5ABE" w:rsidP="00A6261B">
      <w:pPr>
        <w:pStyle w:val="SingleTxt"/>
        <w:keepNext/>
        <w:jc w:val="left"/>
        <w:rPr>
          <w:i/>
        </w:rPr>
      </w:pPr>
      <w:r w:rsidRPr="00742A04">
        <w:rPr>
          <w:i/>
        </w:rPr>
        <w:t>M</w:t>
      </w:r>
      <w:r w:rsidR="00A6261B" w:rsidRPr="00742A04">
        <w:rPr>
          <w:i/>
        </w:rPr>
        <w:t>ayor cantidad de funcionarios ejecutivos principales</w:t>
      </w:r>
      <w:r w:rsidR="00A6261B" w:rsidRPr="00742A04">
        <w:rPr>
          <w:i/>
        </w:rPr>
        <w:br/>
        <w:t>de sexo femenino en las</w:t>
      </w:r>
      <w:r w:rsidR="00545D1B" w:rsidRPr="00742A04">
        <w:rPr>
          <w:i/>
        </w:rPr>
        <w:t xml:space="preserve"> </w:t>
      </w:r>
      <w:r w:rsidR="0056679F" w:rsidRPr="00742A04">
        <w:rPr>
          <w:i/>
        </w:rPr>
        <w:t>aut</w:t>
      </w:r>
      <w:r w:rsidR="0056679F" w:rsidRPr="00742A04">
        <w:rPr>
          <w:i/>
        </w:rPr>
        <w:t>o</w:t>
      </w:r>
      <w:r w:rsidR="0056679F" w:rsidRPr="00742A04">
        <w:rPr>
          <w:i/>
        </w:rPr>
        <w:t>ridades</w:t>
      </w:r>
      <w:r w:rsidR="00A6261B" w:rsidRPr="00742A04">
        <w:rPr>
          <w:i/>
        </w:rPr>
        <w:t xml:space="preserve"> municipales</w:t>
      </w:r>
    </w:p>
    <w:p w:rsidR="00545D1B" w:rsidRPr="00742A04" w:rsidRDefault="00A6261B" w:rsidP="00D574C4">
      <w:pPr>
        <w:pStyle w:val="SingleTxt"/>
        <w:ind w:firstLine="475"/>
      </w:pPr>
      <w:r w:rsidRPr="00742A04">
        <w:t>Só</w:t>
      </w:r>
      <w:r w:rsidR="00A836A1" w:rsidRPr="00742A04">
        <w:t>lo</w:t>
      </w:r>
      <w:r w:rsidR="00545D1B" w:rsidRPr="00742A04">
        <w:t xml:space="preserve"> </w:t>
      </w:r>
      <w:r w:rsidR="00044234" w:rsidRPr="00742A04">
        <w:t xml:space="preserve">el </w:t>
      </w:r>
      <w:r w:rsidR="00545D1B" w:rsidRPr="00742A04">
        <w:t>12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44234" w:rsidRPr="00742A04">
        <w:t>los puestos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44234" w:rsidRPr="00742A04">
        <w:t>f</w:t>
      </w:r>
      <w:r w:rsidRPr="00742A04">
        <w:t>uncionario ejecutivo principal</w:t>
      </w:r>
      <w:r w:rsidR="00545D1B" w:rsidRPr="00742A04">
        <w:t xml:space="preserve"> </w:t>
      </w:r>
      <w:r w:rsidR="00044234" w:rsidRPr="00742A04">
        <w:t xml:space="preserve">eran mujeres </w:t>
      </w:r>
      <w:r w:rsidR="00C14BFF" w:rsidRPr="00742A04">
        <w:t>en</w:t>
      </w:r>
      <w:r w:rsidR="00545D1B" w:rsidRPr="00742A04">
        <w:t xml:space="preserve"> 2003. </w:t>
      </w:r>
      <w:r w:rsidR="00044234" w:rsidRPr="00742A04">
        <w:t>Mediante el</w:t>
      </w:r>
      <w:r w:rsidR="00545D1B" w:rsidRPr="00742A04">
        <w:t xml:space="preserve"> </w:t>
      </w:r>
      <w:r w:rsidR="00044234" w:rsidRPr="00742A04">
        <w:t>p</w:t>
      </w:r>
      <w:r w:rsidR="00C938AE" w:rsidRPr="00742A04">
        <w:t>royecto de investigación y desarrollo</w:t>
      </w:r>
      <w:r w:rsidR="00545D1B" w:rsidRPr="00742A04">
        <w:t xml:space="preserve"> </w:t>
      </w:r>
      <w:r w:rsidR="00545D1B" w:rsidRPr="00742A04">
        <w:rPr>
          <w:i/>
        </w:rPr>
        <w:t>Gjennomslag – kvinner i kommunal toppledelse</w:t>
      </w:r>
      <w:r w:rsidR="00545D1B" w:rsidRPr="00742A04">
        <w:t xml:space="preserve"> (</w:t>
      </w:r>
      <w:r w:rsidR="00044234" w:rsidRPr="00742A04">
        <w:t>“Gran paso adelante</w:t>
      </w:r>
      <w:r w:rsidR="00545D1B" w:rsidRPr="00742A04">
        <w:t xml:space="preserve"> –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C62F9" w:rsidRPr="00742A04">
        <w:t>puestos superiores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43124" w:rsidRPr="00742A04">
        <w:t>las municipalidades</w:t>
      </w:r>
      <w:r w:rsidR="00044234" w:rsidRPr="00742A04">
        <w:t>”</w:t>
      </w:r>
      <w:r w:rsidR="00545D1B" w:rsidRPr="00742A04">
        <w:t>)</w:t>
      </w:r>
      <w:r w:rsidR="00044234" w:rsidRPr="00742A04">
        <w:t>, llevado a cabo</w:t>
      </w:r>
      <w:r w:rsidR="00545D1B" w:rsidRPr="00742A04">
        <w:t xml:space="preserve"> </w:t>
      </w:r>
      <w:r w:rsidR="002213CF" w:rsidRPr="00742A04">
        <w:t>bajo los auspicios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44234" w:rsidRPr="00742A04">
        <w:t>l</w:t>
      </w:r>
      <w:r w:rsidR="00B75B05" w:rsidRPr="00742A04">
        <w:t>a Asociación de Autorid</w:t>
      </w:r>
      <w:r w:rsidR="00B75B05" w:rsidRPr="00742A04">
        <w:t>a</w:t>
      </w:r>
      <w:r w:rsidR="00B75B05" w:rsidRPr="00742A04">
        <w:t xml:space="preserve">des Locales y </w:t>
      </w:r>
      <w:r w:rsidR="00FB41B0" w:rsidRPr="00742A04">
        <w:t>Regionales de</w:t>
      </w:r>
      <w:r w:rsidR="00B75B05" w:rsidRPr="00742A04">
        <w:t xml:space="preserve"> Noruega (KS)</w:t>
      </w:r>
      <w:r w:rsidR="00545D1B" w:rsidRPr="00742A04">
        <w:t xml:space="preserve">, </w:t>
      </w:r>
      <w:r w:rsidR="008E38BC" w:rsidRPr="00742A04">
        <w:t>se han</w:t>
      </w:r>
      <w:r w:rsidR="00545D1B" w:rsidRPr="00742A04">
        <w:t xml:space="preserve"> </w:t>
      </w:r>
      <w:r w:rsidR="00044234" w:rsidRPr="00742A04">
        <w:t>hecho esfuerzos por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44234" w:rsidRPr="00742A04">
        <w:t>puestos municipales superiores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2005 </w:t>
      </w:r>
      <w:r w:rsidR="00E73E8E" w:rsidRPr="00742A04">
        <w:t>la proporción de mujeres</w:t>
      </w:r>
      <w:r w:rsidR="00545D1B" w:rsidRPr="00742A04">
        <w:t xml:space="preserve"> </w:t>
      </w:r>
      <w:r w:rsidR="001A1368" w:rsidRPr="00742A04">
        <w:t>se había</w:t>
      </w:r>
      <w:r w:rsidR="00545D1B" w:rsidRPr="00742A04">
        <w:t xml:space="preserve"> </w:t>
      </w:r>
      <w:r w:rsidR="00AC1BF5" w:rsidRPr="00742A04">
        <w:t>increment</w:t>
      </w:r>
      <w:r w:rsidR="008F644C">
        <w:t>ado hasta llegar a</w:t>
      </w:r>
      <w:r w:rsidR="001A1368" w:rsidRPr="00742A04">
        <w:t>l</w:t>
      </w:r>
      <w:r w:rsidR="00FD7D4E" w:rsidRPr="00742A04">
        <w:t xml:space="preserve"> </w:t>
      </w:r>
      <w:r w:rsidR="00545D1B" w:rsidRPr="00742A04">
        <w:t>14</w:t>
      </w:r>
      <w:r w:rsidR="001167D2" w:rsidRPr="00742A04">
        <w:t>%</w:t>
      </w:r>
      <w:r w:rsidR="00545D1B" w:rsidRPr="00742A04">
        <w:t xml:space="preserve">. </w:t>
      </w:r>
      <w:r w:rsidR="001A1368" w:rsidRPr="00742A04">
        <w:t>E</w:t>
      </w:r>
      <w:r w:rsidR="00B306AA" w:rsidRPr="00742A04">
        <w:t>l objetivo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A1368" w:rsidRPr="00742A04">
        <w:t xml:space="preserve">ese </w:t>
      </w:r>
      <w:r w:rsidR="00100BD0" w:rsidRPr="00742A04">
        <w:t>proyecto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1A1368" w:rsidRPr="00742A04">
        <w:t>movilizar</w:t>
      </w:r>
      <w:r w:rsidR="00545D1B" w:rsidRPr="00742A04">
        <w:t xml:space="preserve"> </w:t>
      </w:r>
      <w:r w:rsidR="007C65B3" w:rsidRPr="00742A04">
        <w:t>nueva</w:t>
      </w:r>
      <w:r w:rsidR="001A1368" w:rsidRPr="00742A04">
        <w:t>s</w:t>
      </w:r>
      <w:r w:rsidR="00545D1B" w:rsidRPr="00742A04">
        <w:t xml:space="preserve"> </w:t>
      </w:r>
      <w:r w:rsidR="001A1368" w:rsidRPr="00742A04">
        <w:t xml:space="preserve">candidatas </w:t>
      </w:r>
      <w:r w:rsidR="000220D6" w:rsidRPr="00742A04">
        <w:t>de sexo femenino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C62F9" w:rsidRPr="00742A04">
        <w:t>puestos superiores</w:t>
      </w:r>
      <w:r w:rsidR="00545D1B" w:rsidRPr="00742A04">
        <w:t xml:space="preserve">, </w:t>
      </w:r>
      <w:r w:rsidR="006B65CD" w:rsidRPr="00742A04">
        <w:t>así como</w:t>
      </w:r>
      <w:r w:rsidR="00545D1B" w:rsidRPr="00742A04">
        <w:t xml:space="preserve"> </w:t>
      </w:r>
      <w:r w:rsidR="001A1368" w:rsidRPr="00742A04">
        <w:t>promover</w:t>
      </w:r>
      <w:r w:rsidR="00545D1B" w:rsidRPr="00742A04">
        <w:t xml:space="preserve"> </w:t>
      </w:r>
      <w:r w:rsidR="001A1368" w:rsidRPr="00742A04">
        <w:t xml:space="preserve">un </w:t>
      </w:r>
      <w:r w:rsidR="007C65B3" w:rsidRPr="00742A04">
        <w:t>nue</w:t>
      </w:r>
      <w:r w:rsidR="001A1368" w:rsidRPr="00742A04">
        <w:t>vo</w:t>
      </w:r>
      <w:r w:rsidR="00545D1B" w:rsidRPr="00742A04">
        <w:t xml:space="preserve"> </w:t>
      </w:r>
      <w:r w:rsidR="003E5775" w:rsidRPr="00742A04">
        <w:t>conocimiento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82243" w:rsidRPr="00742A04">
        <w:t xml:space="preserve">un mayor </w:t>
      </w:r>
      <w:r w:rsidR="00B31D97" w:rsidRPr="00742A04">
        <w:t>nivel de conciencia</w:t>
      </w:r>
      <w:r w:rsidR="00545D1B" w:rsidRPr="00742A04">
        <w:t xml:space="preserve"> </w:t>
      </w:r>
      <w:r w:rsidR="001A1368" w:rsidRPr="00742A04">
        <w:t xml:space="preserve">sobre el tema </w:t>
      </w:r>
      <w:r w:rsidR="004A0730" w:rsidRPr="00742A04">
        <w:t>de</w:t>
      </w:r>
      <w:r w:rsidR="001A1368" w:rsidRPr="00742A04">
        <w:t>l</w:t>
      </w:r>
      <w:r w:rsidR="00545D1B" w:rsidRPr="00742A04">
        <w:t xml:space="preserve"> </w:t>
      </w:r>
      <w:r w:rsidR="00A836A1" w:rsidRPr="00742A04">
        <w:t>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A1368" w:rsidRPr="00742A04">
        <w:t xml:space="preserve">los </w:t>
      </w:r>
      <w:r w:rsidR="006F4432" w:rsidRPr="00742A04">
        <w:t>puestos gerenciales</w:t>
      </w:r>
      <w:r w:rsidR="008A7280" w:rsidRPr="00742A04">
        <w:t xml:space="preserve"> superiores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75A9E" w:rsidRPr="00742A04">
        <w:t>el sector municipal</w:t>
      </w:r>
      <w:r w:rsidR="00545D1B" w:rsidRPr="00742A04">
        <w:t xml:space="preserve">. </w:t>
      </w:r>
      <w:r w:rsidR="002213CF" w:rsidRPr="00742A04">
        <w:t>El proyecto</w:t>
      </w:r>
      <w:r w:rsidR="00545D1B" w:rsidRPr="00742A04">
        <w:t xml:space="preserve"> </w:t>
      </w:r>
      <w:r w:rsidR="001A1368" w:rsidRPr="00742A04">
        <w:t>est</w:t>
      </w:r>
      <w:r w:rsidR="001A1368" w:rsidRPr="00742A04">
        <w:t>a</w:t>
      </w:r>
      <w:r w:rsidR="001A1368" w:rsidRPr="00742A04">
        <w:t xml:space="preserve">ba basado en el objetivo fundamental </w:t>
      </w:r>
      <w:r w:rsidR="004A0730" w:rsidRPr="00742A04">
        <w:t>de</w:t>
      </w:r>
      <w:r w:rsidR="00545D1B" w:rsidRPr="00742A04">
        <w:t xml:space="preserve"> </w:t>
      </w:r>
      <w:r w:rsidR="00F43124" w:rsidRPr="00742A04">
        <w:t>fortalecer</w:t>
      </w:r>
      <w:r w:rsidR="00545D1B" w:rsidRPr="00742A04">
        <w:t xml:space="preserve"> </w:t>
      </w:r>
      <w:r w:rsidR="001A1368" w:rsidRPr="00742A04">
        <w:t>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A1368" w:rsidRPr="00742A04">
        <w:t xml:space="preserve">la </w:t>
      </w:r>
      <w:r w:rsidR="005C19C7" w:rsidRPr="00742A04">
        <w:t>buena</w:t>
      </w:r>
      <w:r w:rsidR="001A1368" w:rsidRPr="00742A04">
        <w:t xml:space="preserve"> gestión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75A9E" w:rsidRPr="00742A04">
        <w:t>el sector municipal</w:t>
      </w:r>
      <w:r w:rsidR="00545D1B" w:rsidRPr="00742A04">
        <w:t xml:space="preserve"> </w:t>
      </w:r>
      <w:r w:rsidR="001A1368" w:rsidRPr="00742A04">
        <w:t>utilizando</w:t>
      </w:r>
      <w:r w:rsidR="00545D1B" w:rsidRPr="00742A04">
        <w:t xml:space="preserve"> </w:t>
      </w:r>
      <w:r w:rsidR="00DD5E1A" w:rsidRPr="00742A04">
        <w:t>la experiencia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>los recursos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A1368" w:rsidRPr="00742A04">
        <w:t>ambos sexos</w:t>
      </w:r>
      <w:r w:rsidR="00545D1B" w:rsidRPr="00742A04">
        <w:t>.</w:t>
      </w:r>
    </w:p>
    <w:p w:rsidR="00545D1B" w:rsidRPr="00742A04" w:rsidRDefault="00E44A9D" w:rsidP="002C4922">
      <w:pPr>
        <w:pStyle w:val="SingleTxt"/>
        <w:rPr>
          <w:i/>
        </w:rPr>
      </w:pPr>
      <w:r w:rsidRPr="00742A04">
        <w:rPr>
          <w:i/>
        </w:rPr>
        <w:t>Las mujeres</w:t>
      </w:r>
      <w:r w:rsidR="00545D1B" w:rsidRPr="00742A04">
        <w:rPr>
          <w:i/>
        </w:rPr>
        <w:t xml:space="preserve"> </w:t>
      </w:r>
      <w:r w:rsidR="001A1368" w:rsidRPr="00742A04">
        <w:rPr>
          <w:i/>
        </w:rPr>
        <w:t>en las</w:t>
      </w:r>
      <w:r w:rsidR="00545D1B" w:rsidRPr="00742A04">
        <w:rPr>
          <w:i/>
        </w:rPr>
        <w:t xml:space="preserve"> </w:t>
      </w:r>
      <w:r w:rsidR="00A836A1" w:rsidRPr="00742A04">
        <w:rPr>
          <w:i/>
        </w:rPr>
        <w:t>juntas</w:t>
      </w:r>
      <w:r w:rsidR="00545D1B" w:rsidRPr="00742A04">
        <w:rPr>
          <w:i/>
        </w:rPr>
        <w:t xml:space="preserve"> </w:t>
      </w:r>
      <w:r w:rsidR="004A0730" w:rsidRPr="00742A04">
        <w:rPr>
          <w:i/>
        </w:rPr>
        <w:t>de</w:t>
      </w:r>
      <w:r w:rsidR="00545D1B" w:rsidRPr="00742A04">
        <w:rPr>
          <w:i/>
        </w:rPr>
        <w:t xml:space="preserve"> </w:t>
      </w:r>
      <w:r w:rsidR="003922FC" w:rsidRPr="00742A04">
        <w:rPr>
          <w:i/>
        </w:rPr>
        <w:t>directores</w:t>
      </w:r>
    </w:p>
    <w:p w:rsidR="000A08D8" w:rsidRPr="00742A04" w:rsidRDefault="001A1368" w:rsidP="00D574C4">
      <w:pPr>
        <w:pStyle w:val="SingleTxt"/>
        <w:ind w:firstLine="475"/>
      </w:pPr>
      <w:r w:rsidRPr="00742A04">
        <w:t>En los últimos años se h</w:t>
      </w:r>
      <w:r w:rsidR="003A4F33" w:rsidRPr="00742A04">
        <w:t>a h</w:t>
      </w:r>
      <w:r w:rsidRPr="00742A04">
        <w:t>echo gran hincapié</w:t>
      </w:r>
      <w:r w:rsidR="005E6919" w:rsidRPr="00742A04">
        <w:t xml:space="preserve"> en</w:t>
      </w:r>
      <w:r w:rsidR="00545D1B" w:rsidRPr="00742A04">
        <w:t xml:space="preserve"> </w:t>
      </w:r>
      <w:r w:rsidR="00E542AA" w:rsidRPr="00742A04">
        <w:t>el incremento de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Pr="00742A04">
        <w:t>e</w:t>
      </w:r>
      <w:r w:rsidR="00545D1B" w:rsidRPr="00742A04">
        <w:t>n</w:t>
      </w:r>
      <w:r w:rsidRPr="00742A04">
        <w:t xml:space="preserve"> las</w:t>
      </w:r>
      <w:r w:rsidR="00545D1B" w:rsidRPr="00742A04">
        <w:t xml:space="preserve"> </w:t>
      </w:r>
      <w:r w:rsidR="00A836A1" w:rsidRPr="00742A04">
        <w:t>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22FC" w:rsidRPr="00742A04">
        <w:t>directores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CE1CFC" w:rsidRPr="00742A04">
        <w:t>diciembre de</w:t>
      </w:r>
      <w:r w:rsidR="00545D1B" w:rsidRPr="00742A04">
        <w:t xml:space="preserve"> 2003 </w:t>
      </w:r>
      <w:r w:rsidR="00BD47D3" w:rsidRPr="00742A04">
        <w:t>el Storting</w:t>
      </w:r>
      <w:r w:rsidR="00545D1B" w:rsidRPr="00742A04">
        <w:t xml:space="preserve"> </w:t>
      </w:r>
      <w:r w:rsidR="004D313C" w:rsidRPr="00742A04">
        <w:t>a</w:t>
      </w:r>
      <w:r w:rsidRPr="00742A04">
        <w:t>probó la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 xml:space="preserve"> </w:t>
      </w:r>
      <w:r w:rsidRPr="00742A04">
        <w:t xml:space="preserve">contenida </w:t>
      </w:r>
      <w:r w:rsidR="00F97F41" w:rsidRPr="00742A04">
        <w:t>en la Proposición</w:t>
      </w:r>
      <w:r w:rsidR="00C14BFF" w:rsidRPr="00742A04">
        <w:t xml:space="preserve"> </w:t>
      </w:r>
      <w:r w:rsidR="00F97F41" w:rsidRPr="00742A04">
        <w:t>N°</w:t>
      </w:r>
      <w:r w:rsidR="00545D1B" w:rsidRPr="00742A04">
        <w:t xml:space="preserve"> 97 (2002-2003) </w:t>
      </w:r>
      <w:r w:rsidR="00AA607E" w:rsidRPr="00742A04">
        <w:t xml:space="preserve">dirigida </w:t>
      </w:r>
      <w:r w:rsidR="003C25BF" w:rsidRPr="00742A04">
        <w:t>al Odelsting</w:t>
      </w:r>
      <w:r w:rsidR="00AA607E" w:rsidRPr="00742A04">
        <w:t>, de que se establecieran</w:t>
      </w:r>
      <w:r w:rsidR="00545D1B" w:rsidRPr="00742A04">
        <w:t xml:space="preserve"> </w:t>
      </w:r>
      <w:r w:rsidR="00802868" w:rsidRPr="00742A04">
        <w:t>normas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A607E" w:rsidRPr="00742A04">
        <w:t xml:space="preserve">las </w:t>
      </w:r>
      <w:r w:rsidR="009A12C2" w:rsidRPr="00742A04">
        <w:t>sociedades anónimas de participación abierta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C65B3" w:rsidRPr="00742A04">
        <w:t>propietario</w:t>
      </w:r>
      <w:r w:rsidR="00545D1B" w:rsidRPr="00742A04">
        <w:t xml:space="preserve">s </w:t>
      </w:r>
      <w:r w:rsidR="009A12C2" w:rsidRPr="00742A04">
        <w:t>privados exigiendo que en las</w:t>
      </w:r>
      <w:r w:rsidR="00545D1B" w:rsidRPr="00742A04">
        <w:t xml:space="preserve"> </w:t>
      </w:r>
      <w:r w:rsidR="00A836A1" w:rsidRPr="00742A04">
        <w:t>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22FC" w:rsidRPr="00742A04">
        <w:t>directores</w:t>
      </w:r>
      <w:r w:rsidR="00545D1B" w:rsidRPr="00742A04">
        <w:t xml:space="preserve"> </w:t>
      </w:r>
      <w:r w:rsidR="009A12C2" w:rsidRPr="00742A04">
        <w:t>hubiese una r</w:t>
      </w:r>
      <w:r w:rsidR="009A12C2" w:rsidRPr="00742A04">
        <w:t>e</w:t>
      </w:r>
      <w:r w:rsidR="009A12C2" w:rsidRPr="00742A04">
        <w:t>presentación mínima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="009A12C2" w:rsidRPr="00742A04">
        <w:t xml:space="preserve">el </w:t>
      </w:r>
      <w:r w:rsidR="00545D1B" w:rsidRPr="00742A04">
        <w:t>40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="00101B8C" w:rsidRPr="00742A04">
        <w:t>sexo</w:t>
      </w:r>
      <w:r w:rsidR="00545D1B" w:rsidRPr="00742A04">
        <w:t xml:space="preserve">. </w:t>
      </w:r>
      <w:r w:rsidR="00130F7F" w:rsidRPr="00742A04">
        <w:t>Las normas</w:t>
      </w:r>
      <w:r w:rsidR="00545D1B" w:rsidRPr="00742A04">
        <w:t xml:space="preserve"> </w:t>
      </w:r>
      <w:r w:rsidR="00072AD7" w:rsidRPr="00742A04">
        <w:t>relat</w:t>
      </w:r>
      <w:r w:rsidR="00072AD7" w:rsidRPr="00742A04">
        <w:t>i</w:t>
      </w:r>
      <w:r w:rsidR="00072AD7" w:rsidRPr="00742A04">
        <w:t>va</w:t>
      </w:r>
      <w:r w:rsidR="009A12C2" w:rsidRPr="00742A04">
        <w:t>s</w:t>
      </w:r>
      <w:r w:rsidR="00072AD7" w:rsidRPr="00742A04">
        <w:t xml:space="preserve"> </w:t>
      </w:r>
      <w:r w:rsidR="009A12C2" w:rsidRPr="00742A04">
        <w:t>a l</w:t>
      </w:r>
      <w:r w:rsidR="00072AD7" w:rsidRPr="00742A04">
        <w:t>a</w:t>
      </w:r>
      <w:r w:rsidR="00545D1B" w:rsidRPr="00742A04">
        <w:t xml:space="preserve"> </w:t>
      </w:r>
      <w:r w:rsidR="00FA1C50" w:rsidRPr="00742A04">
        <w:t>representación de género</w:t>
      </w:r>
      <w:r w:rsidR="00C14BFF" w:rsidRPr="00742A04">
        <w:t xml:space="preserve"> </w:t>
      </w:r>
      <w:r w:rsidR="00894371">
        <w:t>e</w:t>
      </w:r>
      <w:r w:rsidR="00894371" w:rsidRPr="00742A04">
        <w:t>n</w:t>
      </w:r>
      <w:r w:rsidR="00545D1B" w:rsidRPr="00742A04">
        <w:t xml:space="preserve"> </w:t>
      </w:r>
      <w:r w:rsidR="009A12C2" w:rsidRPr="00742A04">
        <w:t>las 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A607E" w:rsidRPr="00742A04">
        <w:t xml:space="preserve">las </w:t>
      </w:r>
      <w:r w:rsidR="009A12C2" w:rsidRPr="00742A04">
        <w:t>sociedades anónimas de part</w:t>
      </w:r>
      <w:r w:rsidR="009A12C2" w:rsidRPr="00742A04">
        <w:t>i</w:t>
      </w:r>
      <w:r w:rsidR="009A12C2" w:rsidRPr="00742A04">
        <w:t>cipación abierta</w:t>
      </w:r>
      <w:r w:rsidR="00545D1B" w:rsidRPr="00742A04">
        <w:t xml:space="preserve"> </w:t>
      </w:r>
      <w:r w:rsidR="009A12C2" w:rsidRPr="00742A04">
        <w:t>entraron en vigor</w:t>
      </w:r>
      <w:r w:rsidR="00545D1B" w:rsidRPr="00742A04">
        <w:t xml:space="preserve"> </w:t>
      </w:r>
      <w:r w:rsidR="00C076F2" w:rsidRPr="00742A04">
        <w:t>el 1°</w:t>
      </w:r>
      <w:r w:rsidR="00194AB3" w:rsidRPr="00742A04">
        <w:t xml:space="preserve"> de enero</w:t>
      </w:r>
      <w:r w:rsidR="004A0730" w:rsidRPr="00742A04">
        <w:t xml:space="preserve"> de</w:t>
      </w:r>
      <w:r w:rsidR="00545D1B" w:rsidRPr="00742A04">
        <w:t xml:space="preserve"> 2006. </w:t>
      </w:r>
      <w:r w:rsidR="00AA607E" w:rsidRPr="00742A04">
        <w:t xml:space="preserve">Las </w:t>
      </w:r>
      <w:r w:rsidR="009A12C2" w:rsidRPr="00742A04">
        <w:t>sociedades an</w:t>
      </w:r>
      <w:r w:rsidR="009A12C2" w:rsidRPr="00742A04">
        <w:t>ó</w:t>
      </w:r>
      <w:r w:rsidR="009A12C2" w:rsidRPr="00742A04">
        <w:t>nimas de participación abierta</w:t>
      </w:r>
      <w:r w:rsidR="00545D1B" w:rsidRPr="00742A04">
        <w:t xml:space="preserve"> </w:t>
      </w:r>
      <w:r w:rsidR="00311327" w:rsidRPr="00742A04">
        <w:t>registra</w:t>
      </w:r>
      <w:r w:rsidR="009A12C2" w:rsidRPr="00742A04">
        <w:t>das</w:t>
      </w:r>
      <w:r w:rsidR="00545D1B" w:rsidRPr="00742A04">
        <w:t xml:space="preserve"> </w:t>
      </w:r>
      <w:r w:rsidR="00AC5D28" w:rsidRPr="00742A04">
        <w:t>antes de</w:t>
      </w:r>
      <w:r w:rsidR="00545D1B" w:rsidRPr="00742A04">
        <w:t xml:space="preserve"> </w:t>
      </w:r>
      <w:r w:rsidR="009A12C2" w:rsidRPr="00742A04">
        <w:t>esa fecha tendrían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="009A12C2" w:rsidRPr="00742A04">
        <w:t>para aju</w:t>
      </w:r>
      <w:r w:rsidR="009A12C2" w:rsidRPr="00742A04">
        <w:t>s</w:t>
      </w:r>
      <w:r w:rsidR="009A12C2" w:rsidRPr="00742A04">
        <w:t>tarse al</w:t>
      </w:r>
      <w:r w:rsidR="008622FD" w:rsidRPr="00742A04">
        <w:t xml:space="preserve"> requisito</w:t>
      </w:r>
      <w:r w:rsidR="00545D1B" w:rsidRPr="00742A04">
        <w:t xml:space="preserve"> </w:t>
      </w:r>
      <w:r w:rsidR="009A12C2" w:rsidRPr="00742A04">
        <w:t>en materia de</w:t>
      </w:r>
      <w:r w:rsidR="00545D1B" w:rsidRPr="00742A04">
        <w:t xml:space="preserve"> </w:t>
      </w:r>
      <w:r w:rsidR="00FA1C50" w:rsidRPr="00742A04">
        <w:t>representación de género</w:t>
      </w:r>
      <w:r w:rsidR="00C27C42" w:rsidRPr="00742A04">
        <w:t>.</w:t>
      </w:r>
      <w:r w:rsidR="00545D1B" w:rsidRPr="00742A04">
        <w:t xml:space="preserve"> </w:t>
      </w:r>
      <w:r w:rsidR="009A12C2" w:rsidRPr="00742A04">
        <w:t>Las n</w:t>
      </w:r>
      <w:r w:rsidR="007C65B3" w:rsidRPr="00742A04">
        <w:t>ueva</w:t>
      </w:r>
      <w:r w:rsidR="009A12C2" w:rsidRPr="00742A04">
        <w:t>s</w:t>
      </w:r>
      <w:r w:rsidR="00545D1B" w:rsidRPr="00742A04">
        <w:t xml:space="preserve"> </w:t>
      </w:r>
      <w:r w:rsidR="009A12C2" w:rsidRPr="00742A04">
        <w:t>sociedades anónimas de participación abierta</w:t>
      </w:r>
      <w:r w:rsidR="00545D1B" w:rsidRPr="00742A04">
        <w:t xml:space="preserve"> </w:t>
      </w:r>
      <w:r w:rsidR="007D4688" w:rsidRPr="00742A04">
        <w:t>debe</w:t>
      </w:r>
      <w:r w:rsidR="009A12C2" w:rsidRPr="00742A04">
        <w:t>rán</w:t>
      </w:r>
      <w:r w:rsidR="00545D1B" w:rsidRPr="00742A04">
        <w:t xml:space="preserve"> </w:t>
      </w:r>
      <w:r w:rsidR="009A12C2" w:rsidRPr="00742A04">
        <w:t>ajustarse al requisito en materia de repr</w:t>
      </w:r>
      <w:r w:rsidR="009A12C2" w:rsidRPr="00742A04">
        <w:t>e</w:t>
      </w:r>
      <w:r w:rsidR="009A12C2" w:rsidRPr="00742A04">
        <w:t>sentación de género</w:t>
      </w:r>
      <w:r w:rsidR="00545D1B" w:rsidRPr="00742A04">
        <w:t xml:space="preserve"> </w:t>
      </w:r>
      <w:r w:rsidR="009A12C2" w:rsidRPr="00742A04">
        <w:t>para que se admita su</w:t>
      </w:r>
      <w:r w:rsidR="00545D1B" w:rsidRPr="00742A04">
        <w:t xml:space="preserve"> </w:t>
      </w:r>
      <w:r w:rsidR="009A12C2" w:rsidRPr="00742A04">
        <w:t>inscrip</w:t>
      </w:r>
      <w:r w:rsidR="00C27C42" w:rsidRPr="00742A04">
        <w:t>ci</w:t>
      </w:r>
      <w:r w:rsidR="00C14BFF" w:rsidRPr="00742A04">
        <w:t>ón</w:t>
      </w:r>
      <w:r w:rsidR="000A08D8" w:rsidRPr="00742A04">
        <w:t>.</w:t>
      </w:r>
    </w:p>
    <w:p w:rsidR="00545D1B" w:rsidRPr="00742A04" w:rsidRDefault="00272D31" w:rsidP="00D574C4">
      <w:pPr>
        <w:pStyle w:val="SingleTxt"/>
        <w:ind w:firstLine="475"/>
      </w:pPr>
      <w:r w:rsidRPr="00742A04">
        <w:t>Las cifras</w:t>
      </w:r>
      <w:r w:rsidR="00545D1B" w:rsidRPr="00742A04">
        <w:t xml:space="preserve"> </w:t>
      </w:r>
      <w:r w:rsidRPr="00742A04">
        <w:t>del Instituto</w:t>
      </w:r>
      <w:r w:rsidR="00AF398C" w:rsidRPr="00742A04">
        <w:t xml:space="preserve"> Nacional de Estadísticas de Noruega</w:t>
      </w:r>
      <w:r w:rsidR="00545D1B" w:rsidRPr="00742A04">
        <w:t xml:space="preserve"> </w:t>
      </w:r>
      <w:r w:rsidR="00ED6A69" w:rsidRPr="00742A04">
        <w:t>indican que</w:t>
      </w:r>
      <w:r w:rsidR="00981D91" w:rsidRPr="00742A04">
        <w:t>,</w:t>
      </w:r>
      <w:r w:rsidR="003E5775" w:rsidRPr="00742A04">
        <w:t xml:space="preserve"> al </w:t>
      </w:r>
      <w:r w:rsidR="00194AB3" w:rsidRPr="00742A04">
        <w:t>1°</w:t>
      </w:r>
      <w:r w:rsidR="00981D91" w:rsidRPr="00742A04">
        <w:t> </w:t>
      </w:r>
      <w:r w:rsidR="00194AB3" w:rsidRPr="00742A04">
        <w:t>de enero</w:t>
      </w:r>
      <w:r w:rsidR="004A0730" w:rsidRPr="00742A04">
        <w:t xml:space="preserve"> de</w:t>
      </w:r>
      <w:r w:rsidR="00545D1B" w:rsidRPr="00742A04">
        <w:t xml:space="preserve"> 2006, </w:t>
      </w:r>
      <w:r w:rsidR="00981D91" w:rsidRPr="00742A04">
        <w:t xml:space="preserve">el </w:t>
      </w:r>
      <w:r w:rsidR="00545D1B" w:rsidRPr="00742A04">
        <w:t>19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C43EC" w:rsidRPr="00742A04">
        <w:t>los miembros de 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A12C2" w:rsidRPr="00742A04">
        <w:t>sociedades anónimas de participación abierta</w:t>
      </w:r>
      <w:r w:rsidR="00545D1B" w:rsidRPr="00742A04">
        <w:t xml:space="preserve"> (inclu</w:t>
      </w:r>
      <w:r w:rsidR="00BC43EC" w:rsidRPr="00742A04">
        <w:t>idos los suplentes</w:t>
      </w:r>
      <w:r w:rsidR="00545D1B" w:rsidRPr="00742A04">
        <w:t xml:space="preserve">)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4F2F8A" w:rsidRPr="00742A04">
        <w:t xml:space="preserve">Las </w:t>
      </w:r>
      <w:r w:rsidR="00D66FC2" w:rsidRPr="00742A04">
        <w:t>estadíst</w:t>
      </w:r>
      <w:r w:rsidR="00D66FC2" w:rsidRPr="00742A04">
        <w:t>i</w:t>
      </w:r>
      <w:r w:rsidR="00D66FC2" w:rsidRPr="00742A04">
        <w:t>cas indican que</w:t>
      </w:r>
      <w:r w:rsidR="00545D1B" w:rsidRPr="00742A04">
        <w:t xml:space="preserve"> </w:t>
      </w:r>
      <w:r w:rsidR="00BC43EC" w:rsidRPr="00742A04">
        <w:t>las empresas más grandes</w:t>
      </w:r>
      <w:r w:rsidR="00545D1B" w:rsidRPr="00742A04">
        <w:t xml:space="preserve">, </w:t>
      </w:r>
      <w:r w:rsidR="00502E16" w:rsidRPr="00742A04">
        <w:t>es decir,</w:t>
      </w:r>
      <w:r w:rsidR="00545D1B" w:rsidRPr="00742A04">
        <w:t xml:space="preserve"> </w:t>
      </w:r>
      <w:r w:rsidR="00BC43EC" w:rsidRPr="00742A04">
        <w:t>las que tienen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100 </w:t>
      </w:r>
      <w:r w:rsidR="00380AC9" w:rsidRPr="00742A04">
        <w:t>empleados</w:t>
      </w:r>
      <w:r w:rsidR="00545D1B" w:rsidRPr="00742A04">
        <w:t xml:space="preserve">, </w:t>
      </w:r>
      <w:r w:rsidR="00BC43EC" w:rsidRPr="00742A04">
        <w:t>tienen el mayor</w:t>
      </w:r>
      <w:r w:rsidR="00545D1B" w:rsidRPr="00742A04">
        <w:t xml:space="preserve"> </w:t>
      </w:r>
      <w:r w:rsidR="004D2A67" w:rsidRPr="00742A04">
        <w:t>porcentaje de mujeres</w:t>
      </w:r>
      <w:r w:rsidR="00545D1B" w:rsidRPr="00742A04">
        <w:t xml:space="preserve">. </w:t>
      </w:r>
      <w:r w:rsidR="001A4D9C" w:rsidRPr="00742A04">
        <w:t>Las e</w:t>
      </w:r>
      <w:r w:rsidR="0067405D" w:rsidRPr="00742A04">
        <w:t>stadísticas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Lindorff </w:t>
      </w:r>
      <w:r w:rsidR="00FC59C5" w:rsidRPr="00742A04">
        <w:t>Deci</w:t>
      </w:r>
      <w:r w:rsidR="001A4D9C" w:rsidRPr="00742A04">
        <w:t>sio</w:t>
      </w:r>
      <w:r w:rsidR="00FC59C5" w:rsidRPr="00742A04">
        <w:t>n</w:t>
      </w:r>
      <w:r w:rsidR="00545D1B" w:rsidRPr="00742A04">
        <w:t xml:space="preserve"> </w:t>
      </w:r>
      <w:r w:rsidR="00ED6A69" w:rsidRPr="00742A04">
        <w:t>indican que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2B1AB5" w:rsidRPr="00742A04">
        <w:t>en</w:t>
      </w:r>
      <w:r w:rsidR="00545D1B" w:rsidRPr="00742A04">
        <w:t xml:space="preserve"> </w:t>
      </w:r>
      <w:r w:rsidR="009A12C2" w:rsidRPr="00742A04">
        <w:t>las 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A12C2" w:rsidRPr="00742A04">
        <w:t>sociedades anónimas de participación abie</w:t>
      </w:r>
      <w:r w:rsidR="009A12C2" w:rsidRPr="00742A04">
        <w:t>r</w:t>
      </w:r>
      <w:r w:rsidR="009A12C2" w:rsidRPr="00742A04">
        <w:t>ta</w:t>
      </w:r>
      <w:r w:rsidR="002B1AB5" w:rsidRPr="00742A04">
        <w:t xml:space="preserve"> se</w:t>
      </w:r>
      <w:r w:rsidR="00545D1B" w:rsidRPr="00742A04">
        <w:t xml:space="preserve"> </w:t>
      </w:r>
      <w:r w:rsidR="00AC1BF5" w:rsidRPr="00742A04">
        <w:t>increment</w:t>
      </w:r>
      <w:r w:rsidR="002B1AB5" w:rsidRPr="00742A04">
        <w:t>ó</w:t>
      </w:r>
      <w:r w:rsidR="00545D1B" w:rsidRPr="00742A04">
        <w:t xml:space="preserve"> </w:t>
      </w:r>
      <w:r w:rsidR="005D2D07" w:rsidRPr="00742A04">
        <w:t>significativamente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F3238" w:rsidRPr="00742A04">
        <w:t>la primavera de</w:t>
      </w:r>
      <w:r w:rsidR="00545D1B" w:rsidRPr="00742A04">
        <w:t xml:space="preserve"> 2005.</w:t>
      </w:r>
    </w:p>
    <w:p w:rsidR="000A08D8" w:rsidRPr="00742A04" w:rsidRDefault="0058094F" w:rsidP="00D574C4">
      <w:pPr>
        <w:pStyle w:val="SingleTxt"/>
        <w:ind w:firstLine="475"/>
      </w:pPr>
      <w:r w:rsidRPr="00742A04">
        <w:t>A fin de</w:t>
      </w:r>
      <w:r w:rsidR="00545D1B" w:rsidRPr="00742A04">
        <w:t xml:space="preserve"> facilita</w:t>
      </w:r>
      <w:r w:rsidR="002B1AB5" w:rsidRPr="00742A04">
        <w:t>r</w:t>
      </w:r>
      <w:r w:rsidR="00545D1B" w:rsidRPr="00742A04">
        <w:t xml:space="preserve"> </w:t>
      </w:r>
      <w:r w:rsidR="002B1AB5" w:rsidRPr="00742A04">
        <w:t>la designación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2B1AB5" w:rsidRPr="00742A04">
        <w:t>en las</w:t>
      </w:r>
      <w:r w:rsidR="00545D1B" w:rsidRPr="00742A04">
        <w:t xml:space="preserve"> </w:t>
      </w:r>
      <w:r w:rsidR="00A836A1" w:rsidRPr="00742A04">
        <w:t>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22FC" w:rsidRPr="00742A04">
        <w:t>directores</w:t>
      </w:r>
      <w:r w:rsidR="00545D1B" w:rsidRPr="00742A04">
        <w:t xml:space="preserve">, </w:t>
      </w:r>
      <w:r w:rsidR="004D313C" w:rsidRPr="00742A04">
        <w:t>varios</w:t>
      </w:r>
      <w:r w:rsidR="00545D1B" w:rsidRPr="00742A04">
        <w:t xml:space="preserve"> </w:t>
      </w:r>
      <w:r w:rsidR="00603216" w:rsidRPr="00742A04">
        <w:t>ministerios</w:t>
      </w:r>
      <w:r w:rsidR="00545D1B" w:rsidRPr="00742A04">
        <w:t xml:space="preserve"> </w:t>
      </w:r>
      <w:r w:rsidR="008E38BC" w:rsidRPr="00742A04">
        <w:t>han</w:t>
      </w:r>
      <w:r w:rsidR="00545D1B" w:rsidRPr="00742A04">
        <w:t xml:space="preserve"> </w:t>
      </w:r>
      <w:r w:rsidR="002B1AB5" w:rsidRPr="00742A04">
        <w:t>participado en 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45D1B" w:rsidRPr="00742A04">
        <w:rPr>
          <w:i/>
        </w:rPr>
        <w:t>Kvinnebasen</w:t>
      </w:r>
      <w:r w:rsidR="00545D1B" w:rsidRPr="00742A04">
        <w:t xml:space="preserve">, </w:t>
      </w:r>
      <w:r w:rsidR="002B1AB5" w:rsidRPr="00742A04">
        <w:t>un</w:t>
      </w:r>
      <w:r w:rsidR="00545D1B" w:rsidRPr="00742A04">
        <w:t xml:space="preserve">a </w:t>
      </w:r>
      <w:r w:rsidR="00484F0B" w:rsidRPr="00742A04">
        <w:t>base de datos</w:t>
      </w:r>
      <w:r w:rsidR="00545D1B" w:rsidRPr="00742A04">
        <w:t xml:space="preserve"> </w:t>
      </w:r>
      <w:r w:rsidR="00056EF1" w:rsidRPr="00742A04">
        <w:t xml:space="preserve">en </w:t>
      </w:r>
      <w:r w:rsidR="002B1AB5" w:rsidRPr="00742A04">
        <w:t xml:space="preserve">la </w:t>
      </w:r>
      <w:r w:rsidR="00056EF1" w:rsidRPr="00742A04">
        <w:t>que</w:t>
      </w:r>
      <w:r w:rsidR="00545D1B" w:rsidRPr="00742A04">
        <w:t xml:space="preserve"> </w:t>
      </w:r>
      <w:r w:rsidR="00690BBB" w:rsidRPr="00742A04">
        <w:t xml:space="preserve">pueden registrar su interés </w:t>
      </w:r>
      <w:r w:rsidR="002B1AB5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2B1AB5" w:rsidRPr="00742A04">
        <w:t>que deseen ser</w:t>
      </w:r>
      <w:r w:rsidR="00BC43EC" w:rsidRPr="00742A04">
        <w:t xml:space="preserve"> </w:t>
      </w:r>
      <w:r w:rsidR="002B1AB5" w:rsidRPr="00742A04">
        <w:t xml:space="preserve">integrantes </w:t>
      </w:r>
      <w:r w:rsidR="00BC43EC" w:rsidRPr="00742A04">
        <w:t>de juntas</w:t>
      </w:r>
      <w:r w:rsidR="00545D1B" w:rsidRPr="00742A04">
        <w:t>.</w:t>
      </w:r>
      <w:r w:rsidR="003E5775" w:rsidRPr="00742A04">
        <w:t xml:space="preserve"> </w:t>
      </w:r>
      <w:r w:rsidR="002B1AB5" w:rsidRPr="00742A04">
        <w:t>Hasta</w:t>
      </w:r>
      <w:r w:rsidR="003E5775" w:rsidRPr="00742A04">
        <w:t xml:space="preserve"> </w:t>
      </w:r>
      <w:r w:rsidR="00B86412" w:rsidRPr="00742A04">
        <w:t>agosto de</w:t>
      </w:r>
      <w:r w:rsidR="00545D1B" w:rsidRPr="00742A04">
        <w:t xml:space="preserve"> 2006, </w:t>
      </w:r>
      <w:r w:rsidR="002B1AB5" w:rsidRPr="00742A04">
        <w:t>se habían registrado 4.</w:t>
      </w:r>
      <w:r w:rsidR="00545D1B" w:rsidRPr="00742A04">
        <w:t xml:space="preserve">200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B1AB5" w:rsidRPr="00742A04">
        <w:t xml:space="preserve">la base </w:t>
      </w:r>
      <w:r w:rsidR="00484F0B" w:rsidRPr="00742A04">
        <w:t>de datos</w:t>
      </w:r>
      <w:r w:rsidR="00545D1B" w:rsidRPr="00742A04">
        <w:t xml:space="preserve">, </w:t>
      </w:r>
      <w:r w:rsidR="002B1AB5" w:rsidRPr="00742A04">
        <w:t>que</w:t>
      </w:r>
      <w:r w:rsidR="00545D1B" w:rsidRPr="00742A04">
        <w:t xml:space="preserve"> </w:t>
      </w:r>
      <w:r w:rsidR="00BD47D3" w:rsidRPr="00742A04">
        <w:t>es</w:t>
      </w:r>
      <w:r w:rsidR="002B1AB5" w:rsidRPr="00742A04">
        <w:t>tá</w:t>
      </w:r>
      <w:r w:rsidR="00545D1B" w:rsidRPr="00742A04">
        <w:t xml:space="preserve"> </w:t>
      </w:r>
      <w:r w:rsidR="002B1AB5" w:rsidRPr="00742A04">
        <w:t>ayudando a centrar la</w:t>
      </w:r>
      <w:r w:rsidR="00545D1B" w:rsidRPr="00742A04">
        <w:t xml:space="preserve"> </w:t>
      </w:r>
      <w:r w:rsidR="00D66FC2" w:rsidRPr="00742A04">
        <w:t>ate</w:t>
      </w:r>
      <w:r w:rsidR="00545D1B" w:rsidRPr="00742A04">
        <w:t>n</w:t>
      </w:r>
      <w:r w:rsidR="00C14BFF" w:rsidRPr="00742A04">
        <w:t xml:space="preserve">ción </w:t>
      </w:r>
      <w:r w:rsidR="002B1AB5" w:rsidRPr="00742A04">
        <w:t>e</w:t>
      </w:r>
      <w:r w:rsidR="00545D1B" w:rsidRPr="00742A04">
        <w:t xml:space="preserve">n </w:t>
      </w:r>
      <w:r w:rsidR="002B1AB5" w:rsidRPr="00742A04">
        <w:t>la competencia de las mujeres</w:t>
      </w:r>
      <w:r w:rsidR="00545D1B" w:rsidRPr="00742A04">
        <w:t xml:space="preserve">: </w:t>
      </w:r>
      <w:r w:rsidR="002B1AB5" w:rsidRPr="00742A04">
        <w:t xml:space="preserve">el </w:t>
      </w:r>
      <w:r w:rsidR="00545D1B" w:rsidRPr="00742A04">
        <w:t>63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B1AB5" w:rsidRPr="00742A04">
        <w:t>l</w:t>
      </w:r>
      <w:r w:rsidR="005C19C7" w:rsidRPr="00742A04">
        <w:t>as 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2B1AB5" w:rsidRPr="00742A04">
        <w:t>s</w:t>
      </w:r>
      <w:r w:rsidR="00545D1B" w:rsidRPr="00742A04">
        <w:t xml:space="preserve">e </w:t>
      </w:r>
      <w:r w:rsidR="00311327" w:rsidRPr="00742A04">
        <w:t>registraron</w:t>
      </w:r>
      <w:r w:rsidR="00545D1B" w:rsidRPr="00742A04">
        <w:t xml:space="preserve"> </w:t>
      </w:r>
      <w:r w:rsidR="002B1AB5" w:rsidRPr="00742A04">
        <w:t>tienen</w:t>
      </w:r>
      <w:r w:rsidR="00545D1B" w:rsidRPr="00742A04">
        <w:t xml:space="preserve"> </w:t>
      </w:r>
      <w:r w:rsidR="008F0C8E" w:rsidRPr="00742A04">
        <w:t>experiencia</w:t>
      </w:r>
      <w:r w:rsidR="00545D1B" w:rsidRPr="00742A04">
        <w:t xml:space="preserve"> </w:t>
      </w:r>
      <w:r w:rsidR="002B1AB5" w:rsidRPr="00742A04">
        <w:t xml:space="preserve">en juntas </w:t>
      </w:r>
      <w:r w:rsidR="00877AA0" w:rsidRPr="00742A04">
        <w:t>y</w:t>
      </w:r>
      <w:r w:rsidR="00545D1B" w:rsidRPr="00742A04">
        <w:t xml:space="preserve"> </w:t>
      </w:r>
      <w:r w:rsidR="002B1AB5" w:rsidRPr="00742A04">
        <w:t xml:space="preserve">el </w:t>
      </w:r>
      <w:r w:rsidR="00545D1B" w:rsidRPr="00742A04">
        <w:t>80</w:t>
      </w:r>
      <w:r w:rsidR="001167D2" w:rsidRPr="00742A04">
        <w:t>%</w:t>
      </w:r>
      <w:r w:rsidR="00545D1B" w:rsidRPr="00742A04">
        <w:t xml:space="preserve"> </w:t>
      </w:r>
      <w:r w:rsidR="002B1AB5" w:rsidRPr="00742A04">
        <w:t>tienen experiencia en</w:t>
      </w:r>
      <w:r w:rsidR="00545D1B" w:rsidRPr="00742A04">
        <w:t xml:space="preserve"> </w:t>
      </w:r>
      <w:r w:rsidR="006F4432" w:rsidRPr="00742A04">
        <w:t>puestos gerenciales</w:t>
      </w:r>
      <w:r w:rsidR="00545D1B" w:rsidRPr="00742A04">
        <w:t xml:space="preserve">. </w:t>
      </w:r>
      <w:r w:rsidR="002B1AB5" w:rsidRPr="00742A04">
        <w:t>También han establecido b</w:t>
      </w:r>
      <w:r w:rsidR="00484F0B" w:rsidRPr="00742A04">
        <w:t>ase</w:t>
      </w:r>
      <w:r w:rsidR="002B1AB5" w:rsidRPr="00742A04">
        <w:t>s</w:t>
      </w:r>
      <w:r w:rsidR="00484F0B" w:rsidRPr="00742A04">
        <w:t xml:space="preserve"> de </w:t>
      </w:r>
      <w:r w:rsidR="002B1AB5" w:rsidRPr="00742A04">
        <w:t>datos</w:t>
      </w:r>
      <w:r w:rsidR="00545D1B" w:rsidRPr="00742A04">
        <w:t xml:space="preserve"> </w:t>
      </w:r>
      <w:r w:rsidR="002B1AB5" w:rsidRPr="00742A04">
        <w:t>la</w:t>
      </w:r>
      <w:r w:rsidR="00545D1B" w:rsidRPr="00742A04">
        <w:t xml:space="preserve"> Confedera</w:t>
      </w:r>
      <w:r w:rsidR="00C14BFF" w:rsidRPr="00742A04">
        <w:t xml:space="preserve">ción </w:t>
      </w:r>
      <w:r w:rsidR="004A0730" w:rsidRPr="00742A04">
        <w:t>de</w:t>
      </w:r>
      <w:r w:rsidR="002B1AB5" w:rsidRPr="00742A04">
        <w:t>l C</w:t>
      </w:r>
      <w:r w:rsidR="004B580D" w:rsidRPr="00742A04">
        <w:t>o</w:t>
      </w:r>
      <w:r w:rsidR="002B1AB5" w:rsidRPr="00742A04">
        <w:t>mercio y la I</w:t>
      </w:r>
      <w:r w:rsidR="004B580D" w:rsidRPr="00742A04">
        <w:t>ndustria de Noruega</w:t>
      </w:r>
      <w:r w:rsidR="00545D1B" w:rsidRPr="00742A04">
        <w:t xml:space="preserve"> (NHO), Innova</w:t>
      </w:r>
      <w:r w:rsidR="00C14BFF" w:rsidRPr="00742A04">
        <w:t xml:space="preserve">ción </w:t>
      </w:r>
      <w:r w:rsidR="00EA26AB" w:rsidRPr="00742A04">
        <w:t>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B1AB5" w:rsidRPr="00742A04">
        <w:t>la</w:t>
      </w:r>
      <w:r w:rsidR="00545D1B" w:rsidRPr="00742A04">
        <w:t xml:space="preserve"> </w:t>
      </w:r>
      <w:r w:rsidR="000A5430" w:rsidRPr="00742A04">
        <w:t>Aso</w:t>
      </w:r>
      <w:r w:rsidR="00545D1B" w:rsidRPr="00742A04">
        <w:t>cia</w:t>
      </w:r>
      <w:r w:rsidR="00C14BFF" w:rsidRPr="00742A04">
        <w:t>ción</w:t>
      </w:r>
      <w:r w:rsidR="00FF575F" w:rsidRPr="00742A04">
        <w:t xml:space="preserve"> </w:t>
      </w:r>
      <w:r w:rsidR="00BD47D3" w:rsidRPr="00742A04">
        <w:t xml:space="preserve">de </w:t>
      </w:r>
      <w:r w:rsidR="002B1AB5" w:rsidRPr="00742A04">
        <w:t xml:space="preserve">Abogados de </w:t>
      </w:r>
      <w:r w:rsidR="00BD47D3" w:rsidRPr="00742A04">
        <w:t>Noruega</w:t>
      </w:r>
      <w:r w:rsidR="00545D1B" w:rsidRPr="00742A04">
        <w:t>.</w:t>
      </w:r>
      <w:r w:rsidR="001167D2" w:rsidRPr="00742A04">
        <w:t xml:space="preserve"> </w:t>
      </w:r>
      <w:r w:rsidR="002B1AB5" w:rsidRPr="00742A04">
        <w:t>E</w:t>
      </w:r>
      <w:r w:rsidR="001167D2" w:rsidRPr="00742A04">
        <w:t xml:space="preserve">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B1AB5" w:rsidRPr="00742A04">
        <w:t>Comercio</w:t>
      </w:r>
      <w:r w:rsidR="002E5047" w:rsidRPr="00742A04">
        <w:t xml:space="preserve"> e </w:t>
      </w:r>
      <w:r w:rsidR="000B71AA" w:rsidRPr="00742A04">
        <w:t>Industria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2B1AB5" w:rsidRPr="00742A04">
        <w:t xml:space="preserve">ha </w:t>
      </w:r>
      <w:r w:rsidR="0087447F" w:rsidRPr="00742A04">
        <w:t>trabaja</w:t>
      </w:r>
      <w:r w:rsidR="002B1AB5" w:rsidRPr="00742A04">
        <w:t xml:space="preserve">do en </w:t>
      </w:r>
      <w:r w:rsidR="00BC2FBE" w:rsidRPr="00742A04">
        <w:t>estrech</w:t>
      </w:r>
      <w:r w:rsidR="002B1AB5" w:rsidRPr="00742A04">
        <w:t>o contacto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2B1AB5" w:rsidRPr="00742A04">
        <w:t>la</w:t>
      </w:r>
      <w:r w:rsidR="00545D1B" w:rsidRPr="00742A04">
        <w:t xml:space="preserve"> NHO </w:t>
      </w:r>
      <w:r w:rsidR="00C14BFF" w:rsidRPr="00742A04">
        <w:t>en</w:t>
      </w:r>
      <w:r w:rsidR="00545D1B" w:rsidRPr="00742A04">
        <w:t xml:space="preserve"> </w:t>
      </w:r>
      <w:r w:rsidR="003E4840" w:rsidRPr="00742A04">
        <w:t>sus</w:t>
      </w:r>
      <w:r w:rsidR="00502E16" w:rsidRPr="00742A04">
        <w:t xml:space="preserve"> </w:t>
      </w:r>
      <w:r w:rsidR="00935A90" w:rsidRPr="00742A04">
        <w:t xml:space="preserve">esfuerzos por </w:t>
      </w:r>
      <w:r w:rsidR="002B1AB5" w:rsidRPr="00742A04">
        <w:t>señalar a la</w:t>
      </w:r>
      <w:r w:rsidR="00545D1B" w:rsidRPr="00742A04">
        <w:t xml:space="preserve"> </w:t>
      </w:r>
      <w:r w:rsidR="00D66FC2" w:rsidRPr="00742A04">
        <w:t>ate</w:t>
      </w:r>
      <w:r w:rsidR="00545D1B" w:rsidRPr="00742A04">
        <w:t>n</w:t>
      </w:r>
      <w:r w:rsidR="00C14BFF" w:rsidRPr="00742A04">
        <w:t xml:space="preserve">ción </w:t>
      </w:r>
      <w:r w:rsidR="0030626A" w:rsidRPr="00742A04">
        <w:t>a</w:t>
      </w:r>
      <w:r w:rsidR="00545D1B" w:rsidRPr="00742A04">
        <w:t xml:space="preserve"> </w:t>
      </w:r>
      <w:r w:rsidR="002B1AB5" w:rsidRPr="00742A04">
        <w:t xml:space="preserve">las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 </w:t>
      </w:r>
      <w:r w:rsidR="00A223F4" w:rsidRPr="00742A04">
        <w:t>candida</w:t>
      </w:r>
      <w:r w:rsidR="002B1AB5" w:rsidRPr="00742A04">
        <w:t>ta</w:t>
      </w:r>
      <w:r w:rsidR="00A223F4" w:rsidRPr="00742A04">
        <w:t>s</w:t>
      </w:r>
      <w:r w:rsidR="00545D1B" w:rsidRPr="00742A04">
        <w:t xml:space="preserve"> </w:t>
      </w:r>
      <w:r w:rsidR="002B1AB5" w:rsidRPr="00742A04">
        <w:t>a</w:t>
      </w:r>
      <w:r w:rsidR="00BC43EC" w:rsidRPr="00742A04">
        <w:t xml:space="preserve"> </w:t>
      </w:r>
      <w:r w:rsidR="002B1AB5" w:rsidRPr="00742A04">
        <w:t>integrantes</w:t>
      </w:r>
      <w:r w:rsidR="00BC43EC" w:rsidRPr="00742A04">
        <w:t xml:space="preserve"> de juntas</w:t>
      </w:r>
      <w:r w:rsidR="00545D1B" w:rsidRPr="00742A04">
        <w:t xml:space="preserve"> </w:t>
      </w:r>
      <w:r w:rsidR="002B1AB5" w:rsidRPr="00742A04">
        <w:t>mediante el</w:t>
      </w:r>
      <w:r w:rsidR="00545D1B" w:rsidRPr="00742A04">
        <w:t xml:space="preserve"> </w:t>
      </w:r>
      <w:r w:rsidR="002B1AB5" w:rsidRPr="00742A04">
        <w:t>proyecto Futuro Femenino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2B1AB5" w:rsidRPr="00742A04">
        <w:t xml:space="preserve">se ha prestado </w:t>
      </w:r>
      <w:r w:rsidR="00502E16" w:rsidRPr="00742A04">
        <w:t>asistencia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B1AB5" w:rsidRPr="00742A04">
        <w:t>la formación y</w:t>
      </w:r>
      <w:r w:rsidR="002E5047" w:rsidRPr="00742A04">
        <w:t xml:space="preserve"> </w:t>
      </w:r>
      <w:r w:rsidR="004F2F8A" w:rsidRPr="00742A04">
        <w:t>la implementación</w:t>
      </w:r>
      <w:r w:rsidR="00C14BFF" w:rsidRPr="00742A04">
        <w:t xml:space="preserve"> </w:t>
      </w:r>
      <w:r w:rsidR="004A0730" w:rsidRPr="00742A04">
        <w:t>de</w:t>
      </w:r>
      <w:r w:rsidR="002B1AB5" w:rsidRPr="00742A04">
        <w:t>l</w:t>
      </w:r>
      <w:r w:rsidR="00545D1B" w:rsidRPr="00742A04">
        <w:t xml:space="preserve"> </w:t>
      </w:r>
      <w:r w:rsidR="00545D1B" w:rsidRPr="00742A04">
        <w:rPr>
          <w:i/>
        </w:rPr>
        <w:t>Styrefaglig møt</w:t>
      </w:r>
      <w:r w:rsidR="00545D1B" w:rsidRPr="00742A04">
        <w:rPr>
          <w:i/>
        </w:rPr>
        <w:t>e</w:t>
      </w:r>
      <w:r w:rsidR="00545D1B" w:rsidRPr="00742A04">
        <w:rPr>
          <w:i/>
        </w:rPr>
        <w:t xml:space="preserve">plass </w:t>
      </w:r>
      <w:r w:rsidR="00545D1B" w:rsidRPr="00742A04">
        <w:t>(</w:t>
      </w:r>
      <w:r w:rsidR="00935A90" w:rsidRPr="00742A04">
        <w:t>lugar de reunión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223F4" w:rsidRPr="00742A04">
        <w:t>candidatos</w:t>
      </w:r>
      <w:r w:rsidR="00545D1B" w:rsidRPr="00742A04">
        <w:t xml:space="preserve"> </w:t>
      </w:r>
      <w:r w:rsidR="00F43124" w:rsidRPr="00742A04">
        <w:t>a</w:t>
      </w:r>
      <w:r w:rsidR="00545D1B" w:rsidRPr="00742A04">
        <w:t xml:space="preserve"> </w:t>
      </w:r>
      <w:r w:rsidR="002B1AB5" w:rsidRPr="00742A04">
        <w:t>integrantes</w:t>
      </w:r>
      <w:r w:rsidR="00BC43EC" w:rsidRPr="00742A04">
        <w:t xml:space="preserve"> de juntas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B1AB5" w:rsidRPr="00742A04">
        <w:t>líderes empresari</w:t>
      </w:r>
      <w:r w:rsidR="002B1AB5" w:rsidRPr="00742A04">
        <w:t>a</w:t>
      </w:r>
      <w:r w:rsidR="002B1AB5" w:rsidRPr="00742A04">
        <w:t>les</w:t>
      </w:r>
      <w:r w:rsidR="00545D1B" w:rsidRPr="00742A04">
        <w:t xml:space="preserve">). </w:t>
      </w:r>
      <w:r w:rsidR="00C07ED9" w:rsidRPr="00742A04">
        <w:t>En la cooperación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2B1AB5" w:rsidRPr="00742A04">
        <w:t xml:space="preserve">la Escuela de Gestión </w:t>
      </w:r>
      <w:r w:rsidR="00BD47D3" w:rsidRPr="00742A04">
        <w:t>de Noruega</w:t>
      </w:r>
      <w:r w:rsidR="00545D1B" w:rsidRPr="00742A04">
        <w:t>, Innova</w:t>
      </w:r>
      <w:r w:rsidR="00C14BFF" w:rsidRPr="00742A04">
        <w:t xml:space="preserve">ción </w:t>
      </w:r>
      <w:r w:rsidR="00EA26AB" w:rsidRPr="00742A04">
        <w:t>Noruega</w:t>
      </w:r>
      <w:r w:rsidR="00545D1B" w:rsidRPr="00742A04">
        <w:t xml:space="preserve"> ha</w:t>
      </w:r>
      <w:r w:rsidR="002B1AB5" w:rsidRPr="00742A04">
        <w:t xml:space="preserve"> puesto en práctica el</w:t>
      </w:r>
      <w:r w:rsidR="00545D1B" w:rsidRPr="00742A04">
        <w:t xml:space="preserve"> </w:t>
      </w:r>
      <w:r w:rsidR="002B1AB5" w:rsidRPr="00742A04">
        <w:t>programa</w:t>
      </w:r>
      <w:r w:rsidR="002B1AB5" w:rsidRPr="00742A04">
        <w:rPr>
          <w:i/>
        </w:rPr>
        <w:t xml:space="preserve"> </w:t>
      </w:r>
      <w:r w:rsidR="00545D1B" w:rsidRPr="00742A04">
        <w:rPr>
          <w:i/>
        </w:rPr>
        <w:t>Styrekandidater</w:t>
      </w:r>
      <w:r w:rsidR="00545D1B" w:rsidRPr="00742A04">
        <w:t xml:space="preserve"> (</w:t>
      </w:r>
      <w:r w:rsidR="00484F0B" w:rsidRPr="00742A04">
        <w:t>candidatos a integrar las juntas de directores</w:t>
      </w:r>
      <w:r w:rsidR="00545D1B" w:rsidRPr="00742A04">
        <w:t xml:space="preserve">) </w:t>
      </w:r>
      <w:r w:rsidR="00B31D97" w:rsidRPr="00742A04">
        <w:t>para mejorar</w:t>
      </w:r>
      <w:r w:rsidR="00545D1B" w:rsidRPr="00742A04">
        <w:t xml:space="preserve"> </w:t>
      </w:r>
      <w:r w:rsidR="00837D84" w:rsidRPr="00742A04">
        <w:t>la competencia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ED9" w:rsidRPr="00742A04">
        <w:t>elevar el nivel de conciencia acerca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B1AB5" w:rsidRPr="00742A04">
        <w:t xml:space="preserve">los candidatos </w:t>
      </w:r>
      <w:r w:rsidR="000220D6" w:rsidRPr="00742A04">
        <w:t xml:space="preserve">de sexo </w:t>
      </w:r>
      <w:r w:rsidR="002B1AB5" w:rsidRPr="00742A04">
        <w:t xml:space="preserve">masculino y </w:t>
      </w:r>
      <w:r w:rsidR="000220D6" w:rsidRPr="00742A04">
        <w:t>femenino</w:t>
      </w:r>
      <w:r w:rsidR="00545D1B" w:rsidRPr="00742A04">
        <w:t>.</w:t>
      </w:r>
      <w:r w:rsidR="001167D2" w:rsidRPr="00742A04">
        <w:t xml:space="preserve"> </w:t>
      </w:r>
      <w:r w:rsidR="002B1AB5" w:rsidRPr="00742A04">
        <w:t>E</w:t>
      </w:r>
      <w:r w:rsidR="001167D2" w:rsidRPr="00742A04">
        <w:t>l</w:t>
      </w:r>
      <w:r w:rsidR="002B1AB5" w:rsidRPr="00742A04">
        <w:t xml:space="preserve">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B1AB5" w:rsidRPr="00742A04">
        <w:t>Comercio</w:t>
      </w:r>
      <w:r w:rsidR="002E5047" w:rsidRPr="00742A04">
        <w:t xml:space="preserve"> e </w:t>
      </w:r>
      <w:r w:rsidR="000B71AA" w:rsidRPr="00742A04">
        <w:t>Indu</w:t>
      </w:r>
      <w:r w:rsidR="000B71AA" w:rsidRPr="00742A04">
        <w:t>s</w:t>
      </w:r>
      <w:r w:rsidR="000B71AA" w:rsidRPr="00742A04">
        <w:t>tria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7E7299" w:rsidRPr="00742A04">
        <w:t xml:space="preserve">ha </w:t>
      </w:r>
      <w:r w:rsidR="00545D1B" w:rsidRPr="00742A04">
        <w:t>financ</w:t>
      </w:r>
      <w:r w:rsidR="007E7299" w:rsidRPr="00742A04">
        <w:t>iado</w:t>
      </w:r>
      <w:r w:rsidR="00545D1B" w:rsidRPr="00742A04">
        <w:t xml:space="preserve"> </w:t>
      </w:r>
      <w:r w:rsidR="00311327" w:rsidRPr="00742A04">
        <w:t>la</w:t>
      </w:r>
      <w:r w:rsidR="007E7299" w:rsidRPr="00742A04">
        <w:t>s</w:t>
      </w:r>
      <w:r w:rsidR="00311327" w:rsidRPr="00742A04">
        <w:t xml:space="preserve"> encuesta</w:t>
      </w:r>
      <w:r w:rsidR="00545D1B" w:rsidRPr="00742A04">
        <w:t xml:space="preserve">s </w:t>
      </w:r>
      <w:r w:rsidR="007E7299" w:rsidRPr="00742A04">
        <w:t xml:space="preserve">anuales </w:t>
      </w:r>
      <w:r w:rsidR="00B34971" w:rsidRPr="00742A04">
        <w:t xml:space="preserve">para monitorear </w:t>
      </w:r>
      <w:r w:rsidR="007E7299" w:rsidRPr="00742A04">
        <w:t>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56EF1" w:rsidRPr="00742A04">
        <w:t>la r</w:t>
      </w:r>
      <w:r w:rsidR="00056EF1" w:rsidRPr="00742A04">
        <w:t>e</w:t>
      </w:r>
      <w:r w:rsidR="00056EF1" w:rsidRPr="00742A04">
        <w:t>presentación de las mujeres</w:t>
      </w:r>
      <w:r w:rsidR="00C14BFF" w:rsidRPr="00742A04">
        <w:t xml:space="preserve"> </w:t>
      </w:r>
      <w:r w:rsidR="007E7299" w:rsidRPr="00742A04">
        <w:t>e</w:t>
      </w:r>
      <w:r w:rsidR="00545D1B" w:rsidRPr="00742A04">
        <w:t xml:space="preserve">n </w:t>
      </w:r>
      <w:r w:rsidR="009A12C2" w:rsidRPr="00742A04">
        <w:t>las 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A12C2" w:rsidRPr="00742A04">
        <w:t>sociedades anónimas de participación abierta</w:t>
      </w:r>
      <w:r w:rsidR="000A08D8" w:rsidRPr="00742A04">
        <w:t>.</w:t>
      </w:r>
    </w:p>
    <w:p w:rsidR="000A08D8" w:rsidRPr="00742A04" w:rsidRDefault="00894371" w:rsidP="00D574C4">
      <w:pPr>
        <w:pStyle w:val="SingleTxt"/>
        <w:ind w:firstLine="475"/>
      </w:pPr>
      <w:r w:rsidRPr="00742A04">
        <w:t>El Instituto Nacional de Estadísticas de Noruega también produce estadísticas sobre la cantidad de las mujeres en las juntas de directores de empresas que son t</w:t>
      </w:r>
      <w:r w:rsidRPr="00742A04">
        <w:t>o</w:t>
      </w:r>
      <w:r w:rsidRPr="00742A04">
        <w:t xml:space="preserve">tal o parcialmente de propiedad estatal. </w:t>
      </w:r>
      <w:r w:rsidR="004A0730" w:rsidRPr="00742A04">
        <w:t>En</w:t>
      </w:r>
      <w:r w:rsidR="00545D1B" w:rsidRPr="00742A04">
        <w:t xml:space="preserve"> </w:t>
      </w:r>
      <w:r w:rsidR="005C39D4" w:rsidRPr="00742A04">
        <w:t>septiembre</w:t>
      </w:r>
      <w:r w:rsidR="003E5775" w:rsidRPr="00742A04">
        <w:t xml:space="preserve"> de</w:t>
      </w:r>
      <w:r w:rsidR="00545D1B" w:rsidRPr="00742A04">
        <w:t xml:space="preserve"> 2005 </w:t>
      </w:r>
      <w:r w:rsidR="00E73E8E" w:rsidRPr="00742A04">
        <w:t>la proporción</w:t>
      </w:r>
      <w:r w:rsidR="008C4612" w:rsidRPr="00742A04">
        <w:t xml:space="preserve"> </w:t>
      </w:r>
      <w:r>
        <w:t>de muj</w:t>
      </w:r>
      <w:r>
        <w:t>e</w:t>
      </w:r>
      <w:r>
        <w:t xml:space="preserve">res entre </w:t>
      </w:r>
      <w:r w:rsidR="00BC43EC" w:rsidRPr="00742A04">
        <w:t>los miembros de juntas</w:t>
      </w:r>
      <w:r w:rsidR="00545D1B" w:rsidRPr="00742A04">
        <w:t xml:space="preserve"> </w:t>
      </w:r>
      <w:r w:rsidR="00BA02FF" w:rsidRPr="00742A04">
        <w:t xml:space="preserve">de </w:t>
      </w:r>
      <w:r w:rsidR="00EF71C9" w:rsidRPr="00742A04">
        <w:t>empresas</w:t>
      </w:r>
      <w:r w:rsidR="00BA02FF" w:rsidRPr="00742A04">
        <w:t xml:space="preserve"> totalmente de propiedad estatal</w:t>
      </w:r>
      <w:r w:rsidR="00545D1B" w:rsidRPr="00742A04">
        <w:t xml:space="preserve"> </w:t>
      </w:r>
      <w:r w:rsidR="00BA02FF" w:rsidRPr="00742A04">
        <w:t>eleg</w:t>
      </w:r>
      <w:r w:rsidR="00BA02FF" w:rsidRPr="00742A04">
        <w:t>i</w:t>
      </w:r>
      <w:r w:rsidR="00BA02FF" w:rsidRPr="00742A04">
        <w:t xml:space="preserve">dos por los accionistas </w:t>
      </w:r>
      <w:r w:rsidR="009D1A12" w:rsidRPr="00742A04">
        <w:t>era</w:t>
      </w:r>
      <w:r w:rsidR="00545D1B" w:rsidRPr="00742A04">
        <w:t xml:space="preserve"> </w:t>
      </w:r>
      <w:r w:rsidR="00BA02FF" w:rsidRPr="00742A04">
        <w:t>del 47,</w:t>
      </w:r>
      <w:r w:rsidR="00545D1B" w:rsidRPr="00742A04">
        <w:t>2</w:t>
      </w:r>
      <w:r w:rsidR="001167D2" w:rsidRPr="00742A04">
        <w:t>%</w:t>
      </w:r>
      <w:r w:rsidR="00545D1B" w:rsidRPr="00742A04">
        <w:t xml:space="preserve">, </w:t>
      </w:r>
      <w:r w:rsidR="00B8584B" w:rsidRPr="00742A04">
        <w:t>mientras 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A02FF" w:rsidRPr="00742A04">
        <w:t>las</w:t>
      </w:r>
      <w:r w:rsidR="00545D1B" w:rsidRPr="00742A04">
        <w:t xml:space="preserve"> </w:t>
      </w:r>
      <w:r w:rsidR="00EF71C9" w:rsidRPr="00742A04">
        <w:t>empr</w:t>
      </w:r>
      <w:r w:rsidR="00EF71C9" w:rsidRPr="00742A04">
        <w:t>e</w:t>
      </w:r>
      <w:r w:rsidR="00EF71C9" w:rsidRPr="00742A04">
        <w:t>sas</w:t>
      </w:r>
      <w:r w:rsidR="00545D1B" w:rsidRPr="00742A04">
        <w:t xml:space="preserve"> </w:t>
      </w:r>
      <w:r w:rsidRPr="00742A04">
        <w:t>parcialmente</w:t>
      </w:r>
      <w:r w:rsidR="00BA02FF" w:rsidRPr="00742A04">
        <w:t xml:space="preserve"> de propiedad e</w:t>
      </w:r>
      <w:r w:rsidR="00BA02FF" w:rsidRPr="00742A04">
        <w:t>s</w:t>
      </w:r>
      <w:r w:rsidR="00BA02FF" w:rsidRPr="00742A04">
        <w:t>tatal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BA02FF" w:rsidRPr="00742A04">
        <w:t>del 38,</w:t>
      </w:r>
      <w:r w:rsidR="00545D1B" w:rsidRPr="00742A04">
        <w:t>8</w:t>
      </w:r>
      <w:r w:rsidR="001167D2" w:rsidRPr="00742A04">
        <w:t>%</w:t>
      </w:r>
      <w:r w:rsidR="000A08D8" w:rsidRPr="00742A04">
        <w:t>.</w:t>
      </w:r>
    </w:p>
    <w:p w:rsidR="00010464" w:rsidRPr="00742A04" w:rsidRDefault="00010464" w:rsidP="00010464">
      <w:pPr>
        <w:pStyle w:val="H23"/>
        <w:spacing w:line="120" w:lineRule="exact"/>
        <w:ind w:left="1267"/>
        <w:rPr>
          <w:bCs/>
          <w:sz w:val="10"/>
        </w:rPr>
      </w:pPr>
      <w:bookmarkStart w:id="57" w:name="_Toc147129472"/>
    </w:p>
    <w:p w:rsidR="00010464" w:rsidRPr="00742A04" w:rsidRDefault="00814B5D" w:rsidP="00AA607E">
      <w:pPr>
        <w:pStyle w:val="H23"/>
        <w:ind w:left="1267"/>
      </w:pPr>
      <w:r w:rsidRPr="00742A04">
        <w:t>Artículo</w:t>
      </w:r>
      <w:r w:rsidR="00010464" w:rsidRPr="00742A04">
        <w:t xml:space="preserve"> 11.1</w:t>
      </w:r>
      <w:r w:rsidR="00AA607E" w:rsidRPr="00742A04">
        <w:t xml:space="preserve"> </w:t>
      </w:r>
      <w:r w:rsidR="00010464" w:rsidRPr="00742A04">
        <w:rPr>
          <w:i/>
        </w:rPr>
        <w:t>c</w:t>
      </w:r>
    </w:p>
    <w:p w:rsidR="00545D1B" w:rsidRPr="00742A04" w:rsidRDefault="00A05847" w:rsidP="00AA607E">
      <w:pPr>
        <w:pStyle w:val="H23"/>
        <w:ind w:left="1267"/>
      </w:pPr>
      <w:r w:rsidRPr="00742A04">
        <w:t>Educación</w:t>
      </w:r>
      <w:bookmarkEnd w:id="57"/>
    </w:p>
    <w:p w:rsidR="00010464" w:rsidRPr="00742A04" w:rsidRDefault="00010464" w:rsidP="00010464">
      <w:pPr>
        <w:pStyle w:val="SingleTxt"/>
        <w:spacing w:after="0" w:line="120" w:lineRule="exact"/>
        <w:rPr>
          <w:sz w:val="10"/>
        </w:rPr>
      </w:pPr>
    </w:p>
    <w:p w:rsidR="000A08D8" w:rsidRPr="00742A04" w:rsidRDefault="00426228" w:rsidP="00D574C4">
      <w:pPr>
        <w:pStyle w:val="SingleTxt"/>
        <w:ind w:firstLine="475"/>
      </w:pPr>
      <w:r w:rsidRPr="00742A04">
        <w:t>Esto figura</w:t>
      </w:r>
      <w:r w:rsidR="00545D1B" w:rsidRPr="00742A04">
        <w:t xml:space="preserve"> </w:t>
      </w:r>
      <w:r w:rsidRPr="00742A04">
        <w:t>principalmente</w:t>
      </w:r>
      <w:r w:rsidR="00545D1B" w:rsidRPr="00742A04">
        <w:t xml:space="preserve"> </w:t>
      </w:r>
      <w:r w:rsidR="00064906" w:rsidRPr="00742A04">
        <w:t xml:space="preserve">en </w:t>
      </w:r>
      <w:r w:rsidRPr="00742A04">
        <w:t xml:space="preserve">relación con </w:t>
      </w:r>
      <w:r w:rsidR="00064906" w:rsidRPr="00742A04">
        <w:t xml:space="preserve">el artículo </w:t>
      </w:r>
      <w:r w:rsidR="00545D1B" w:rsidRPr="00742A04">
        <w:t>10</w:t>
      </w:r>
      <w:r w:rsidR="000A08D8" w:rsidRPr="00742A04">
        <w:t>.</w:t>
      </w:r>
    </w:p>
    <w:p w:rsidR="00010464" w:rsidRPr="00742A04" w:rsidRDefault="00010464" w:rsidP="00010464">
      <w:pPr>
        <w:pStyle w:val="H23"/>
        <w:spacing w:line="120" w:lineRule="exact"/>
        <w:ind w:left="1267"/>
        <w:rPr>
          <w:bCs/>
          <w:sz w:val="10"/>
        </w:rPr>
      </w:pPr>
      <w:bookmarkStart w:id="58" w:name="_Toc147129473"/>
    </w:p>
    <w:p w:rsidR="00010464" w:rsidRPr="00742A04" w:rsidRDefault="00814B5D" w:rsidP="00AA607E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010464" w:rsidRPr="00742A04">
        <w:rPr>
          <w:bCs/>
        </w:rPr>
        <w:t xml:space="preserve"> 11.1</w:t>
      </w:r>
      <w:r w:rsidR="00AA607E" w:rsidRPr="00742A04">
        <w:rPr>
          <w:bCs/>
        </w:rPr>
        <w:t xml:space="preserve"> </w:t>
      </w:r>
      <w:r w:rsidR="00010464" w:rsidRPr="00742A04">
        <w:rPr>
          <w:bCs/>
          <w:i/>
        </w:rPr>
        <w:t>d</w:t>
      </w:r>
    </w:p>
    <w:p w:rsidR="00545D1B" w:rsidRPr="00742A04" w:rsidRDefault="00A05847" w:rsidP="00AA607E">
      <w:pPr>
        <w:pStyle w:val="H23"/>
        <w:ind w:left="1267"/>
        <w:rPr>
          <w:bCs/>
        </w:rPr>
      </w:pPr>
      <w:r w:rsidRPr="00742A04">
        <w:rPr>
          <w:bCs/>
        </w:rPr>
        <w:t>Igualdad de remuneración</w:t>
      </w:r>
      <w:bookmarkEnd w:id="58"/>
    </w:p>
    <w:p w:rsidR="00010464" w:rsidRPr="00742A04" w:rsidRDefault="00010464" w:rsidP="00010464">
      <w:pPr>
        <w:pStyle w:val="SingleTxt"/>
        <w:spacing w:after="0" w:line="120" w:lineRule="exact"/>
        <w:rPr>
          <w:sz w:val="10"/>
        </w:rPr>
      </w:pPr>
    </w:p>
    <w:p w:rsidR="000A08D8" w:rsidRPr="00742A04" w:rsidRDefault="00893DBB" w:rsidP="00D574C4">
      <w:pPr>
        <w:pStyle w:val="SingleTxt"/>
        <w:ind w:firstLine="475"/>
      </w:pPr>
      <w:r w:rsidRPr="00742A04">
        <w:t>Como término medio</w:t>
      </w:r>
      <w:r w:rsidR="00545D1B" w:rsidRPr="00742A04">
        <w:t xml:space="preserve">, </w:t>
      </w:r>
      <w:r w:rsidR="00A31FF2" w:rsidRPr="00742A04">
        <w:t>la remuneración</w:t>
      </w:r>
      <w:r w:rsidRPr="00742A04">
        <w:t xml:space="preserve"> mensual</w:t>
      </w:r>
      <w:r w:rsidR="00545D1B" w:rsidRPr="00742A04">
        <w:t xml:space="preserve"> </w:t>
      </w:r>
      <w:r w:rsidRPr="00742A04">
        <w:t xml:space="preserve">de las mujeres </w:t>
      </w:r>
      <w:r w:rsidR="00C14BFF" w:rsidRPr="00742A04">
        <w:t>en</w:t>
      </w:r>
      <w:r w:rsidR="00545D1B" w:rsidRPr="00742A04">
        <w:t xml:space="preserve"> 2005 </w:t>
      </w:r>
      <w:r w:rsidR="009D1A12" w:rsidRPr="00742A04">
        <w:t>era</w:t>
      </w:r>
      <w:r w:rsidR="00545D1B" w:rsidRPr="00742A04">
        <w:t xml:space="preserve"> equivalent</w:t>
      </w:r>
      <w:r w:rsidRPr="00742A04">
        <w:t>e</w:t>
      </w:r>
      <w:r w:rsidR="00545D1B" w:rsidRPr="00742A04">
        <w:t xml:space="preserve"> </w:t>
      </w:r>
      <w:r w:rsidR="0030626A" w:rsidRPr="00742A04">
        <w:t>a</w:t>
      </w:r>
      <w:r w:rsidRPr="00742A04">
        <w:t>l 84,</w:t>
      </w:r>
      <w:r w:rsidR="00545D1B" w:rsidRPr="00742A04">
        <w:t>5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(</w:t>
      </w:r>
      <w:r w:rsidRPr="00742A04">
        <w:t>incluidos los empleados de tiempo pa</w:t>
      </w:r>
      <w:r w:rsidRPr="00742A04">
        <w:t>r</w:t>
      </w:r>
      <w:r w:rsidRPr="00742A04">
        <w:t>cial</w:t>
      </w:r>
      <w:r w:rsidR="00545D1B" w:rsidRPr="00742A04">
        <w:t xml:space="preserve">). </w:t>
      </w:r>
      <w:r w:rsidR="000B41AF" w:rsidRPr="00742A04">
        <w:t>La principal</w:t>
      </w:r>
      <w:r w:rsidR="00545D1B" w:rsidRPr="00742A04">
        <w:t xml:space="preserve"> </w:t>
      </w:r>
      <w:r w:rsidR="00982243" w:rsidRPr="00742A04">
        <w:t>razón</w:t>
      </w:r>
      <w:r w:rsidR="00545D1B" w:rsidRPr="00742A04">
        <w:t xml:space="preserve"> </w:t>
      </w:r>
      <w:r w:rsidRPr="00742A04">
        <w:t>de las</w:t>
      </w:r>
      <w:r w:rsidR="00545D1B" w:rsidRPr="00742A04">
        <w:t xml:space="preserve"> </w:t>
      </w:r>
      <w:r w:rsidR="000B41AF" w:rsidRPr="00742A04">
        <w:t>significativa</w:t>
      </w:r>
      <w:r w:rsidRPr="00742A04">
        <w:t>s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Pr="00742A04">
        <w:t>de</w:t>
      </w:r>
      <w:r w:rsidR="00A31FF2" w:rsidRPr="00742A04">
        <w:t xml:space="preserve"> remuneración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los sexos</w:t>
      </w:r>
      <w:r w:rsidR="00545D1B" w:rsidRPr="00742A04">
        <w:t xml:space="preserve"> </w:t>
      </w:r>
      <w:r w:rsidR="0081178E" w:rsidRPr="00742A04">
        <w:t>es que</w:t>
      </w:r>
      <w:r w:rsidRPr="00742A04">
        <w:t xml:space="preserve">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116976" w:rsidRPr="00742A04">
        <w:t>trabaj</w:t>
      </w:r>
      <w:r w:rsidRPr="00742A04">
        <w:t>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42371" w:rsidRPr="00742A04">
        <w:t>diferente</w:t>
      </w:r>
      <w:r w:rsidRPr="00742A04">
        <w:t>s</w:t>
      </w:r>
      <w:r w:rsidR="00545D1B" w:rsidRPr="00742A04">
        <w:t xml:space="preserve"> </w:t>
      </w:r>
      <w:r w:rsidRPr="00742A04">
        <w:t>partes</w:t>
      </w:r>
      <w:r w:rsidR="00545D1B" w:rsidRPr="00742A04">
        <w:t xml:space="preserve"> </w:t>
      </w:r>
      <w:r w:rsidRPr="00742A04">
        <w:t xml:space="preserve">del </w:t>
      </w:r>
      <w:r w:rsidR="00434891" w:rsidRPr="00742A04">
        <w:t>mercado de trabajo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tienen</w:t>
      </w:r>
      <w:r w:rsidR="00545D1B" w:rsidRPr="00742A04">
        <w:t xml:space="preserve"> </w:t>
      </w:r>
      <w:r w:rsidR="00242371" w:rsidRPr="00742A04">
        <w:t>diferente</w:t>
      </w:r>
      <w:r w:rsidRPr="00742A04">
        <w:t>s</w:t>
      </w:r>
      <w:r w:rsidR="00545D1B" w:rsidRPr="00742A04">
        <w:t xml:space="preserve"> </w:t>
      </w:r>
      <w:r w:rsidR="00B82A08" w:rsidRPr="00742A04">
        <w:t>ocup</w:t>
      </w:r>
      <w:r w:rsidR="00545D1B" w:rsidRPr="00742A04">
        <w:t>a</w:t>
      </w:r>
      <w:r w:rsidR="008907B8" w:rsidRPr="00742A04">
        <w:t>ciones</w:t>
      </w:r>
      <w:r w:rsidR="00545D1B" w:rsidRPr="00742A04">
        <w:t xml:space="preserve">. </w:t>
      </w:r>
      <w:r w:rsidR="00EE31D6" w:rsidRPr="00742A04">
        <w:t>El mercado de trabajo de Noruega</w:t>
      </w:r>
      <w:r w:rsidR="00545D1B" w:rsidRPr="00742A04">
        <w:t xml:space="preserve"> </w:t>
      </w:r>
      <w:r w:rsidR="00BB4DB1" w:rsidRPr="00742A04">
        <w:t>es</w:t>
      </w:r>
      <w:r w:rsidRPr="00742A04">
        <w:t>tá</w:t>
      </w:r>
      <w:r w:rsidR="00545D1B" w:rsidRPr="00742A04">
        <w:t xml:space="preserve"> </w:t>
      </w:r>
      <w:r w:rsidR="00BC2FBE" w:rsidRPr="00742A04">
        <w:t>s</w:t>
      </w:r>
      <w:r w:rsidR="00BC2FBE" w:rsidRPr="00742A04">
        <w:t>u</w:t>
      </w:r>
      <w:r w:rsidR="00BC2FBE" w:rsidRPr="00742A04">
        <w:t>mamente</w:t>
      </w:r>
      <w:r w:rsidR="00545D1B" w:rsidRPr="00742A04">
        <w:t xml:space="preserve"> segrega</w:t>
      </w:r>
      <w:r w:rsidRPr="00742A04">
        <w:t xml:space="preserve">do </w:t>
      </w:r>
      <w:r w:rsidR="00537384" w:rsidRPr="00742A04">
        <w:t>en lo tocante a</w:t>
      </w:r>
      <w:r w:rsidR="00545D1B" w:rsidRPr="00742A04">
        <w:t xml:space="preserve"> </w:t>
      </w:r>
      <w:r w:rsidR="00A836A1" w:rsidRPr="00742A04">
        <w:t>género</w:t>
      </w:r>
      <w:r w:rsidR="00545D1B" w:rsidRPr="00742A04">
        <w:t xml:space="preserve">. </w:t>
      </w:r>
      <w:r w:rsidRPr="00742A04">
        <w:t>Los</w:t>
      </w:r>
      <w:r w:rsidR="00545D1B" w:rsidRPr="00742A04">
        <w:t xml:space="preserve"> </w:t>
      </w:r>
      <w:r w:rsidR="00C55B39" w:rsidRPr="00742A04">
        <w:t>sectores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2A08" w:rsidRPr="00742A04">
        <w:t>ocup</w:t>
      </w:r>
      <w:r w:rsidR="00545D1B" w:rsidRPr="00742A04">
        <w:t>a</w:t>
      </w:r>
      <w:r w:rsidR="008907B8" w:rsidRPr="00742A04">
        <w:t>ciones</w:t>
      </w:r>
      <w:r w:rsidR="00545D1B" w:rsidRPr="00742A04">
        <w:t xml:space="preserve"> </w:t>
      </w:r>
      <w:r w:rsidRPr="00742A04">
        <w:t>en que pr</w:t>
      </w:r>
      <w:r w:rsidRPr="00742A04">
        <w:t>e</w:t>
      </w:r>
      <w:r w:rsidRPr="00742A04">
        <w:t>dominan los hombres tienen</w:t>
      </w:r>
      <w:r w:rsidR="00545D1B" w:rsidRPr="00742A04">
        <w:t xml:space="preserve"> </w:t>
      </w:r>
      <w:r w:rsidRPr="00742A04">
        <w:t>niveles de remuneración</w:t>
      </w:r>
      <w:r w:rsidR="00545D1B" w:rsidRPr="00742A04">
        <w:t xml:space="preserve"> </w:t>
      </w:r>
      <w:r w:rsidRPr="00742A04">
        <w:t xml:space="preserve">más elevados </w:t>
      </w:r>
      <w:r w:rsidR="005C6D40" w:rsidRPr="00742A04">
        <w:t>que</w:t>
      </w:r>
      <w:r w:rsidR="00545D1B" w:rsidRPr="00742A04">
        <w:t xml:space="preserve"> </w:t>
      </w:r>
      <w:r w:rsidR="00A742D4" w:rsidRPr="00742A04">
        <w:t>l</w:t>
      </w:r>
      <w:r w:rsidRPr="00742A04">
        <w:t>os</w:t>
      </w:r>
      <w:r w:rsidR="00A742D4" w:rsidRPr="00742A04">
        <w:t xml:space="preserve"> sector</w:t>
      </w:r>
      <w:r w:rsidR="000220D6" w:rsidRPr="00742A04">
        <w:t>es y ocupaciones en que predominan las mujeres</w:t>
      </w:r>
      <w:r w:rsidR="00545D1B" w:rsidRPr="00742A04">
        <w:t xml:space="preserve">. </w:t>
      </w:r>
      <w:r w:rsidRPr="00742A04">
        <w:t>Esto puede relacionarse</w:t>
      </w:r>
      <w:r w:rsidR="00545D1B" w:rsidRPr="00742A04">
        <w:t xml:space="preserve">, </w:t>
      </w:r>
      <w:r w:rsidRPr="00742A04">
        <w:t>en cierta medida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="00BD47D3" w:rsidRPr="00742A04">
        <w:t>el hecho de que</w:t>
      </w:r>
      <w:r w:rsidR="00545D1B" w:rsidRPr="00742A04">
        <w:t xml:space="preserve"> </w:t>
      </w:r>
      <w:r w:rsidRPr="00742A04">
        <w:t xml:space="preserve">los </w:t>
      </w:r>
      <w:r w:rsidR="001167D2" w:rsidRPr="00742A04">
        <w:t>sistema</w:t>
      </w:r>
      <w:r w:rsidR="00545D1B" w:rsidRPr="00742A04">
        <w:t>s</w:t>
      </w:r>
      <w:r w:rsidRPr="00742A04">
        <w:t xml:space="preserve"> de negociación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0220D6" w:rsidRPr="00742A04">
        <w:t>poder</w:t>
      </w:r>
      <w:r w:rsidRPr="00742A04">
        <w:t xml:space="preserve"> de negociación</w:t>
      </w:r>
      <w:r w:rsidR="00545D1B" w:rsidRPr="00742A04">
        <w:t xml:space="preserve"> </w:t>
      </w:r>
      <w:r w:rsidR="00496A4A" w:rsidRPr="00742A04">
        <w:t>varían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495D7B" w:rsidRPr="00742A04">
        <w:t>un</w:t>
      </w:r>
      <w:r w:rsidR="004004FA">
        <w:t>a</w:t>
      </w:r>
      <w:r w:rsidR="00545D1B" w:rsidRPr="00742A04">
        <w:t xml:space="preserve"> </w:t>
      </w:r>
      <w:r w:rsidR="00B82A08" w:rsidRPr="00742A04">
        <w:t>ocup</w:t>
      </w:r>
      <w:r w:rsidR="00545D1B" w:rsidRPr="00742A04">
        <w:t>a</w:t>
      </w:r>
      <w:r w:rsidR="00C14BFF" w:rsidRPr="00742A04">
        <w:t>ción</w:t>
      </w:r>
      <w:r w:rsidRPr="00742A04">
        <w:t xml:space="preserve"> a otra</w:t>
      </w:r>
      <w:r w:rsidR="00C14BFF" w:rsidRPr="00742A04">
        <w:t xml:space="preserve"> </w:t>
      </w:r>
      <w:r w:rsidR="00877AA0" w:rsidRPr="00742A04">
        <w:t>y</w:t>
      </w:r>
      <w:r w:rsidRPr="00742A04">
        <w:t xml:space="preserve"> de un</w:t>
      </w:r>
      <w:r w:rsidR="00545D1B" w:rsidRPr="00742A04">
        <w:t xml:space="preserve"> sector </w:t>
      </w:r>
      <w:r w:rsidR="0030626A" w:rsidRPr="00742A04">
        <w:t>a</w:t>
      </w:r>
      <w:r w:rsidR="00545D1B" w:rsidRPr="00742A04">
        <w:t xml:space="preserve"> </w:t>
      </w:r>
      <w:r w:rsidRPr="00742A04">
        <w:t>otro</w:t>
      </w:r>
      <w:r w:rsidR="00545D1B" w:rsidRPr="00742A04">
        <w:t xml:space="preserve">. </w:t>
      </w:r>
      <w:r w:rsidR="00232DF9" w:rsidRPr="00742A04">
        <w:t>Entre otras cosas</w:t>
      </w:r>
      <w:r w:rsidR="00545D1B" w:rsidRPr="00742A04">
        <w:t xml:space="preserve">, </w:t>
      </w:r>
      <w:r w:rsidR="00053E81" w:rsidRPr="00742A04">
        <w:t xml:space="preserve">el </w:t>
      </w:r>
      <w:r w:rsidR="00545D1B" w:rsidRPr="00742A04">
        <w:t>model</w:t>
      </w:r>
      <w:r w:rsidR="00053E81" w:rsidRPr="00742A04">
        <w:t>o de negociación</w:t>
      </w:r>
      <w:r w:rsidR="00545D1B" w:rsidRPr="00742A04">
        <w:t xml:space="preserve"> </w:t>
      </w:r>
      <w:r w:rsidRPr="00742A04">
        <w:t xml:space="preserve">de Noruega </w:t>
      </w:r>
      <w:r w:rsidR="00502088" w:rsidRPr="00742A04">
        <w:t>está basado en</w:t>
      </w:r>
      <w:r w:rsidR="00545D1B" w:rsidRPr="00742A04">
        <w:t xml:space="preserve"> </w:t>
      </w:r>
      <w:r w:rsidR="003C5A2B" w:rsidRPr="00742A04">
        <w:t>la premisa de que</w:t>
      </w:r>
      <w:r w:rsidR="00545D1B" w:rsidRPr="00742A04">
        <w:t xml:space="preserve"> </w:t>
      </w:r>
      <w:r w:rsidR="007A665B" w:rsidRPr="00742A04">
        <w:t>el crecimiento</w:t>
      </w:r>
      <w:r w:rsidR="00053E81" w:rsidRPr="00742A04">
        <w:t xml:space="preserve"> salarial</w:t>
      </w:r>
      <w:r w:rsidR="00545D1B" w:rsidRPr="00742A04">
        <w:t xml:space="preserve"> </w:t>
      </w:r>
      <w:r w:rsidR="0020526A" w:rsidRPr="00742A04">
        <w:t>d</w:t>
      </w:r>
      <w:r w:rsidR="0020526A" w:rsidRPr="00742A04">
        <w:t>e</w:t>
      </w:r>
      <w:r w:rsidR="0020526A" w:rsidRPr="00742A04">
        <w:t xml:space="preserve">be </w:t>
      </w:r>
      <w:r w:rsidR="00545D1B" w:rsidRPr="00742A04">
        <w:t>adapt</w:t>
      </w:r>
      <w:r w:rsidR="00053E81" w:rsidRPr="00742A04">
        <w:t>arse</w:t>
      </w:r>
      <w:r w:rsidR="00545D1B" w:rsidRPr="00742A04">
        <w:t xml:space="preserve"> </w:t>
      </w:r>
      <w:r w:rsidR="0030626A" w:rsidRPr="00742A04">
        <w:t>a</w:t>
      </w:r>
      <w:r w:rsidR="00053E81" w:rsidRPr="00742A04">
        <w:t>l</w:t>
      </w:r>
      <w:r w:rsidR="00545D1B" w:rsidRPr="00742A04">
        <w:t xml:space="preserve"> sector</w:t>
      </w:r>
      <w:r w:rsidR="00053E81" w:rsidRPr="00742A04">
        <w:t xml:space="preserve"> competitivo</w:t>
      </w:r>
      <w:r w:rsidR="00545D1B" w:rsidRPr="00742A04">
        <w:t xml:space="preserve">. </w:t>
      </w:r>
      <w:r w:rsidR="00053E81" w:rsidRPr="00742A04">
        <w:t>El</w:t>
      </w:r>
      <w:r w:rsidR="00545D1B" w:rsidRPr="00742A04">
        <w:t xml:space="preserve"> </w:t>
      </w:r>
      <w:r w:rsidR="00545D1B" w:rsidRPr="00742A04">
        <w:rPr>
          <w:i/>
        </w:rPr>
        <w:t>frontfagsmodell</w:t>
      </w:r>
      <w:r w:rsidR="00545D1B" w:rsidRPr="00742A04">
        <w:t xml:space="preserve"> (</w:t>
      </w:r>
      <w:r w:rsidR="00053E81" w:rsidRPr="00742A04">
        <w:t xml:space="preserve">modelo de </w:t>
      </w:r>
      <w:r w:rsidR="00B82A08" w:rsidRPr="00742A04">
        <w:t>ocup</w:t>
      </w:r>
      <w:r w:rsidR="00545D1B" w:rsidRPr="00742A04">
        <w:t>a</w:t>
      </w:r>
      <w:r w:rsidR="00C14BFF" w:rsidRPr="00742A04">
        <w:t>ción</w:t>
      </w:r>
      <w:r w:rsidR="00053E81" w:rsidRPr="00742A04">
        <w:t xml:space="preserve"> de vanguardia) ha</w:t>
      </w:r>
      <w:r w:rsidR="00545D1B" w:rsidRPr="00742A04">
        <w:t xml:space="preserve"> </w:t>
      </w:r>
      <w:r w:rsidR="000A5430" w:rsidRPr="00742A04">
        <w:t>contribui</w:t>
      </w:r>
      <w:r w:rsidR="00545D1B" w:rsidRPr="00742A04">
        <w:t>d</w:t>
      </w:r>
      <w:r w:rsidR="00053E81" w:rsidRPr="00742A04">
        <w:t>o al logro de un</w:t>
      </w:r>
      <w:r w:rsidR="00545D1B" w:rsidRPr="00742A04">
        <w:t xml:space="preserve"> </w:t>
      </w:r>
      <w:r w:rsidR="005C19C7" w:rsidRPr="00742A04">
        <w:t>buen</w:t>
      </w:r>
      <w:r w:rsidR="00545D1B" w:rsidRPr="00742A04">
        <w:t xml:space="preserve"> </w:t>
      </w:r>
      <w:r w:rsidR="007A665B" w:rsidRPr="00742A04">
        <w:t>crecimiento</w:t>
      </w:r>
      <w:r w:rsidR="00545D1B" w:rsidRPr="00742A04">
        <w:t xml:space="preserve"> </w:t>
      </w:r>
      <w:r w:rsidR="00053E81" w:rsidRPr="00742A04">
        <w:t xml:space="preserve">económico </w:t>
      </w:r>
      <w:r w:rsidR="00877AA0" w:rsidRPr="00742A04">
        <w:t>y</w:t>
      </w:r>
      <w:r w:rsidR="00545D1B" w:rsidRPr="00742A04">
        <w:t xml:space="preserve"> </w:t>
      </w:r>
      <w:r w:rsidR="00053E81" w:rsidRPr="00742A04">
        <w:t>una</w:t>
      </w:r>
      <w:r w:rsidR="00545D1B" w:rsidRPr="00742A04">
        <w:t xml:space="preserve"> </w:t>
      </w:r>
      <w:r w:rsidR="00053E81" w:rsidRPr="00742A04">
        <w:t>baja</w:t>
      </w:r>
      <w:r w:rsidR="00545D1B" w:rsidRPr="00742A04">
        <w:t xml:space="preserve"> </w:t>
      </w:r>
      <w:r w:rsidR="00585E84" w:rsidRPr="00742A04">
        <w:t>tasa de desempleo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BA0349" w:rsidRPr="00742A04">
        <w:t>tam</w:t>
      </w:r>
      <w:r w:rsidR="00053E81" w:rsidRPr="00742A04">
        <w:t>bién puede</w:t>
      </w:r>
      <w:r w:rsidR="00545D1B" w:rsidRPr="00742A04">
        <w:t xml:space="preserve"> </w:t>
      </w:r>
      <w:r w:rsidR="00053E81" w:rsidRPr="00742A04">
        <w:t>explicar</w:t>
      </w:r>
      <w:r w:rsidR="00545D1B" w:rsidRPr="00742A04">
        <w:t xml:space="preserve"> </w:t>
      </w:r>
      <w:r w:rsidR="00053E81" w:rsidRPr="00742A04">
        <w:t>por qué</w:t>
      </w:r>
      <w:r w:rsidR="00545D1B" w:rsidRPr="00742A04">
        <w:t xml:space="preserve"> </w:t>
      </w:r>
      <w:r w:rsidR="00053E81" w:rsidRPr="00742A04">
        <w:t>algunos</w:t>
      </w:r>
      <w:r w:rsidR="00545D1B" w:rsidRPr="00742A04">
        <w:t xml:space="preserve"> </w:t>
      </w:r>
      <w:r w:rsidR="0081178E" w:rsidRPr="00742A04">
        <w:t>grupos</w:t>
      </w:r>
      <w:r w:rsidR="00545D1B" w:rsidRPr="00742A04">
        <w:t xml:space="preserve"> </w:t>
      </w:r>
      <w:r w:rsidR="00053E81" w:rsidRPr="00742A04">
        <w:t>tienen</w:t>
      </w:r>
      <w:r w:rsidR="00545D1B" w:rsidRPr="00742A04">
        <w:t xml:space="preserve"> </w:t>
      </w:r>
      <w:r w:rsidR="00982243" w:rsidRPr="00742A04">
        <w:t xml:space="preserve">un mayor </w:t>
      </w:r>
      <w:r w:rsidR="000220D6" w:rsidRPr="00742A04">
        <w:t>poder</w:t>
      </w:r>
      <w:r w:rsidR="00545D1B" w:rsidRPr="00742A04">
        <w:t xml:space="preserve"> </w:t>
      </w:r>
      <w:r w:rsidR="00053E81" w:rsidRPr="00742A04">
        <w:t xml:space="preserve">de negociación </w:t>
      </w:r>
      <w:r w:rsidR="005C6D40" w:rsidRPr="00742A04">
        <w:t>que</w:t>
      </w:r>
      <w:r w:rsidR="00545D1B" w:rsidRPr="00742A04">
        <w:t xml:space="preserve"> </w:t>
      </w:r>
      <w:r w:rsidR="00053E81" w:rsidRPr="00742A04">
        <w:t>otros</w:t>
      </w:r>
      <w:r w:rsidR="00545D1B" w:rsidRPr="00742A04">
        <w:t xml:space="preserve">. </w:t>
      </w:r>
      <w:r w:rsidR="00053E81" w:rsidRPr="00742A04">
        <w:t>Hay otros</w:t>
      </w:r>
      <w:r w:rsidR="00545D1B" w:rsidRPr="00742A04">
        <w:t xml:space="preserve"> </w:t>
      </w:r>
      <w:r w:rsidR="00657260" w:rsidRPr="00742A04">
        <w:t>factores</w:t>
      </w:r>
      <w:r w:rsidR="00053E81" w:rsidRPr="00742A04">
        <w:t xml:space="preserve"> subyacentes que</w:t>
      </w:r>
      <w:r w:rsidR="00545D1B" w:rsidRPr="00742A04">
        <w:t xml:space="preserve"> </w:t>
      </w:r>
      <w:r w:rsidR="00BA0349" w:rsidRPr="00742A04">
        <w:t>también pueden</w:t>
      </w:r>
      <w:r w:rsidR="00545D1B" w:rsidRPr="00742A04">
        <w:t xml:space="preserve"> </w:t>
      </w:r>
      <w:r w:rsidR="00CE7870" w:rsidRPr="00742A04">
        <w:t>contribuir a</w:t>
      </w:r>
      <w:r w:rsidR="00545D1B" w:rsidRPr="00742A04">
        <w:t xml:space="preserve"> </w:t>
      </w:r>
      <w:r w:rsidR="00053E81" w:rsidRPr="00742A04">
        <w:t>explicar</w:t>
      </w:r>
      <w:r w:rsidR="00545D1B" w:rsidRPr="00742A04">
        <w:t xml:space="preserve"> </w:t>
      </w:r>
      <w:r w:rsidR="00053E81" w:rsidRPr="00742A04">
        <w:t>la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. </w:t>
      </w:r>
      <w:r w:rsidR="00053E81" w:rsidRPr="00742A04">
        <w:t>Una p</w:t>
      </w:r>
      <w:r w:rsidR="00B62650" w:rsidRPr="00742A04">
        <w:t>ar</w:t>
      </w:r>
      <w:r w:rsidR="00053E81" w:rsidRPr="00742A04">
        <w:t>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53E81" w:rsidRPr="00742A04">
        <w:t>la brecha de remuneraci</w:t>
      </w:r>
      <w:r w:rsidR="00053E81" w:rsidRPr="00742A04">
        <w:t>o</w:t>
      </w:r>
      <w:r w:rsidR="00053E81" w:rsidRPr="00742A04">
        <w:t>nes</w:t>
      </w:r>
      <w:r w:rsidR="00545D1B" w:rsidRPr="00742A04">
        <w:t xml:space="preserve"> </w:t>
      </w:r>
      <w:r w:rsidR="00053E81" w:rsidRPr="00742A04">
        <w:t>se debe a que</w:t>
      </w:r>
      <w:r w:rsidR="00545D1B" w:rsidRPr="00742A04">
        <w:t xml:space="preserve"> </w:t>
      </w:r>
      <w:r w:rsidR="00053E81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53E81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053E81" w:rsidRPr="00742A04">
        <w:t>tienen</w:t>
      </w:r>
      <w:r w:rsidR="00545D1B" w:rsidRPr="00742A04">
        <w:t xml:space="preserve"> </w:t>
      </w:r>
      <w:r w:rsidR="00242371" w:rsidRPr="00742A04">
        <w:t>diferente</w:t>
      </w:r>
      <w:r w:rsidR="002213CF" w:rsidRPr="00742A04">
        <w:t xml:space="preserve"> acceso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053E81" w:rsidRPr="00742A04">
        <w:t>los puestos</w:t>
      </w:r>
      <w:r w:rsidR="00545D1B" w:rsidRPr="00742A04">
        <w:t xml:space="preserve">, </w:t>
      </w:r>
      <w:r w:rsidR="00024DBC" w:rsidRPr="00742A04">
        <w:t>y que</w:t>
      </w:r>
      <w:r w:rsidR="00545D1B" w:rsidRPr="00742A04">
        <w:t xml:space="preserve"> </w:t>
      </w:r>
      <w:r w:rsidR="00053E81" w:rsidRPr="00742A04">
        <w:t xml:space="preserve">frecuentemente las </w:t>
      </w:r>
      <w:r w:rsidR="00072AD7" w:rsidRPr="00742A04">
        <w:t>mujeres</w:t>
      </w:r>
      <w:r w:rsidR="00545D1B" w:rsidRPr="00742A04">
        <w:t xml:space="preserve"> </w:t>
      </w:r>
      <w:r w:rsidR="00053E81" w:rsidRPr="00742A04">
        <w:t>están</w:t>
      </w:r>
      <w:r w:rsidR="00545D1B" w:rsidRPr="00742A04">
        <w:t xml:space="preserve"> empl</w:t>
      </w:r>
      <w:r w:rsidR="00053E81" w:rsidRPr="00742A04">
        <w:t>eadas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53E81" w:rsidRPr="00742A04">
        <w:t>puestos de menor remuneración</w:t>
      </w:r>
      <w:r w:rsidR="00545D1B" w:rsidRPr="00742A04">
        <w:t xml:space="preserve"> </w:t>
      </w:r>
      <w:r w:rsidR="0081178E" w:rsidRPr="00742A04">
        <w:t>que los hombres</w:t>
      </w:r>
      <w:r w:rsidR="00545D1B" w:rsidRPr="00742A04">
        <w:t xml:space="preserve">. </w:t>
      </w:r>
      <w:r w:rsidR="00053E81" w:rsidRPr="00742A04">
        <w:t xml:space="preserve">También pueden ocurrir casos de </w:t>
      </w:r>
      <w:r w:rsidR="00A31FF2" w:rsidRPr="00742A04">
        <w:t>remuneración</w:t>
      </w:r>
      <w:r w:rsidR="00545D1B" w:rsidRPr="00742A04">
        <w:t xml:space="preserve"> </w:t>
      </w:r>
      <w:r w:rsidR="00053E81" w:rsidRPr="00742A04">
        <w:t xml:space="preserve">diferente </w:t>
      </w:r>
      <w:r w:rsidR="00F43124" w:rsidRPr="00742A04">
        <w:t>para</w:t>
      </w:r>
      <w:r w:rsidR="00545D1B" w:rsidRPr="00742A04">
        <w:t xml:space="preserve"> </w:t>
      </w:r>
      <w:r w:rsidR="00053E81" w:rsidRPr="00742A04">
        <w:t>un mi</w:t>
      </w:r>
      <w:r w:rsidR="00053E81" w:rsidRPr="00742A04">
        <w:t>s</w:t>
      </w:r>
      <w:r w:rsidR="00053E81" w:rsidRPr="00742A04">
        <w:t>mo</w:t>
      </w:r>
      <w:r w:rsidR="00545D1B" w:rsidRPr="00742A04">
        <w:t xml:space="preserve"> </w:t>
      </w:r>
      <w:r w:rsidR="00615664" w:rsidRPr="00742A04">
        <w:t>tipo</w:t>
      </w:r>
      <w:r w:rsidR="00521F2B" w:rsidRPr="00742A04">
        <w:t xml:space="preserve"> de</w:t>
      </w:r>
      <w:r w:rsidR="004F2F8A" w:rsidRPr="00742A04">
        <w:t xml:space="preserve"> </w:t>
      </w:r>
      <w:r w:rsidR="00116976" w:rsidRPr="00742A04">
        <w:t>trabajo</w:t>
      </w:r>
      <w:r w:rsidR="00545D1B" w:rsidRPr="00742A04">
        <w:t xml:space="preserve">. </w:t>
      </w:r>
      <w:r w:rsidR="00750E87" w:rsidRPr="00742A04">
        <w:t>Como término medio</w:t>
      </w:r>
      <w:r w:rsidR="00545D1B" w:rsidRPr="00742A04">
        <w:t xml:space="preserve">, </w:t>
      </w:r>
      <w:r w:rsidR="00750E87" w:rsidRPr="00742A04">
        <w:t>la diferencia de remuneración por m</w:t>
      </w:r>
      <w:r w:rsidR="00750E87" w:rsidRPr="00742A04">
        <w:t>o</w:t>
      </w:r>
      <w:r w:rsidR="00750E87" w:rsidRPr="00742A04">
        <w:t xml:space="preserve">tivos de género </w:t>
      </w:r>
      <w:r w:rsidR="00BB4DB1" w:rsidRPr="00742A04">
        <w:t>es</w:t>
      </w:r>
      <w:r w:rsidR="00545D1B" w:rsidRPr="00742A04">
        <w:t xml:space="preserve"> </w:t>
      </w:r>
      <w:r w:rsidR="00750E87" w:rsidRPr="00742A04">
        <w:t>de aproximadamente un</w:t>
      </w:r>
      <w:r w:rsidR="00545D1B" w:rsidRPr="00742A04">
        <w:t xml:space="preserve"> 16</w:t>
      </w:r>
      <w:r w:rsidR="001167D2" w:rsidRPr="00742A04">
        <w:t>%</w:t>
      </w:r>
      <w:r w:rsidR="00545D1B" w:rsidRPr="00742A04">
        <w:t xml:space="preserve"> </w:t>
      </w:r>
      <w:r w:rsidR="00750E87" w:rsidRPr="00742A04">
        <w:t>por hora</w:t>
      </w:r>
      <w:r w:rsidR="00545D1B" w:rsidRPr="00742A04">
        <w:t xml:space="preserve">. </w:t>
      </w:r>
      <w:r w:rsidR="00C076F2" w:rsidRPr="00742A04">
        <w:t>Las diferencias</w:t>
      </w:r>
      <w:r w:rsidR="00545D1B" w:rsidRPr="00742A04">
        <w:t xml:space="preserve"> </w:t>
      </w:r>
      <w:r w:rsidR="00750E87" w:rsidRPr="00742A04">
        <w:t>d</w:t>
      </w:r>
      <w:r w:rsidR="00C14BFF" w:rsidRPr="00742A04">
        <w:t>e</w:t>
      </w:r>
      <w:r w:rsidR="00A31FF2" w:rsidRPr="00742A04">
        <w:t xml:space="preserve"> remuner</w:t>
      </w:r>
      <w:r w:rsidR="00A31FF2" w:rsidRPr="00742A04">
        <w:t>a</w:t>
      </w:r>
      <w:r w:rsidR="00A31FF2" w:rsidRPr="00742A04">
        <w:t>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750E87" w:rsidRPr="00742A04">
        <w:t>resultan</w:t>
      </w:r>
      <w:r w:rsidR="00545D1B" w:rsidRPr="00742A04">
        <w:t xml:space="preserve"> intensifi</w:t>
      </w:r>
      <w:r w:rsidR="00750E87" w:rsidRPr="00742A04">
        <w:t>cadas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BD47D3" w:rsidRPr="00742A04">
        <w:t>el hecho de que</w:t>
      </w:r>
      <w:r w:rsidR="00545D1B" w:rsidRPr="00742A04">
        <w:t xml:space="preserve"> </w:t>
      </w:r>
      <w:r w:rsidR="00750E87" w:rsidRPr="00742A04">
        <w:t>un mayor número de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750E87" w:rsidRPr="00742A04">
        <w:t xml:space="preserve">de </w:t>
      </w:r>
      <w:r w:rsidR="00072AD7" w:rsidRPr="00742A04">
        <w:t>mujeres</w:t>
      </w:r>
      <w:r w:rsidR="00545D1B" w:rsidRPr="00742A04">
        <w:t xml:space="preserve"> rec</w:t>
      </w:r>
      <w:r w:rsidR="00750E87" w:rsidRPr="00742A04">
        <w:t>iben</w:t>
      </w:r>
      <w:r w:rsidR="00545D1B" w:rsidRPr="00742A04">
        <w:t xml:space="preserve"> </w:t>
      </w:r>
      <w:r w:rsidR="00587443" w:rsidRPr="00742A04">
        <w:t>di</w:t>
      </w:r>
      <w:r w:rsidR="00750E87" w:rsidRPr="00742A04">
        <w:t>versa</w:t>
      </w:r>
      <w:r w:rsidR="00587443" w:rsidRPr="00742A04">
        <w:t>s</w:t>
      </w:r>
      <w:r w:rsidR="00545D1B" w:rsidRPr="00742A04">
        <w:t xml:space="preserve"> </w:t>
      </w:r>
      <w:r w:rsidR="00041F24" w:rsidRPr="00742A04">
        <w:t>formas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50E87" w:rsidRPr="00742A04">
        <w:t>com</w:t>
      </w:r>
      <w:r w:rsidR="00545D1B" w:rsidRPr="00742A04">
        <w:t>plement</w:t>
      </w:r>
      <w:r w:rsidR="00750E87" w:rsidRPr="00742A04">
        <w:t>o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E315DA" w:rsidRPr="00742A04">
        <w:t>gr</w:t>
      </w:r>
      <w:r w:rsidR="00E315DA" w:rsidRPr="00742A04">
        <w:t>a</w:t>
      </w:r>
      <w:r w:rsidR="00E315DA" w:rsidRPr="00742A04">
        <w:t>tificaciones</w:t>
      </w:r>
      <w:r w:rsidR="00545D1B" w:rsidRPr="00742A04">
        <w:t xml:space="preserve">. </w:t>
      </w:r>
      <w:r w:rsidR="00537384" w:rsidRPr="00742A04">
        <w:t>En lo tocante a</w:t>
      </w:r>
      <w:r w:rsidR="00545D1B" w:rsidRPr="00742A04">
        <w:t xml:space="preserve"> </w:t>
      </w:r>
      <w:r w:rsidR="00A31FF2" w:rsidRPr="00742A04">
        <w:t>la remuneración</w:t>
      </w:r>
      <w:r w:rsidR="00545D1B" w:rsidRPr="00742A04">
        <w:t xml:space="preserve"> </w:t>
      </w:r>
      <w:r w:rsidR="00E315DA" w:rsidRPr="00742A04">
        <w:t xml:space="preserve">contractual </w:t>
      </w:r>
      <w:r w:rsidR="008E5EBF" w:rsidRPr="00742A04">
        <w:t>o</w:t>
      </w:r>
      <w:r w:rsidR="00545D1B" w:rsidRPr="00742A04">
        <w:t xml:space="preserve"> </w:t>
      </w:r>
      <w:r w:rsidR="00A31FF2" w:rsidRPr="00742A04">
        <w:t>la remuneración</w:t>
      </w:r>
      <w:r w:rsidR="00545D1B" w:rsidRPr="00742A04">
        <w:t xml:space="preserve"> </w:t>
      </w:r>
      <w:r w:rsidR="00E315DA" w:rsidRPr="00742A04">
        <w:t>básica por sí sola</w:t>
      </w:r>
      <w:r w:rsidR="00545D1B" w:rsidRPr="00742A04">
        <w:t xml:space="preserve">, </w:t>
      </w:r>
      <w:r w:rsidR="00A31FF2" w:rsidRPr="00742A04">
        <w:t>la remuneración</w:t>
      </w:r>
      <w:r w:rsidR="00545D1B" w:rsidRPr="00742A04">
        <w:t xml:space="preserve"> </w:t>
      </w:r>
      <w:r w:rsidR="00E315DA" w:rsidRPr="00742A04">
        <w:t>de las mujeres equivalía al 85,</w:t>
      </w:r>
      <w:r w:rsidR="00545D1B" w:rsidRPr="00742A04">
        <w:t>9</w:t>
      </w:r>
      <w:r w:rsidR="001167D2" w:rsidRPr="00742A04">
        <w:t>%</w:t>
      </w:r>
      <w:r w:rsidR="008C4612" w:rsidRPr="00742A04">
        <w:t xml:space="preserve"> </w:t>
      </w:r>
      <w:r w:rsidR="00E315DA" w:rsidRPr="00742A04">
        <w:t xml:space="preserve">de la </w:t>
      </w:r>
      <w:r w:rsidR="008C4612" w:rsidRPr="00742A04">
        <w:t xml:space="preserve">de </w:t>
      </w:r>
      <w:r w:rsidR="00C076F2" w:rsidRPr="00742A04">
        <w:t xml:space="preserve">los </w:t>
      </w:r>
      <w:r w:rsidR="007E0DFE" w:rsidRPr="00742A04">
        <w:t>hombres</w:t>
      </w:r>
      <w:r w:rsidR="00545D1B" w:rsidRPr="00742A04">
        <w:t xml:space="preserve">. </w:t>
      </w:r>
      <w:r w:rsidR="00E315DA" w:rsidRPr="00742A04">
        <w:t>Computando los complementos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315DA" w:rsidRPr="00742A04">
        <w:t>gratificaciones</w:t>
      </w:r>
      <w:r w:rsidR="00545D1B" w:rsidRPr="00742A04">
        <w:t xml:space="preserve"> </w:t>
      </w:r>
      <w:r w:rsidR="00E315DA" w:rsidRPr="00742A04">
        <w:t>irregulares</w:t>
      </w:r>
      <w:r w:rsidR="00545D1B" w:rsidRPr="00742A04">
        <w:t xml:space="preserve">, </w:t>
      </w:r>
      <w:r w:rsidR="004D2A67" w:rsidRPr="00742A04">
        <w:t>el porcentaje</w:t>
      </w:r>
      <w:r w:rsidR="00545D1B" w:rsidRPr="00742A04">
        <w:t xml:space="preserve"> </w:t>
      </w:r>
      <w:r w:rsidR="00E315DA" w:rsidRPr="00742A04">
        <w:t>baja al</w:t>
      </w:r>
      <w:r w:rsidR="00545D1B" w:rsidRPr="00742A04">
        <w:t xml:space="preserve"> 84</w:t>
      </w:r>
      <w:r w:rsidR="00E270D5" w:rsidRPr="00742A04">
        <w:t>,7%</w:t>
      </w:r>
      <w:r w:rsidR="00545D1B" w:rsidRPr="00742A04">
        <w:t>,</w:t>
      </w:r>
      <w:r w:rsidR="002E5047" w:rsidRPr="00742A04">
        <w:t xml:space="preserve"> </w:t>
      </w:r>
      <w:r w:rsidR="00E315DA" w:rsidRPr="00742A04">
        <w:t>y</w:t>
      </w:r>
      <w:r w:rsidR="002E5047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E315DA" w:rsidRPr="00742A04">
        <w:t xml:space="preserve">también se computa </w:t>
      </w:r>
      <w:r w:rsidR="00A31FF2" w:rsidRPr="00742A04">
        <w:t>la remuneración</w:t>
      </w:r>
      <w:r w:rsidR="00545D1B" w:rsidRPr="00742A04">
        <w:t xml:space="preserve"> </w:t>
      </w:r>
      <w:r w:rsidR="00E315DA" w:rsidRPr="00742A04">
        <w:t xml:space="preserve">por horas extras, </w:t>
      </w:r>
      <w:r w:rsidR="004D2A67" w:rsidRPr="00742A04">
        <w:t>el porce</w:t>
      </w:r>
      <w:r w:rsidR="004D2A67" w:rsidRPr="00742A04">
        <w:t>n</w:t>
      </w:r>
      <w:r w:rsidR="004D2A67" w:rsidRPr="00742A04">
        <w:t>taje</w:t>
      </w:r>
      <w:r w:rsidR="00545D1B" w:rsidRPr="00742A04">
        <w:t xml:space="preserve"> </w:t>
      </w:r>
      <w:r w:rsidR="00E315DA" w:rsidRPr="00742A04">
        <w:t>baja aún más, al 82,</w:t>
      </w:r>
      <w:r w:rsidR="00545D1B" w:rsidRPr="00742A04">
        <w:t>8</w:t>
      </w:r>
      <w:r w:rsidR="001167D2" w:rsidRPr="00742A04">
        <w:t>%</w:t>
      </w:r>
      <w:r w:rsidR="000A08D8" w:rsidRPr="00742A04">
        <w:t>.</w:t>
      </w:r>
    </w:p>
    <w:p w:rsidR="000A08D8" w:rsidRPr="00742A04" w:rsidRDefault="006F4432" w:rsidP="00D574C4">
      <w:pPr>
        <w:pStyle w:val="SingleTxt"/>
        <w:ind w:firstLine="475"/>
      </w:pPr>
      <w:r w:rsidRPr="00742A04">
        <w:t>La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 </w:t>
      </w:r>
      <w:r w:rsidRPr="00742A04">
        <w:t>relativa d</w:t>
      </w:r>
      <w:r w:rsidR="00C14BFF" w:rsidRPr="00742A04">
        <w:t>e</w:t>
      </w:r>
      <w:r w:rsidR="00A31FF2" w:rsidRPr="00742A04">
        <w:t xml:space="preserve"> remuneración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Pr="00742A04">
        <w:t xml:space="preserve">en </w:t>
      </w:r>
      <w:r w:rsidR="004B580D" w:rsidRPr="00742A04">
        <w:t>el sector privado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mayor en las</w:t>
      </w:r>
      <w:r w:rsidR="00545D1B" w:rsidRPr="00742A04">
        <w:t xml:space="preserve"> </w:t>
      </w:r>
      <w:r w:rsidR="00B82A08" w:rsidRPr="00742A04">
        <w:t>ocup</w:t>
      </w:r>
      <w:r w:rsidR="00545D1B" w:rsidRPr="00742A04">
        <w:t>a</w:t>
      </w:r>
      <w:r w:rsidR="008907B8" w:rsidRPr="00742A04">
        <w:t>ciones</w:t>
      </w:r>
      <w:r w:rsidR="00545D1B" w:rsidRPr="00742A04">
        <w:t xml:space="preserve"> </w:t>
      </w:r>
      <w:r w:rsidRPr="00742A04">
        <w:t>que tienen los</w:t>
      </w:r>
      <w:r w:rsidR="00545D1B" w:rsidRPr="00742A04">
        <w:t xml:space="preserve"> </w:t>
      </w:r>
      <w:r w:rsidR="00893DBB" w:rsidRPr="00742A04">
        <w:t>niveles de remuneración</w:t>
      </w:r>
      <w:r w:rsidR="00054391">
        <w:t xml:space="preserve"> más</w:t>
      </w:r>
      <w:r w:rsidRPr="00742A04">
        <w:t xml:space="preserve"> elevados</w:t>
      </w:r>
      <w:r w:rsidR="00545D1B" w:rsidRPr="00742A04">
        <w:t xml:space="preserve">, </w:t>
      </w:r>
      <w:r w:rsidR="00502E16" w:rsidRPr="00742A04">
        <w:t>es decir,</w:t>
      </w:r>
      <w:r w:rsidR="00545D1B" w:rsidRPr="00742A04">
        <w:t xml:space="preserve"> </w:t>
      </w:r>
      <w:r w:rsidRPr="00742A04">
        <w:t>los puestos gerenciales</w:t>
      </w:r>
      <w:r w:rsidR="00545D1B" w:rsidRPr="00742A04">
        <w:t xml:space="preserve">, </w:t>
      </w:r>
      <w:r w:rsidRPr="00742A04">
        <w:t>las profesiones</w:t>
      </w:r>
      <w:r w:rsidR="00545D1B" w:rsidRPr="00742A04">
        <w:t xml:space="preserve"> </w:t>
      </w:r>
      <w:r w:rsidRPr="00742A04">
        <w:t xml:space="preserve">que requieren una formación académica </w:t>
      </w:r>
      <w:r w:rsidR="00877AA0" w:rsidRPr="00742A04">
        <w:t>y</w:t>
      </w:r>
      <w:r w:rsidR="00545D1B" w:rsidRPr="00742A04">
        <w:t xml:space="preserve"> </w:t>
      </w:r>
      <w:r w:rsidRPr="00742A04">
        <w:t>las profesiones que requieren ser graduado de un colegio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Pr="00742A04">
        <w:t>los puestos gerenciales</w:t>
      </w:r>
      <w:r w:rsidR="00545D1B" w:rsidRPr="00742A04">
        <w:t xml:space="preserve">, </w:t>
      </w:r>
      <w:r w:rsidRPr="00742A04">
        <w:t>c</w:t>
      </w:r>
      <w:r w:rsidR="00750E87" w:rsidRPr="00742A04">
        <w:t>omo término medio</w:t>
      </w:r>
      <w:r w:rsidR="00545D1B" w:rsidRPr="00742A04">
        <w:t xml:space="preserve">, </w:t>
      </w:r>
      <w:r w:rsidRPr="00742A04">
        <w:t xml:space="preserve">los ingresos mensuales de las </w:t>
      </w:r>
      <w:r w:rsidR="00072AD7" w:rsidRPr="00742A04">
        <w:t>mujeres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Pr="00742A04">
        <w:t xml:space="preserve">equivalen al </w:t>
      </w:r>
      <w:r w:rsidR="00545D1B" w:rsidRPr="00742A04">
        <w:t>81</w:t>
      </w:r>
      <w:r w:rsidR="001167D2" w:rsidRPr="00742A04">
        <w:t>%</w:t>
      </w:r>
      <w:r w:rsidR="008C4612" w:rsidRPr="00742A04">
        <w:t xml:space="preserve"> </w:t>
      </w:r>
      <w:r w:rsidRPr="00742A04">
        <w:t xml:space="preserve">de los </w:t>
      </w:r>
      <w:r w:rsidR="008C4612" w:rsidRPr="00742A04">
        <w:t xml:space="preserve">de </w:t>
      </w:r>
      <w:r w:rsidR="00C076F2" w:rsidRPr="00742A04">
        <w:t xml:space="preserve">los </w:t>
      </w:r>
      <w:r w:rsidR="007E0DFE" w:rsidRPr="00742A04">
        <w:t>hombres</w:t>
      </w:r>
      <w:r w:rsidR="00545D1B" w:rsidRPr="00742A04">
        <w:t xml:space="preserve">. </w:t>
      </w:r>
      <w:r w:rsidRPr="00742A04">
        <w:t>Una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815FF" w:rsidRPr="00742A04">
        <w:t>las razones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ello</w:t>
      </w:r>
      <w:r w:rsidR="00545D1B" w:rsidRPr="00742A04">
        <w:t xml:space="preserve"> </w:t>
      </w:r>
      <w:r w:rsidRPr="00742A04">
        <w:t>puede r</w:t>
      </w:r>
      <w:r w:rsidRPr="00742A04">
        <w:t>a</w:t>
      </w:r>
      <w:r w:rsidRPr="00742A04">
        <w:t>dicar en que los gerentes de sexo</w:t>
      </w:r>
      <w:r w:rsidR="00545D1B" w:rsidRPr="00742A04">
        <w:t xml:space="preserve"> </w:t>
      </w:r>
      <w:r w:rsidR="00417824" w:rsidRPr="00742A04">
        <w:t>mascu</w:t>
      </w:r>
      <w:r w:rsidRPr="00742A04">
        <w:t>lino ocupan lugares más elevados en</w:t>
      </w:r>
      <w:r w:rsidR="00545D1B" w:rsidRPr="00742A04">
        <w:t xml:space="preserve"> </w:t>
      </w:r>
      <w:r w:rsidR="00C55B39" w:rsidRPr="00742A04">
        <w:t>la j</w:t>
      </w:r>
      <w:r w:rsidR="00C55B39" w:rsidRPr="00742A04">
        <w:t>e</w:t>
      </w:r>
      <w:r w:rsidR="00C55B39" w:rsidRPr="00742A04">
        <w:t>rarquía</w:t>
      </w:r>
      <w:r w:rsidR="00545D1B" w:rsidRPr="00742A04">
        <w:t xml:space="preserve">, </w:t>
      </w:r>
      <w:r w:rsidR="00502E16" w:rsidRPr="00742A04">
        <w:t>es decir,</w:t>
      </w:r>
      <w:r w:rsidR="00545D1B" w:rsidRPr="00742A04">
        <w:t xml:space="preserve"> </w:t>
      </w:r>
      <w:r w:rsidRPr="00742A04">
        <w:t>tienen</w:t>
      </w:r>
      <w:r w:rsidR="00545D1B" w:rsidRPr="00742A04">
        <w:t xml:space="preserve"> </w:t>
      </w:r>
      <w:r w:rsidRPr="00742A04">
        <w:t>puestos gerenciales de nivel</w:t>
      </w:r>
      <w:r w:rsidR="008A7280" w:rsidRPr="00742A04">
        <w:t xml:space="preserve"> superior</w:t>
      </w:r>
      <w:r w:rsidRPr="00742A04">
        <w:t xml:space="preserve"> a los de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Pr="00742A04">
        <w:t>T</w:t>
      </w:r>
      <w:r w:rsidR="0030626A" w:rsidRPr="00742A04">
        <w:t>ambién</w:t>
      </w:r>
      <w:r w:rsidR="00545D1B" w:rsidRPr="00742A04">
        <w:t xml:space="preserve"> </w:t>
      </w:r>
      <w:r w:rsidRPr="00742A04">
        <w:t xml:space="preserve">hay </w:t>
      </w:r>
      <w:r w:rsidR="008622FD" w:rsidRPr="00742A04">
        <w:t>diferencia</w:t>
      </w:r>
      <w:r w:rsidR="00545D1B" w:rsidRPr="00742A04">
        <w:t xml:space="preserve">s </w:t>
      </w:r>
      <w:r w:rsidRPr="00742A04">
        <w:t xml:space="preserve">significativas </w:t>
      </w:r>
      <w:r w:rsidR="008F0C8E" w:rsidRPr="00742A04">
        <w:t>de</w:t>
      </w:r>
      <w:r w:rsidR="00545D1B" w:rsidRPr="00742A04">
        <w:t xml:space="preserve"> </w:t>
      </w:r>
      <w:r w:rsidR="00495D7B" w:rsidRPr="00742A04">
        <w:t>un</w:t>
      </w:r>
      <w:r w:rsidRPr="00742A04">
        <w:t>a</w:t>
      </w:r>
      <w:r w:rsidR="00545D1B" w:rsidRPr="00742A04">
        <w:t xml:space="preserve"> </w:t>
      </w:r>
      <w:r w:rsidR="000B71AA" w:rsidRPr="00742A04">
        <w:t>industria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otra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sector</w:t>
      </w:r>
      <w:r w:rsidRPr="00742A04">
        <w:t xml:space="preserve"> de adm</w:t>
      </w:r>
      <w:r w:rsidRPr="00742A04">
        <w:t>i</w:t>
      </w:r>
      <w:r w:rsidRPr="00742A04">
        <w:t>nistración,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las finanzas son</w:t>
      </w:r>
      <w:r w:rsidR="00545D1B" w:rsidRPr="00742A04">
        <w:t xml:space="preserve"> </w:t>
      </w:r>
      <w:r w:rsidR="00495D7B" w:rsidRPr="00742A04">
        <w:t>un</w:t>
      </w:r>
      <w:r w:rsidR="00545D1B" w:rsidRPr="00742A04">
        <w:t xml:space="preserve"> </w:t>
      </w:r>
      <w:r w:rsidR="00A30B35" w:rsidRPr="00742A04">
        <w:t>ejemplo</w:t>
      </w:r>
      <w:r w:rsidR="00545D1B" w:rsidRPr="00742A04">
        <w:t xml:space="preserve"> </w:t>
      </w:r>
      <w:r w:rsidR="004A0730" w:rsidRPr="00742A04">
        <w:t>de</w:t>
      </w:r>
      <w:r w:rsidRPr="00742A04">
        <w:t xml:space="preserve"> una</w:t>
      </w:r>
      <w:r w:rsidR="00545D1B" w:rsidRPr="00742A04">
        <w:t xml:space="preserve"> </w:t>
      </w:r>
      <w:r w:rsidRPr="00742A04">
        <w:t>rama de actividad</w:t>
      </w:r>
      <w:r w:rsidR="00545D1B" w:rsidRPr="00742A04">
        <w:t xml:space="preserve"> </w:t>
      </w:r>
      <w:r w:rsidRPr="00742A04">
        <w:t>en la que hay</w:t>
      </w:r>
      <w:r w:rsidR="00545D1B" w:rsidRPr="00742A04">
        <w:t xml:space="preserve"> </w:t>
      </w:r>
      <w:r w:rsidR="008622FD" w:rsidRPr="00742A04">
        <w:t>d</w:t>
      </w:r>
      <w:r w:rsidR="008622FD" w:rsidRPr="00742A04">
        <w:t>i</w:t>
      </w:r>
      <w:r w:rsidR="008622FD" w:rsidRPr="00742A04">
        <w:t>ferencia</w:t>
      </w:r>
      <w:r w:rsidR="00545D1B" w:rsidRPr="00742A04">
        <w:t xml:space="preserve">s </w:t>
      </w:r>
      <w:r w:rsidRPr="00742A04">
        <w:t xml:space="preserve">relativamente grandes </w:t>
      </w:r>
      <w:r w:rsidR="00C14BFF" w:rsidRPr="00742A04">
        <w:t>en</w:t>
      </w:r>
      <w:r w:rsidR="00545D1B" w:rsidRPr="00742A04">
        <w:t xml:space="preserve"> </w:t>
      </w:r>
      <w:r w:rsidRPr="00742A04">
        <w:t>la remuneración mensual</w:t>
      </w:r>
      <w:r w:rsidR="00545D1B" w:rsidRPr="00742A04">
        <w:t xml:space="preserve"> </w:t>
      </w:r>
      <w:r w:rsidRPr="00742A04">
        <w:t xml:space="preserve">de los gerentes </w:t>
      </w:r>
      <w:r w:rsidR="000220D6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hombres</w:t>
      </w:r>
      <w:r w:rsidR="00545D1B" w:rsidRPr="00742A04">
        <w:t xml:space="preserve">, </w:t>
      </w:r>
      <w:r w:rsidRPr="00742A04">
        <w:t>tanto en términos</w:t>
      </w:r>
      <w:r w:rsidR="00545D1B" w:rsidRPr="00742A04">
        <w:t xml:space="preserve"> monetar</w:t>
      </w:r>
      <w:r w:rsidRPr="00742A04">
        <w:t>ios como de</w:t>
      </w:r>
      <w:r w:rsidR="00545D1B" w:rsidRPr="00742A04">
        <w:t xml:space="preserve"> </w:t>
      </w:r>
      <w:r w:rsidR="001C62F9" w:rsidRPr="00742A04">
        <w:t>porcentaje</w:t>
      </w:r>
      <w:r w:rsidRPr="00742A04">
        <w:t>s</w:t>
      </w:r>
      <w:r w:rsidR="00545D1B" w:rsidRPr="00742A04">
        <w:t xml:space="preserve">. </w:t>
      </w:r>
      <w:r w:rsidRPr="00742A04">
        <w:t>La diferencia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Pr="00742A04">
        <w:t>la remuneración de los hombres y las mujeres</w:t>
      </w:r>
      <w:r w:rsidR="00545D1B" w:rsidRPr="00742A04">
        <w:t xml:space="preserve"> </w:t>
      </w:r>
      <w:r w:rsidRPr="00742A04">
        <w:t xml:space="preserve">se </w:t>
      </w:r>
      <w:r w:rsidR="00242371" w:rsidRPr="00742A04">
        <w:t>incrementa</w:t>
      </w:r>
      <w:r w:rsidR="00545D1B" w:rsidRPr="00742A04">
        <w:t xml:space="preserve"> </w:t>
      </w:r>
      <w:r w:rsidRPr="00742A04">
        <w:t xml:space="preserve">con la </w:t>
      </w:r>
      <w:r w:rsidR="00A93B9E" w:rsidRPr="00742A04">
        <w:t>edad</w:t>
      </w:r>
      <w:r w:rsidR="00545D1B" w:rsidRPr="00742A04">
        <w:t xml:space="preserve">. </w:t>
      </w:r>
      <w:r w:rsidR="00054391">
        <w:t>En p</w:t>
      </w:r>
      <w:r w:rsidR="00B62650" w:rsidRPr="00742A04">
        <w:t>arte</w:t>
      </w:r>
      <w:r w:rsidR="00545D1B" w:rsidRPr="00742A04">
        <w:t xml:space="preserve"> </w:t>
      </w:r>
      <w:r w:rsidRPr="00742A04">
        <w:t>ello</w:t>
      </w:r>
      <w:r w:rsidR="00054391">
        <w:t xml:space="preserve"> se debe a</w:t>
      </w:r>
      <w:r w:rsidR="00545D1B" w:rsidRPr="00742A04">
        <w:t xml:space="preserve"> </w:t>
      </w:r>
      <w:r w:rsidRPr="00742A04">
        <w:t>la brecha generacional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10049" w:rsidRPr="00742A04">
        <w:t xml:space="preserve">las opciones educacionales y de carrera </w:t>
      </w:r>
      <w:r w:rsidR="00C076F2" w:rsidRPr="00742A04">
        <w:t xml:space="preserve">de los </w:t>
      </w:r>
      <w:r w:rsidR="007E0DFE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D313C" w:rsidRPr="00742A04">
        <w:t>las mujeres</w:t>
      </w:r>
      <w:r w:rsidR="000A08D8" w:rsidRPr="00742A04">
        <w:t>.</w:t>
      </w:r>
    </w:p>
    <w:p w:rsidR="000A08D8" w:rsidRPr="00742A04" w:rsidRDefault="00310049" w:rsidP="00D574C4">
      <w:pPr>
        <w:pStyle w:val="SingleTxt"/>
        <w:ind w:firstLine="475"/>
      </w:pPr>
      <w:r w:rsidRPr="00742A04">
        <w:t>Una</w:t>
      </w:r>
      <w:r w:rsidR="00545D1B" w:rsidRPr="00742A04">
        <w:t xml:space="preserve"> </w:t>
      </w:r>
      <w:r w:rsidR="00DD710E" w:rsidRPr="00742A04">
        <w:t>comparación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85E84" w:rsidRPr="00742A04">
        <w:t xml:space="preserve">el resto </w:t>
      </w:r>
      <w:r w:rsidR="004A0730" w:rsidRPr="00742A04">
        <w:t>de</w:t>
      </w:r>
      <w:r w:rsidR="00545D1B" w:rsidRPr="00742A04">
        <w:t xml:space="preserve"> </w:t>
      </w:r>
      <w:r w:rsidR="00EE31D6" w:rsidRPr="00742A04">
        <w:t>Europa</w:t>
      </w:r>
      <w:r w:rsidR="00545D1B" w:rsidRPr="00742A04">
        <w:t xml:space="preserve">, </w:t>
      </w:r>
      <w:r w:rsidRPr="00742A04">
        <w:t xml:space="preserve">utilizando </w:t>
      </w:r>
      <w:r w:rsidR="00ED6A69" w:rsidRPr="00742A04">
        <w:t>las cifras</w:t>
      </w:r>
      <w:r w:rsidRPr="00742A04">
        <w:t xml:space="preserve"> de 2003</w:t>
      </w:r>
      <w:r w:rsidR="00545D1B" w:rsidRPr="00742A04">
        <w:t xml:space="preserve">, </w:t>
      </w:r>
      <w:r w:rsidR="003E5775" w:rsidRPr="00742A04">
        <w:t>indica que</w:t>
      </w:r>
      <w:r w:rsidR="00545D1B" w:rsidRPr="00742A04">
        <w:t xml:space="preserve"> </w:t>
      </w:r>
      <w:r w:rsidRPr="00742A04">
        <w:t>las diferencias de remuneración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="00054391">
        <w:t>iguales a</w:t>
      </w:r>
      <w:r w:rsidRPr="00742A04">
        <w:t>l promedio de los</w:t>
      </w:r>
      <w:r w:rsidR="00545D1B" w:rsidRPr="00742A04">
        <w:t xml:space="preserve"> 15</w:t>
      </w:r>
      <w:r w:rsidRPr="00742A04">
        <w:t xml:space="preserve"> Estados</w:t>
      </w:r>
      <w:r w:rsidR="00545D1B" w:rsidRPr="00742A04">
        <w:t xml:space="preserve"> </w:t>
      </w:r>
      <w:r w:rsidR="00AC5D28" w:rsidRPr="00742A04">
        <w:t>miembro</w:t>
      </w:r>
      <w:r w:rsidRPr="00742A04">
        <w:t>s</w:t>
      </w:r>
      <w:r w:rsidR="00545D1B" w:rsidRPr="00742A04">
        <w:t xml:space="preserve"> </w:t>
      </w:r>
      <w:r w:rsidRPr="00742A04">
        <w:t>de la Unión E</w:t>
      </w:r>
      <w:r w:rsidRPr="00742A04">
        <w:t>u</w:t>
      </w:r>
      <w:r w:rsidRPr="00742A04">
        <w:t xml:space="preserve">ropea </w:t>
      </w:r>
      <w:r w:rsidR="00AC5D28" w:rsidRPr="00742A04">
        <w:t>antes de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expans</w:t>
      </w:r>
      <w:r w:rsidR="005E6919" w:rsidRPr="00742A04">
        <w:t xml:space="preserve">ión </w:t>
      </w:r>
      <w:r w:rsidRPr="00742A04">
        <w:t>d</w:t>
      </w:r>
      <w:r w:rsidR="00C14BFF" w:rsidRPr="00742A04">
        <w:t>e</w:t>
      </w:r>
      <w:r w:rsidR="00545D1B" w:rsidRPr="00742A04">
        <w:t xml:space="preserve"> 2004. </w:t>
      </w:r>
      <w:r w:rsidR="00232DF9" w:rsidRPr="00742A04">
        <w:t>Si</w:t>
      </w:r>
      <w:r w:rsidR="00545D1B" w:rsidRPr="00742A04">
        <w:t xml:space="preserve"> </w:t>
      </w:r>
      <w:r w:rsidRPr="00742A04">
        <w:t>se incluye a los nuevos Estados miembros</w:t>
      </w:r>
      <w:r w:rsidR="00545D1B" w:rsidRPr="00742A04">
        <w:t xml:space="preserve">, </w:t>
      </w:r>
      <w:r w:rsidRPr="00742A04">
        <w:t>la diferencia de remuneración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5364F" w:rsidRPr="00742A04">
        <w:t>la Unión Europea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Pr="00742A04">
        <w:t>un</w:t>
      </w:r>
      <w:r w:rsidR="00545D1B" w:rsidRPr="00742A04">
        <w:t xml:space="preserve"> </w:t>
      </w:r>
      <w:r w:rsidR="00522A02" w:rsidRPr="00742A04">
        <w:t>punto porcentual</w:t>
      </w:r>
      <w:r w:rsidR="00545D1B" w:rsidRPr="00742A04">
        <w:t xml:space="preserve"> </w:t>
      </w:r>
      <w:r w:rsidR="00024DBC" w:rsidRPr="00742A04">
        <w:t>meno</w:t>
      </w:r>
      <w:r w:rsidRPr="00742A04">
        <w:t>r 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DD710E" w:rsidRPr="00742A04">
        <w:t>comparación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los vecinos </w:t>
      </w:r>
      <w:r w:rsidR="004B2748" w:rsidRPr="00742A04">
        <w:t>de Noruega</w:t>
      </w:r>
      <w:r w:rsidR="00545D1B" w:rsidRPr="00742A04">
        <w:t xml:space="preserve">, </w:t>
      </w:r>
      <w:r w:rsidR="000472FC" w:rsidRPr="00742A04">
        <w:t>la situación</w:t>
      </w:r>
      <w:r w:rsidR="00C14BFF" w:rsidRPr="00742A04">
        <w:t xml:space="preserve"> en</w:t>
      </w:r>
      <w:r w:rsidR="00545D1B" w:rsidRPr="00742A04">
        <w:t xml:space="preserve"> </w:t>
      </w:r>
      <w:r w:rsidR="007C65B3" w:rsidRPr="00742A04">
        <w:t>Suecia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="003C25BF" w:rsidRPr="00742A04">
        <w:t>la misma</w:t>
      </w:r>
      <w:r w:rsidR="00545D1B" w:rsidRPr="00742A04">
        <w:t xml:space="preserve">, </w:t>
      </w:r>
      <w:r w:rsidR="00B8584B" w:rsidRPr="00742A04">
        <w:t>mientras que</w:t>
      </w:r>
      <w:r w:rsidR="00545D1B" w:rsidRPr="00742A04">
        <w:t xml:space="preserve"> </w:t>
      </w:r>
      <w:r w:rsidR="006F4432" w:rsidRPr="00742A04">
        <w:t>la dif</w:t>
      </w:r>
      <w:r w:rsidR="006F4432" w:rsidRPr="00742A04">
        <w:t>e</w:t>
      </w:r>
      <w:r w:rsidR="006F4432" w:rsidRPr="00742A04">
        <w:t>rencia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aproximadamente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1D532F" w:rsidRPr="00742A04">
        <w:t>puntos</w:t>
      </w:r>
      <w:r w:rsidR="001F6F1A" w:rsidRPr="00742A04">
        <w:t xml:space="preserve"> porcentuales</w:t>
      </w:r>
      <w:r w:rsidR="00545D1B" w:rsidRPr="00742A04">
        <w:t xml:space="preserve"> </w:t>
      </w:r>
      <w:r w:rsidR="00982243" w:rsidRPr="00742A04">
        <w:t xml:space="preserve">mayor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Dinamarca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</w:t>
      </w:r>
      <w:r w:rsidR="00EA26AB" w:rsidRPr="00742A04">
        <w:t>o</w:t>
      </w:r>
      <w:r w:rsidR="00EA26AB" w:rsidRPr="00742A04">
        <w:t>ruega</w:t>
      </w:r>
      <w:r w:rsidR="000A08D8" w:rsidRPr="00742A04">
        <w:t>.</w:t>
      </w:r>
    </w:p>
    <w:p w:rsidR="000A08D8" w:rsidRPr="00742A04" w:rsidRDefault="00EC5FA6" w:rsidP="00D574C4">
      <w:pPr>
        <w:pStyle w:val="SingleTxt"/>
        <w:ind w:firstLine="475"/>
      </w:pPr>
      <w:r w:rsidRPr="00742A04">
        <w:t>Puede encontrarse i</w:t>
      </w:r>
      <w:r w:rsidR="00545D1B" w:rsidRPr="00742A04">
        <w:t>nforma</w:t>
      </w:r>
      <w:r w:rsidR="00C14BFF" w:rsidRPr="00742A04">
        <w:t xml:space="preserve">ción </w:t>
      </w:r>
      <w:r w:rsidR="003E4840" w:rsidRPr="00742A04">
        <w:t>acerca de</w:t>
      </w:r>
      <w:r w:rsidR="00545D1B" w:rsidRPr="00742A04">
        <w:t xml:space="preserve"> </w:t>
      </w:r>
      <w:r w:rsidR="0063400A" w:rsidRPr="00742A04">
        <w:t>la situación financiera</w:t>
      </w:r>
      <w:r w:rsidR="00C14BFF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el informe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Pr="00742A04">
        <w:t>Comité Técn</w:t>
      </w:r>
      <w:r w:rsidR="00545D1B" w:rsidRPr="00742A04">
        <w:t>ic</w:t>
      </w:r>
      <w:r w:rsidRPr="00742A04">
        <w:t>o de Estudios sobre los Acuerdos en materia de I</w:t>
      </w:r>
      <w:r w:rsidR="005E2D7A" w:rsidRPr="00742A04">
        <w:t>ngresos</w:t>
      </w:r>
      <w:r w:rsidR="00545D1B" w:rsidRPr="00742A04">
        <w:t xml:space="preserve">. </w:t>
      </w:r>
      <w:r w:rsidRPr="00742A04">
        <w:t>Dicho</w:t>
      </w:r>
      <w:r w:rsidR="00CE1CFC" w:rsidRPr="00742A04">
        <w:t xml:space="preserve"> comité</w:t>
      </w:r>
      <w:r w:rsidR="00545D1B" w:rsidRPr="00742A04">
        <w:t xml:space="preserve"> </w:t>
      </w:r>
      <w:r w:rsidRPr="00742A04">
        <w:t>está integrado por</w:t>
      </w:r>
      <w:r w:rsidR="00545D1B" w:rsidRPr="00742A04">
        <w:t xml:space="preserve"> </w:t>
      </w:r>
      <w:r w:rsidR="007A4A10" w:rsidRPr="00742A04">
        <w:t>representantes</w:t>
      </w:r>
      <w:r w:rsidR="00545D1B" w:rsidRPr="00742A04">
        <w:t xml:space="preserve"> </w:t>
      </w:r>
      <w:r w:rsidR="00C076F2" w:rsidRPr="00742A04">
        <w:t xml:space="preserve">de </w:t>
      </w:r>
      <w:r w:rsidRPr="00742A04">
        <w:t>las partes sociales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tiene el cometido de elaborar</w:t>
      </w:r>
      <w:r w:rsidR="00545D1B" w:rsidRPr="00742A04">
        <w:t xml:space="preserve"> material</w:t>
      </w:r>
      <w:r w:rsidRPr="00742A04">
        <w:t xml:space="preserve"> de antecedentes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306AA" w:rsidRPr="00742A04">
        <w:t>las n</w:t>
      </w:r>
      <w:r w:rsidR="00B306AA" w:rsidRPr="00742A04">
        <w:t>e</w:t>
      </w:r>
      <w:r w:rsidR="00B306AA" w:rsidRPr="00742A04">
        <w:t>gociaciones salariales</w:t>
      </w:r>
      <w:r w:rsidR="00545D1B" w:rsidRPr="00742A04">
        <w:t xml:space="preserve">. </w:t>
      </w:r>
      <w:r w:rsidRPr="00742A04">
        <w:t>Ese</w:t>
      </w:r>
      <w:r w:rsidR="00545D1B" w:rsidRPr="00742A04">
        <w:t xml:space="preserve"> material </w:t>
      </w:r>
      <w:r w:rsidR="0030626A" w:rsidRPr="00742A04">
        <w:t>también</w:t>
      </w:r>
      <w:r w:rsidR="00545D1B" w:rsidRPr="00742A04">
        <w:t xml:space="preserve"> </w:t>
      </w:r>
      <w:r w:rsidRPr="00742A04">
        <w:t>comprende una actualización</w:t>
      </w:r>
      <w:r w:rsidR="00545D1B" w:rsidRPr="00742A04">
        <w:t xml:space="preserve"> </w:t>
      </w:r>
      <w:r w:rsidR="001B4F21" w:rsidRPr="00742A04">
        <w:t>anual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las diferencias salariales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</w:t>
      </w:r>
      <w:r w:rsidRPr="00742A04">
        <w:t>Las diferencias salariales</w:t>
      </w:r>
      <w:r w:rsidR="00545D1B" w:rsidRPr="00742A04">
        <w:t xml:space="preserve"> </w:t>
      </w:r>
      <w:r w:rsidR="006137EC" w:rsidRPr="00742A04">
        <w:t>s</w:t>
      </w:r>
      <w:r w:rsidRPr="00742A04">
        <w:t>e</w:t>
      </w:r>
      <w:r w:rsidR="00545D1B" w:rsidRPr="00742A04">
        <w:t xml:space="preserve"> </w:t>
      </w:r>
      <w:r w:rsidR="00B31D97" w:rsidRPr="00742A04">
        <w:t>pr</w:t>
      </w:r>
      <w:r w:rsidR="00B31D97" w:rsidRPr="00742A04">
        <w:t>e</w:t>
      </w:r>
      <w:r w:rsidR="00B31D97" w:rsidRPr="00742A04">
        <w:t>sent</w:t>
      </w:r>
      <w:r w:rsidRPr="00742A04">
        <w:t>an</w:t>
      </w:r>
      <w:r w:rsidR="00545D1B" w:rsidRPr="00742A04">
        <w:t xml:space="preserve"> </w:t>
      </w:r>
      <w:r w:rsidR="005E2D7A" w:rsidRPr="00742A04">
        <w:t xml:space="preserve">en relación con </w:t>
      </w:r>
      <w:r w:rsidR="000B41AF" w:rsidRPr="00742A04">
        <w:t>la</w:t>
      </w:r>
      <w:r w:rsidRPr="00742A04">
        <w:t>s</w:t>
      </w:r>
      <w:r w:rsidR="000B41AF" w:rsidRPr="00742A04">
        <w:t xml:space="preserve"> principal</w:t>
      </w:r>
      <w:r w:rsidRPr="00742A04">
        <w:t>es</w:t>
      </w:r>
      <w:r w:rsidR="00545D1B" w:rsidRPr="00742A04">
        <w:t xml:space="preserve"> </w:t>
      </w:r>
      <w:r w:rsidR="00A8633B" w:rsidRPr="00742A04">
        <w:t>esferas</w:t>
      </w:r>
      <w:r w:rsidRPr="00742A04">
        <w:t xml:space="preserve"> de convenios colectivos</w:t>
      </w:r>
      <w:r w:rsidR="00545D1B" w:rsidRPr="00742A04">
        <w:t xml:space="preserve">, </w:t>
      </w:r>
      <w:r w:rsidRPr="00742A04">
        <w:t>las ramas de actividad</w:t>
      </w:r>
      <w:r w:rsidR="00545D1B" w:rsidRPr="00742A04">
        <w:t xml:space="preserve">, </w:t>
      </w:r>
      <w:r w:rsidRPr="00742A04">
        <w:t xml:space="preserve">la </w:t>
      </w:r>
      <w:r w:rsidR="00A93B9E" w:rsidRPr="00742A04">
        <w:t>edad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educación</w:t>
      </w:r>
      <w:r w:rsidR="00545D1B" w:rsidRPr="00742A04">
        <w:t xml:space="preserve">. </w:t>
      </w:r>
      <w:r w:rsidR="00024DBC" w:rsidRPr="00742A04">
        <w:t>Los resultados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44FDB" w:rsidRPr="00742A04">
        <w:t>la investigación</w:t>
      </w:r>
      <w:r w:rsidR="00545D1B" w:rsidRPr="00742A04">
        <w:t xml:space="preserve"> </w:t>
      </w:r>
      <w:r w:rsidRPr="00742A04">
        <w:t>sobre esta cue</w:t>
      </w:r>
      <w:r w:rsidRPr="00742A04">
        <w:t>s</w:t>
      </w:r>
      <w:r w:rsidRPr="00742A04">
        <w:t>tión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Pr="00742A04">
        <w:t xml:space="preserve">se </w:t>
      </w:r>
      <w:r w:rsidR="00B31D97" w:rsidRPr="00742A04">
        <w:t>pre</w:t>
      </w:r>
      <w:r w:rsidRPr="00742A04">
        <w:t>sentan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el i</w:t>
      </w:r>
      <w:r w:rsidR="00C27C42" w:rsidRPr="00742A04">
        <w:t>n</w:t>
      </w:r>
      <w:r w:rsidR="00C27C42" w:rsidRPr="00742A04">
        <w:t>forme</w:t>
      </w:r>
      <w:r w:rsidR="000A08D8" w:rsidRPr="00742A04">
        <w:t>.</w:t>
      </w:r>
    </w:p>
    <w:p w:rsidR="000A08D8" w:rsidRPr="00742A04" w:rsidRDefault="000B41AF" w:rsidP="00D574C4">
      <w:pPr>
        <w:pStyle w:val="SingleTxt"/>
        <w:ind w:firstLine="475"/>
      </w:pPr>
      <w:r w:rsidRPr="00742A04">
        <w:t>La principal</w:t>
      </w:r>
      <w:r w:rsidR="00CC73CF" w:rsidRPr="00742A04">
        <w:t>es</w:t>
      </w:r>
      <w:r w:rsidR="00545D1B" w:rsidRPr="00742A04">
        <w:t xml:space="preserve"> </w:t>
      </w:r>
      <w:r w:rsidR="00C923A8" w:rsidRPr="00742A04">
        <w:t>puntos</w:t>
      </w:r>
      <w:r w:rsidR="00545D1B" w:rsidRPr="00742A04">
        <w:t xml:space="preserve"> </w:t>
      </w:r>
      <w:r w:rsidR="00CC73CF" w:rsidRPr="00742A04">
        <w:t>d</w:t>
      </w:r>
      <w:r w:rsidR="00C27C42" w:rsidRPr="00742A04">
        <w:t>el informe</w:t>
      </w:r>
      <w:r w:rsidR="00545D1B" w:rsidRPr="00742A04">
        <w:t xml:space="preserve"> </w:t>
      </w:r>
      <w:r w:rsidR="00ED6A69" w:rsidRPr="00742A04">
        <w:t>indican 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1998-2005,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t</w:t>
      </w:r>
      <w:r w:rsidR="000A5430" w:rsidRPr="00742A04">
        <w:t>o</w:t>
      </w:r>
      <w:r w:rsidR="000A5430" w:rsidRPr="00742A04">
        <w:t xml:space="preserve">das las </w:t>
      </w:r>
      <w:r w:rsidR="000A5430" w:rsidRPr="00742A04">
        <w:rPr>
          <w:i/>
        </w:rPr>
        <w:t>esferas</w:t>
      </w:r>
      <w:r w:rsidR="00545D1B" w:rsidRPr="00742A04">
        <w:rPr>
          <w:i/>
        </w:rPr>
        <w:t xml:space="preserve"> </w:t>
      </w:r>
      <w:r w:rsidR="004A0730" w:rsidRPr="00742A04">
        <w:rPr>
          <w:i/>
        </w:rPr>
        <w:t>de</w:t>
      </w:r>
      <w:r w:rsidR="00CC73CF" w:rsidRPr="00742A04">
        <w:rPr>
          <w:i/>
        </w:rPr>
        <w:t xml:space="preserve"> negoc</w:t>
      </w:r>
      <w:r w:rsidR="00545D1B" w:rsidRPr="00742A04">
        <w:rPr>
          <w:i/>
        </w:rPr>
        <w:t>ia</w:t>
      </w:r>
      <w:r w:rsidR="00935A90" w:rsidRPr="00742A04">
        <w:rPr>
          <w:i/>
        </w:rPr>
        <w:t>ción,</w:t>
      </w:r>
      <w:r w:rsidR="00545D1B" w:rsidRPr="00742A04">
        <w:t xml:space="preserve"> </w:t>
      </w:r>
      <w:r w:rsidR="004D4D6B" w:rsidRPr="00742A04">
        <w:t>se hizo más</w:t>
      </w:r>
      <w:r w:rsidR="00CC73CF" w:rsidRPr="00742A04">
        <w:t xml:space="preserve"> igual</w:t>
      </w:r>
      <w:r w:rsidR="004D4D6B" w:rsidRPr="00742A04">
        <w:t>itaria</w:t>
      </w:r>
      <w:r w:rsidR="00CC73CF" w:rsidRPr="00742A04">
        <w:t xml:space="preserve"> la</w:t>
      </w:r>
      <w:r w:rsidR="00A31FF2" w:rsidRPr="00742A04">
        <w:t xml:space="preserve"> remuneración</w:t>
      </w:r>
      <w:r w:rsidR="00545D1B" w:rsidRPr="00742A04">
        <w:t xml:space="preserve"> </w:t>
      </w:r>
      <w:r w:rsidR="00CC73CF" w:rsidRPr="00742A04">
        <w:t>de las muj</w:t>
      </w:r>
      <w:r w:rsidR="00CC73CF" w:rsidRPr="00742A04">
        <w:t>e</w:t>
      </w:r>
      <w:r w:rsidR="00CC73CF" w:rsidRPr="00742A04">
        <w:t>res y los hombres</w:t>
      </w:r>
      <w:r w:rsidR="00545D1B" w:rsidRPr="00742A04">
        <w:t xml:space="preserve">, </w:t>
      </w:r>
      <w:r w:rsidR="00CC73CF" w:rsidRPr="00742A04">
        <w:t xml:space="preserve">salvo </w:t>
      </w:r>
      <w:r w:rsidR="00F43124" w:rsidRPr="00742A04">
        <w:t>para</w:t>
      </w:r>
      <w:r w:rsidR="00545D1B" w:rsidRPr="00742A04">
        <w:t xml:space="preserve"> </w:t>
      </w:r>
      <w:r w:rsidR="00CC73CF" w:rsidRPr="00742A04">
        <w:t xml:space="preserve">los </w:t>
      </w:r>
      <w:r w:rsidR="00545D1B" w:rsidRPr="00742A04">
        <w:t>e</w:t>
      </w:r>
      <w:r w:rsidR="00CC73CF" w:rsidRPr="00742A04">
        <w:t>j</w:t>
      </w:r>
      <w:r w:rsidR="00545D1B" w:rsidRPr="00742A04">
        <w:t>ecuti</w:t>
      </w:r>
      <w:r w:rsidR="00CC73CF" w:rsidRPr="00742A04">
        <w:t>vo</w:t>
      </w:r>
      <w:r w:rsidR="00545D1B" w:rsidRPr="00742A04">
        <w:t xml:space="preserve">s </w:t>
      </w:r>
      <w:r w:rsidR="00406F8C" w:rsidRPr="00742A04">
        <w:t>de las</w:t>
      </w:r>
      <w:r w:rsidR="00545D1B" w:rsidRPr="00742A04">
        <w:t xml:space="preserve"> </w:t>
      </w:r>
      <w:r w:rsidR="000B71AA" w:rsidRPr="00742A04">
        <w:t>industria</w:t>
      </w:r>
      <w:r w:rsidR="00406F8C" w:rsidRPr="00742A04">
        <w:t>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06F8C" w:rsidRPr="00742A04">
        <w:t>las empresas afili</w:t>
      </w:r>
      <w:r w:rsidR="00406F8C" w:rsidRPr="00742A04">
        <w:t>a</w:t>
      </w:r>
      <w:r w:rsidR="00406F8C" w:rsidRPr="00742A04">
        <w:t xml:space="preserve">das a la </w:t>
      </w:r>
      <w:r w:rsidR="00545D1B" w:rsidRPr="00742A04">
        <w:t xml:space="preserve">NHO </w:t>
      </w:r>
      <w:r w:rsidR="00877AA0" w:rsidRPr="00742A04">
        <w:t>y</w:t>
      </w:r>
      <w:r w:rsidR="00545D1B" w:rsidRPr="00742A04">
        <w:t xml:space="preserve"> </w:t>
      </w:r>
      <w:r w:rsidR="00311327" w:rsidRPr="00742A04">
        <w:t>los</w:t>
      </w:r>
      <w:r w:rsidR="00380AC9" w:rsidRPr="00742A04">
        <w:t xml:space="preserve"> empleados</w:t>
      </w:r>
      <w:r w:rsidR="00545D1B" w:rsidRPr="00742A04">
        <w:t xml:space="preserve"> </w:t>
      </w:r>
      <w:r w:rsidR="00406F8C" w:rsidRPr="00742A04">
        <w:t xml:space="preserve">de los </w:t>
      </w:r>
      <w:r w:rsidR="005532F5" w:rsidRPr="00742A04">
        <w:t>hospitales</w:t>
      </w:r>
      <w:r w:rsidR="00406F8C" w:rsidRPr="00742A04">
        <w:t xml:space="preserve"> administrados por el Gobierno ce</w:t>
      </w:r>
      <w:r w:rsidR="00406F8C" w:rsidRPr="00742A04">
        <w:t>n</w:t>
      </w:r>
      <w:r w:rsidR="00406F8C" w:rsidRPr="00742A04">
        <w:t>tral</w:t>
      </w:r>
      <w:r w:rsidR="000A08D8" w:rsidRPr="00742A04">
        <w:t>.</w:t>
      </w:r>
    </w:p>
    <w:p w:rsidR="000A08D8" w:rsidRPr="00742A04" w:rsidRDefault="00FB5EDF" w:rsidP="00D574C4">
      <w:pPr>
        <w:pStyle w:val="SingleTxt"/>
        <w:ind w:firstLine="475"/>
      </w:pPr>
      <w:r w:rsidRPr="00742A04">
        <w:t>El informe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4D4D6B" w:rsidRPr="00742A04">
        <w:t>revela</w:t>
      </w:r>
      <w:r w:rsidR="00545D1B" w:rsidRPr="00742A04">
        <w:t xml:space="preserve"> </w:t>
      </w:r>
      <w:r w:rsidR="00A31FF2" w:rsidRPr="00742A04">
        <w:t xml:space="preserve">la </w:t>
      </w:r>
      <w:r w:rsidR="004D4D6B" w:rsidRPr="00742A04">
        <w:t>brecha de remuneraciones</w:t>
      </w:r>
      <w:r w:rsidR="00545D1B" w:rsidRPr="00742A04">
        <w:t xml:space="preserve"> </w:t>
      </w:r>
      <w:r w:rsidR="004D4D6B" w:rsidRPr="00742A04">
        <w:t>por</w:t>
      </w:r>
      <w:r w:rsidR="00545D1B" w:rsidRPr="00742A04">
        <w:t xml:space="preserve"> </w:t>
      </w:r>
      <w:r w:rsidR="004D4D6B" w:rsidRPr="00742A04">
        <w:rPr>
          <w:i/>
        </w:rPr>
        <w:t>ramas de activ</w:t>
      </w:r>
      <w:r w:rsidR="004D4D6B" w:rsidRPr="00742A04">
        <w:rPr>
          <w:i/>
        </w:rPr>
        <w:t>i</w:t>
      </w:r>
      <w:r w:rsidR="004D4D6B" w:rsidRPr="00742A04">
        <w:rPr>
          <w:i/>
        </w:rPr>
        <w:t>dad</w:t>
      </w:r>
      <w:r w:rsidR="00545D1B" w:rsidRPr="00742A04">
        <w:rPr>
          <w:i/>
        </w:rPr>
        <w:t>.</w:t>
      </w:r>
      <w:r w:rsidR="00545D1B" w:rsidRPr="00742A04">
        <w:t xml:space="preserve"> </w:t>
      </w:r>
      <w:r w:rsidR="00537384" w:rsidRPr="00742A04">
        <w:t>En lo tocante a</w:t>
      </w:r>
      <w:r w:rsidR="00545D1B" w:rsidRPr="00742A04">
        <w:t xml:space="preserve"> </w:t>
      </w:r>
      <w:r w:rsidR="004D4D6B" w:rsidRPr="00742A04">
        <w:t>ramas de actividad, la tendencia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2004 </w:t>
      </w:r>
      <w:r w:rsidR="0030626A" w:rsidRPr="00742A04">
        <w:t>a</w:t>
      </w:r>
      <w:r w:rsidR="00545D1B" w:rsidRPr="00742A04">
        <w:t xml:space="preserve"> 2005 </w:t>
      </w:r>
      <w:r w:rsidR="003E5775" w:rsidRPr="00742A04">
        <w:t>indica que</w:t>
      </w:r>
      <w:r w:rsidR="00545D1B" w:rsidRPr="00742A04">
        <w:t xml:space="preserve"> </w:t>
      </w:r>
      <w:r w:rsidR="004D4D6B" w:rsidRPr="00742A04">
        <w:t xml:space="preserve">se hizo más igualitaria la remuneración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6F2" w:rsidRPr="00742A04">
        <w:t xml:space="preserve">de los </w:t>
      </w:r>
      <w:r w:rsidR="007E0DFE" w:rsidRPr="00742A04">
        <w:t>hombres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80AC9" w:rsidRPr="00742A04">
        <w:t>los e</w:t>
      </w:r>
      <w:r w:rsidR="00380AC9" w:rsidRPr="00742A04">
        <w:t>m</w:t>
      </w:r>
      <w:r w:rsidR="00380AC9" w:rsidRPr="00742A04">
        <w:t>pleados</w:t>
      </w:r>
      <w:r w:rsidR="00545D1B" w:rsidRPr="00742A04">
        <w:t xml:space="preserve"> </w:t>
      </w:r>
      <w:r w:rsidR="004D4D6B" w:rsidRPr="00742A04">
        <w:t>de los hospitales administrados por el Gobierno central</w:t>
      </w:r>
      <w:r w:rsidR="00545D1B" w:rsidRPr="00742A04">
        <w:t xml:space="preserve">, </w:t>
      </w:r>
      <w:r w:rsidR="004D4D6B" w:rsidRPr="00742A04">
        <w:t>la edificación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D4D6B" w:rsidRPr="00742A04">
        <w:t xml:space="preserve">la </w:t>
      </w:r>
      <w:r w:rsidR="00545D1B" w:rsidRPr="00742A04">
        <w:t>construc</w:t>
      </w:r>
      <w:r w:rsidR="00935A90" w:rsidRPr="00742A04">
        <w:t>ción,</w:t>
      </w:r>
      <w:r w:rsidR="00545D1B" w:rsidRPr="00742A04">
        <w:t xml:space="preserve"> </w:t>
      </w:r>
      <w:r w:rsidR="004D4D6B" w:rsidRPr="00742A04">
        <w:t>los s</w:t>
      </w:r>
      <w:r w:rsidR="00176976" w:rsidRPr="00742A04">
        <w:t>ervicios comerciales</w:t>
      </w:r>
      <w:r w:rsidR="00545D1B" w:rsidRPr="00742A04">
        <w:t xml:space="preserve">, </w:t>
      </w:r>
      <w:r w:rsidR="004D4D6B" w:rsidRPr="00742A04">
        <w:t xml:space="preserve">la </w:t>
      </w:r>
      <w:r w:rsidR="00A05847" w:rsidRPr="00742A04">
        <w:t>educación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D4D6B" w:rsidRPr="00742A04">
        <w:t xml:space="preserve">el </w:t>
      </w:r>
      <w:r w:rsidR="001B4F21" w:rsidRPr="00742A04">
        <w:t>Gobierno</w:t>
      </w:r>
      <w:r w:rsidR="004D4D6B" w:rsidRPr="00742A04">
        <w:t xml:space="preserve"> central</w:t>
      </w:r>
      <w:r w:rsidR="00545D1B" w:rsidRPr="00742A04">
        <w:t xml:space="preserve">. </w:t>
      </w:r>
      <w:r w:rsidR="004D4D6B" w:rsidRPr="00742A04">
        <w:t>El c</w:t>
      </w:r>
      <w:r w:rsidR="004D4D6B" w:rsidRPr="00742A04">
        <w:t>o</w:t>
      </w:r>
      <w:r w:rsidR="004D4D6B" w:rsidRPr="00742A04">
        <w:t>mercio minorista</w:t>
      </w:r>
      <w:r w:rsidR="00545D1B" w:rsidRPr="00742A04">
        <w:t xml:space="preserve">, </w:t>
      </w:r>
      <w:r w:rsidR="004D4D6B" w:rsidRPr="00742A04">
        <w:t xml:space="preserve">los </w:t>
      </w:r>
      <w:r w:rsidR="00545D1B" w:rsidRPr="00742A04">
        <w:t>hotel</w:t>
      </w:r>
      <w:r w:rsidR="004D4D6B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restaurant</w:t>
      </w:r>
      <w:r w:rsidR="004D4D6B" w:rsidRPr="00742A04">
        <w:t>es</w:t>
      </w:r>
      <w:r w:rsidR="00545D1B" w:rsidRPr="00742A04">
        <w:t xml:space="preserve">, </w:t>
      </w:r>
      <w:r w:rsidR="004D4D6B" w:rsidRPr="00742A04">
        <w:t xml:space="preserve">la </w:t>
      </w:r>
      <w:r w:rsidR="00545D1B" w:rsidRPr="00742A04">
        <w:t>intermedia</w:t>
      </w:r>
      <w:r w:rsidR="00C14BFF" w:rsidRPr="00742A04">
        <w:t xml:space="preserve">ción </w:t>
      </w:r>
      <w:r w:rsidR="004D4D6B" w:rsidRPr="00742A04">
        <w:t xml:space="preserve">financiera </w:t>
      </w:r>
      <w:r w:rsidR="00877AA0" w:rsidRPr="00742A04">
        <w:t>y</w:t>
      </w:r>
      <w:r w:rsidR="00545D1B" w:rsidRPr="00742A04">
        <w:t xml:space="preserve"> </w:t>
      </w:r>
      <w:r w:rsidR="00F43124" w:rsidRPr="00742A04">
        <w:t>las m</w:t>
      </w:r>
      <w:r w:rsidR="00F43124" w:rsidRPr="00742A04">
        <w:t>u</w:t>
      </w:r>
      <w:r w:rsidR="00F43124" w:rsidRPr="00742A04">
        <w:t>nicipalidades</w:t>
      </w:r>
      <w:r w:rsidR="004D4D6B" w:rsidRPr="00742A04">
        <w:t>,</w:t>
      </w:r>
      <w:r w:rsidR="00545D1B" w:rsidRPr="00742A04">
        <w:t xml:space="preserve"> </w:t>
      </w:r>
      <w:r w:rsidR="00EC5FA6" w:rsidRPr="00742A04">
        <w:t xml:space="preserve">las </w:t>
      </w:r>
      <w:r w:rsidR="00310049" w:rsidRPr="00742A04">
        <w:t>diferencias de remuneración</w:t>
      </w:r>
      <w:r w:rsidR="00545D1B" w:rsidRPr="00742A04">
        <w:t xml:space="preserve"> </w:t>
      </w:r>
      <w:r w:rsidR="004D4D6B" w:rsidRPr="00742A04">
        <w:t xml:space="preserve">se </w:t>
      </w:r>
      <w:r w:rsidR="00AC1BF5" w:rsidRPr="00742A04">
        <w:t>i</w:t>
      </w:r>
      <w:r w:rsidR="00AC1BF5" w:rsidRPr="00742A04">
        <w:t>n</w:t>
      </w:r>
      <w:r w:rsidR="00AC1BF5" w:rsidRPr="00742A04">
        <w:t>crement</w:t>
      </w:r>
      <w:r w:rsidR="004D4D6B" w:rsidRPr="00742A04">
        <w:t>aron</w:t>
      </w:r>
      <w:r w:rsidR="000A08D8" w:rsidRPr="00742A04">
        <w:t>.</w:t>
      </w:r>
    </w:p>
    <w:p w:rsidR="00496A4A" w:rsidRPr="00742A04" w:rsidRDefault="004D4D6B" w:rsidP="004D4D6B">
      <w:pPr>
        <w:pStyle w:val="SingleTxt"/>
        <w:keepNext/>
        <w:ind w:left="2160"/>
        <w:jc w:val="left"/>
        <w:rPr>
          <w:b/>
        </w:rPr>
      </w:pPr>
      <w:r w:rsidRPr="00742A04">
        <w:rPr>
          <w:b/>
        </w:rPr>
        <w:t>Remuneración media</w:t>
      </w:r>
      <w:r w:rsidR="00545D1B" w:rsidRPr="00742A04">
        <w:rPr>
          <w:b/>
        </w:rPr>
        <w:t xml:space="preserve"> </w:t>
      </w:r>
      <w:r w:rsidR="000F7393">
        <w:rPr>
          <w:b/>
        </w:rPr>
        <w:t>de las</w:t>
      </w:r>
      <w:r w:rsidR="00545D1B" w:rsidRPr="00742A04">
        <w:rPr>
          <w:b/>
        </w:rPr>
        <w:t xml:space="preserve"> </w:t>
      </w:r>
      <w:r w:rsidR="00072AD7" w:rsidRPr="00742A04">
        <w:rPr>
          <w:b/>
        </w:rPr>
        <w:t>mujeres</w:t>
      </w:r>
      <w:r w:rsidR="00EA26AB" w:rsidRPr="00742A04">
        <w:rPr>
          <w:b/>
        </w:rPr>
        <w:t xml:space="preserve"> </w:t>
      </w:r>
      <w:r w:rsidR="00E73E8E" w:rsidRPr="00742A04">
        <w:rPr>
          <w:b/>
        </w:rPr>
        <w:t>en comparación con</w:t>
      </w:r>
      <w:r w:rsidR="000F7393">
        <w:rPr>
          <w:b/>
        </w:rPr>
        <w:br/>
        <w:t xml:space="preserve">la de los </w:t>
      </w:r>
      <w:r w:rsidR="00072AD7" w:rsidRPr="00742A04">
        <w:rPr>
          <w:b/>
        </w:rPr>
        <w:t>hombres</w:t>
      </w:r>
      <w:r w:rsidR="00EA26AB" w:rsidRPr="00742A04">
        <w:rPr>
          <w:b/>
        </w:rPr>
        <w:t xml:space="preserve"> </w:t>
      </w:r>
      <w:r w:rsidR="000F7393">
        <w:rPr>
          <w:b/>
        </w:rPr>
        <w:t xml:space="preserve">en </w:t>
      </w:r>
      <w:r w:rsidRPr="00742A04">
        <w:rPr>
          <w:b/>
        </w:rPr>
        <w:t>un mismo</w:t>
      </w:r>
      <w:r w:rsidR="00496A4A" w:rsidRPr="00742A04">
        <w:rPr>
          <w:b/>
        </w:rPr>
        <w:t xml:space="preserve"> </w:t>
      </w:r>
      <w:r w:rsidR="00545D1B" w:rsidRPr="00742A04">
        <w:rPr>
          <w:b/>
        </w:rPr>
        <w:t>sector (</w:t>
      </w:r>
      <w:r w:rsidRPr="00742A04">
        <w:rPr>
          <w:b/>
        </w:rPr>
        <w:t>tiempo completo</w:t>
      </w:r>
      <w:r w:rsidR="00545D1B" w:rsidRPr="00742A04">
        <w:rPr>
          <w:b/>
        </w:rPr>
        <w:t>)</w:t>
      </w:r>
      <w:r w:rsidR="00496A4A" w:rsidRPr="00742A04">
        <w:rPr>
          <w:b/>
        </w:rPr>
        <w:t xml:space="preserve"> </w:t>
      </w:r>
    </w:p>
    <w:p w:rsidR="00496A4A" w:rsidRPr="00742A04" w:rsidRDefault="00496A4A" w:rsidP="004D4D6B">
      <w:pPr>
        <w:pStyle w:val="SingleTxt"/>
        <w:keepNext/>
        <w:spacing w:after="0" w:line="120" w:lineRule="exact"/>
        <w:ind w:left="2160"/>
        <w:jc w:val="left"/>
        <w:rPr>
          <w:sz w:val="10"/>
        </w:rPr>
      </w:pPr>
      <w:r w:rsidRPr="00742A04">
        <w:rPr>
          <w:sz w:val="14"/>
        </w:rPr>
        <w:t>(</w:t>
      </w:r>
      <w:r w:rsidRPr="000F7393">
        <w:rPr>
          <w:i/>
          <w:sz w:val="14"/>
        </w:rPr>
        <w:t>En porcentajes</w:t>
      </w:r>
      <w:r w:rsidRPr="00742A04">
        <w:rPr>
          <w:sz w:val="14"/>
        </w:rPr>
        <w:t>)</w:t>
      </w:r>
    </w:p>
    <w:p w:rsidR="00EA26AB" w:rsidRPr="00742A04" w:rsidRDefault="00EA26AB" w:rsidP="004D4D6B">
      <w:pPr>
        <w:pStyle w:val="SingleTxt"/>
        <w:keepNext/>
        <w:spacing w:after="0" w:line="120" w:lineRule="exact"/>
        <w:ind w:left="2160"/>
        <w:rPr>
          <w:sz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125"/>
        <w:gridCol w:w="855"/>
      </w:tblGrid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690" w:type="dxa"/>
            <w:tcBorders>
              <w:top w:val="single" w:sz="4" w:space="0" w:color="auto"/>
              <w:bottom w:val="single" w:sz="12" w:space="0" w:color="auto"/>
            </w:tcBorders>
          </w:tcPr>
          <w:p w:rsidR="00EA26AB" w:rsidRPr="00742A04" w:rsidRDefault="00EA26AB" w:rsidP="004D4D6B">
            <w:pPr>
              <w:pStyle w:val="SingleTxt"/>
              <w:keepNext/>
              <w:spacing w:before="40" w:after="40" w:line="240" w:lineRule="auto"/>
              <w:ind w:left="115" w:right="115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Sector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26AB" w:rsidRPr="00742A04" w:rsidRDefault="00EA26AB" w:rsidP="004D4D6B">
            <w:pPr>
              <w:pStyle w:val="SingleTxt"/>
              <w:keepNext/>
              <w:spacing w:before="40" w:after="40" w:line="240" w:lineRule="auto"/>
              <w:ind w:left="115" w:right="115"/>
              <w:jc w:val="center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2004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26AB" w:rsidRPr="00742A04" w:rsidRDefault="00EA26AB" w:rsidP="004D4D6B">
            <w:pPr>
              <w:pStyle w:val="SingleTxt"/>
              <w:keepNext/>
              <w:spacing w:before="40" w:after="40" w:line="240" w:lineRule="auto"/>
              <w:ind w:left="115" w:right="115"/>
              <w:jc w:val="center"/>
              <w:rPr>
                <w:i/>
                <w:sz w:val="14"/>
                <w:szCs w:val="14"/>
              </w:rPr>
            </w:pPr>
            <w:r w:rsidRPr="00742A04">
              <w:rPr>
                <w:i/>
                <w:sz w:val="14"/>
                <w:szCs w:val="14"/>
              </w:rPr>
              <w:t>2005</w:t>
            </w: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  <w:jc w:val="center"/>
        </w:trPr>
        <w:tc>
          <w:tcPr>
            <w:tcW w:w="3690" w:type="dxa"/>
            <w:tcBorders>
              <w:top w:val="single" w:sz="12" w:space="0" w:color="auto"/>
            </w:tcBorders>
          </w:tcPr>
          <w:p w:rsidR="00EA26AB" w:rsidRPr="00742A04" w:rsidRDefault="00EA26AB" w:rsidP="004D4D6B">
            <w:pPr>
              <w:pStyle w:val="SingleTxt"/>
              <w:keepNext/>
              <w:spacing w:before="40" w:after="40" w:line="240" w:lineRule="auto"/>
              <w:ind w:left="115" w:right="115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A26AB" w:rsidRPr="00742A04" w:rsidRDefault="00EA26AB" w:rsidP="004D4D6B">
            <w:pPr>
              <w:pStyle w:val="SingleTxt"/>
              <w:keepNext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23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EA26AB" w:rsidRPr="00742A04" w:rsidRDefault="00EA26AB" w:rsidP="004D4D6B">
            <w:pPr>
              <w:pStyle w:val="SingleTxt"/>
              <w:keepNext/>
              <w:spacing w:before="40" w:after="40" w:line="240" w:lineRule="auto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22</w:t>
            </w: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</w:tcPr>
          <w:p w:rsidR="00EA26AB" w:rsidRPr="00742A04" w:rsidRDefault="004D4D6B" w:rsidP="004D4D6B">
            <w:pPr>
              <w:pStyle w:val="SingleTxt"/>
              <w:keepNext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Todas las ramas de actividad</w:t>
            </w:r>
          </w:p>
        </w:tc>
        <w:tc>
          <w:tcPr>
            <w:tcW w:w="112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86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6</w:t>
            </w:r>
          </w:p>
        </w:tc>
        <w:tc>
          <w:tcPr>
            <w:tcW w:w="85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</w:tcPr>
          <w:p w:rsidR="00EA26AB" w:rsidRPr="00742A04" w:rsidRDefault="004D4D6B" w:rsidP="004D4D6B">
            <w:pPr>
              <w:pStyle w:val="SingleTxt"/>
              <w:keepNext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Sector estatal</w:t>
            </w:r>
          </w:p>
        </w:tc>
        <w:tc>
          <w:tcPr>
            <w:tcW w:w="112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90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3</w:t>
            </w:r>
          </w:p>
        </w:tc>
        <w:tc>
          <w:tcPr>
            <w:tcW w:w="85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90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8</w:t>
            </w: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Educación</w:t>
            </w:r>
          </w:p>
        </w:tc>
        <w:tc>
          <w:tcPr>
            <w:tcW w:w="112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96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97</w:t>
            </w: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</w:tcPr>
          <w:p w:rsidR="00EA26AB" w:rsidRPr="00742A04" w:rsidRDefault="004D4D6B" w:rsidP="004D4D6B">
            <w:pPr>
              <w:pStyle w:val="SingleTxt"/>
              <w:keepNext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Sector m</w:t>
            </w:r>
            <w:r w:rsidR="00EA26AB" w:rsidRPr="00742A04">
              <w:rPr>
                <w:sz w:val="17"/>
                <w:szCs w:val="17"/>
              </w:rPr>
              <w:t>unicipal</w:t>
            </w:r>
          </w:p>
        </w:tc>
        <w:tc>
          <w:tcPr>
            <w:tcW w:w="112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92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3</w:t>
            </w:r>
          </w:p>
        </w:tc>
        <w:tc>
          <w:tcPr>
            <w:tcW w:w="85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91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9</w:t>
            </w: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 xml:space="preserve">- </w:t>
            </w:r>
            <w:r w:rsidR="00B31D97" w:rsidRPr="00742A04">
              <w:rPr>
                <w:sz w:val="17"/>
                <w:szCs w:val="17"/>
              </w:rPr>
              <w:t>servicios</w:t>
            </w:r>
            <w:r w:rsidR="004D4D6B" w:rsidRPr="00742A04">
              <w:rPr>
                <w:sz w:val="17"/>
                <w:szCs w:val="17"/>
              </w:rPr>
              <w:t xml:space="preserve"> a clientes</w:t>
            </w:r>
          </w:p>
        </w:tc>
        <w:tc>
          <w:tcPr>
            <w:tcW w:w="112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95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6</w:t>
            </w:r>
          </w:p>
        </w:tc>
        <w:tc>
          <w:tcPr>
            <w:tcW w:w="85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95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9</w:t>
            </w: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 xml:space="preserve">- </w:t>
            </w:r>
            <w:r w:rsidR="004D4D6B" w:rsidRPr="00742A04">
              <w:rPr>
                <w:sz w:val="17"/>
                <w:szCs w:val="17"/>
              </w:rPr>
              <w:t>administración</w:t>
            </w:r>
          </w:p>
        </w:tc>
        <w:tc>
          <w:tcPr>
            <w:tcW w:w="112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94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2</w:t>
            </w:r>
          </w:p>
        </w:tc>
        <w:tc>
          <w:tcPr>
            <w:tcW w:w="85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94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8</w:t>
            </w: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</w:tcPr>
          <w:p w:rsidR="00EA26AB" w:rsidRPr="00742A04" w:rsidRDefault="004D4D6B" w:rsidP="004D4D6B">
            <w:pPr>
              <w:pStyle w:val="SingleTxt"/>
              <w:keepNext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Comercio minorista</w:t>
            </w:r>
          </w:p>
        </w:tc>
        <w:tc>
          <w:tcPr>
            <w:tcW w:w="112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85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84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2</w:t>
            </w: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Hotel</w:t>
            </w:r>
            <w:r w:rsidR="004D4D6B" w:rsidRPr="00742A04">
              <w:rPr>
                <w:sz w:val="17"/>
                <w:szCs w:val="17"/>
              </w:rPr>
              <w:t>es</w:t>
            </w:r>
            <w:r w:rsidRPr="00742A04">
              <w:rPr>
                <w:sz w:val="17"/>
                <w:szCs w:val="17"/>
              </w:rPr>
              <w:t xml:space="preserve"> y resta</w:t>
            </w:r>
            <w:r w:rsidRPr="00742A04">
              <w:rPr>
                <w:sz w:val="17"/>
                <w:szCs w:val="17"/>
              </w:rPr>
              <w:t>u</w:t>
            </w:r>
            <w:r w:rsidRPr="00742A04">
              <w:rPr>
                <w:sz w:val="17"/>
                <w:szCs w:val="17"/>
              </w:rPr>
              <w:t>rant</w:t>
            </w:r>
            <w:r w:rsidR="004D4D6B" w:rsidRPr="00742A04">
              <w:rPr>
                <w:sz w:val="17"/>
                <w:szCs w:val="17"/>
              </w:rPr>
              <w:t>es</w:t>
            </w:r>
          </w:p>
        </w:tc>
        <w:tc>
          <w:tcPr>
            <w:tcW w:w="112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89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9</w:t>
            </w:r>
          </w:p>
        </w:tc>
        <w:tc>
          <w:tcPr>
            <w:tcW w:w="855" w:type="dxa"/>
          </w:tcPr>
          <w:p w:rsidR="00EA26AB" w:rsidRPr="00742A04" w:rsidRDefault="00EA26AB" w:rsidP="004D4D6B">
            <w:pPr>
              <w:pStyle w:val="SingleTxt"/>
              <w:keepNext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89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1</w:t>
            </w:r>
          </w:p>
        </w:tc>
      </w:tr>
      <w:tr w:rsidR="00EA26AB" w:rsidRPr="0074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tcBorders>
              <w:bottom w:val="single" w:sz="12" w:space="0" w:color="auto"/>
            </w:tcBorders>
          </w:tcPr>
          <w:p w:rsidR="00EA26AB" w:rsidRPr="00742A04" w:rsidRDefault="004D4D6B" w:rsidP="002D1B69">
            <w:pPr>
              <w:pStyle w:val="SingleTxt"/>
              <w:spacing w:before="40" w:after="40"/>
              <w:ind w:left="115" w:right="115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Intermediación financiera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EA26AB" w:rsidRPr="00742A04" w:rsidRDefault="00EA26AB" w:rsidP="004F2690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73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3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EA26AB" w:rsidRPr="00742A04" w:rsidRDefault="00EA26AB" w:rsidP="004F2690">
            <w:pPr>
              <w:pStyle w:val="SingleTxt"/>
              <w:spacing w:before="40" w:after="40"/>
              <w:ind w:left="115" w:right="115"/>
              <w:jc w:val="center"/>
              <w:rPr>
                <w:sz w:val="17"/>
                <w:szCs w:val="17"/>
              </w:rPr>
            </w:pPr>
            <w:r w:rsidRPr="00742A04">
              <w:rPr>
                <w:sz w:val="17"/>
                <w:szCs w:val="17"/>
              </w:rPr>
              <w:t>71</w:t>
            </w:r>
            <w:r w:rsidR="004D4D6B" w:rsidRPr="00742A04">
              <w:rPr>
                <w:sz w:val="17"/>
                <w:szCs w:val="17"/>
              </w:rPr>
              <w:t>,</w:t>
            </w:r>
            <w:r w:rsidRPr="00742A04">
              <w:rPr>
                <w:sz w:val="17"/>
                <w:szCs w:val="17"/>
              </w:rPr>
              <w:t>9</w:t>
            </w:r>
          </w:p>
        </w:tc>
      </w:tr>
    </w:tbl>
    <w:p w:rsidR="00EA26AB" w:rsidRPr="00742A04" w:rsidRDefault="00EA26AB" w:rsidP="00EA26AB">
      <w:pPr>
        <w:pStyle w:val="SingleTxt"/>
        <w:spacing w:after="0" w:line="120" w:lineRule="exact"/>
        <w:rPr>
          <w:sz w:val="10"/>
        </w:rPr>
      </w:pPr>
    </w:p>
    <w:p w:rsidR="00EA26AB" w:rsidRPr="00742A04" w:rsidRDefault="00EA26AB" w:rsidP="00EA26AB">
      <w:pPr>
        <w:pStyle w:val="SingleTxt"/>
        <w:spacing w:after="0" w:line="120" w:lineRule="exact"/>
        <w:rPr>
          <w:sz w:val="10"/>
        </w:rPr>
      </w:pPr>
    </w:p>
    <w:p w:rsidR="00545D1B" w:rsidRPr="00742A04" w:rsidRDefault="004A0730" w:rsidP="00D574C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4D4D6B" w:rsidRPr="00742A04">
        <w:t xml:space="preserve">las </w:t>
      </w:r>
      <w:r w:rsidR="00EC1B22" w:rsidRPr="00742A04">
        <w:t>empresa</w:t>
      </w:r>
      <w:r w:rsidR="00545D1B" w:rsidRPr="00742A04">
        <w:t xml:space="preserve">s </w:t>
      </w:r>
      <w:r w:rsidRPr="00742A04">
        <w:t>con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25 </w:t>
      </w:r>
      <w:r w:rsidR="00380AC9" w:rsidRPr="00742A04">
        <w:t>empleados</w:t>
      </w:r>
      <w:r w:rsidR="00545D1B" w:rsidRPr="00742A04">
        <w:t>/</w:t>
      </w:r>
      <w:r w:rsidR="00E573DD" w:rsidRPr="00742A04">
        <w:t>personal</w:t>
      </w:r>
      <w:r w:rsidR="00072261" w:rsidRPr="00742A04">
        <w:t xml:space="preserve"> remunerado</w:t>
      </w:r>
      <w:r w:rsidR="00545D1B" w:rsidRPr="00742A04">
        <w:t xml:space="preserve">, </w:t>
      </w:r>
      <w:r w:rsidR="00A836A1" w:rsidRPr="00742A04">
        <w:t>aproximad</w:t>
      </w:r>
      <w:r w:rsidR="00A836A1" w:rsidRPr="00742A04">
        <w:t>a</w:t>
      </w:r>
      <w:r w:rsidR="00A836A1" w:rsidRPr="00742A04">
        <w:t>mente</w:t>
      </w:r>
      <w:r w:rsidR="00545D1B" w:rsidRPr="00742A04">
        <w:t xml:space="preserve"> </w:t>
      </w:r>
      <w:r w:rsidR="00072261" w:rsidRPr="00742A04">
        <w:t xml:space="preserve">el </w:t>
      </w:r>
      <w:r w:rsidR="00545D1B" w:rsidRPr="00742A04">
        <w:t>13</w:t>
      </w:r>
      <w:r w:rsidR="001167D2" w:rsidRPr="00742A04">
        <w:t>%</w:t>
      </w:r>
      <w:r w:rsidR="00545D1B" w:rsidRPr="00742A04">
        <w:t xml:space="preserve"> </w:t>
      </w:r>
      <w:r w:rsidR="00072261" w:rsidRPr="00742A04">
        <w:t>de quienes ocupaban puestos</w:t>
      </w:r>
      <w:r w:rsidR="00600888" w:rsidRPr="00742A04">
        <w:t xml:space="preserve"> directivos superiores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2005, </w:t>
      </w:r>
      <w:r w:rsidR="00877AA0" w:rsidRPr="00742A04">
        <w:t>y</w:t>
      </w:r>
      <w:r w:rsidR="00545D1B" w:rsidRPr="00742A04">
        <w:t xml:space="preserve"> </w:t>
      </w:r>
      <w:r w:rsidR="00072261" w:rsidRPr="00742A04">
        <w:t>c</w:t>
      </w:r>
      <w:r w:rsidR="00750E87" w:rsidRPr="00742A04">
        <w:t>omo término medio</w:t>
      </w:r>
      <w:r w:rsidR="00545D1B" w:rsidRPr="00742A04">
        <w:t xml:space="preserve"> </w:t>
      </w:r>
      <w:r w:rsidR="00072261" w:rsidRPr="00742A04">
        <w:t>ganaban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="00072261" w:rsidRPr="00742A04">
        <w:t xml:space="preserve">el </w:t>
      </w:r>
      <w:r w:rsidR="00545D1B" w:rsidRPr="00742A04">
        <w:t>66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A31FF2" w:rsidRPr="00742A04">
        <w:t>la remuneración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072261" w:rsidRPr="00742A04">
        <w:t xml:space="preserve">los hombres que ocupaban </w:t>
      </w:r>
      <w:r w:rsidR="00600888" w:rsidRPr="00742A04">
        <w:t>pues</w:t>
      </w:r>
      <w:r w:rsidR="00072261" w:rsidRPr="00742A04">
        <w:t xml:space="preserve">tos </w:t>
      </w:r>
      <w:r w:rsidR="00600888" w:rsidRPr="00742A04">
        <w:t>directivos s</w:t>
      </w:r>
      <w:r w:rsidR="00600888" w:rsidRPr="00742A04">
        <w:t>u</w:t>
      </w:r>
      <w:r w:rsidR="00600888" w:rsidRPr="00742A04">
        <w:t>periores</w:t>
      </w:r>
      <w:r w:rsidR="00545D1B" w:rsidRPr="00742A04">
        <w:t>.</w:t>
      </w:r>
    </w:p>
    <w:p w:rsidR="00545D1B" w:rsidRPr="00742A04" w:rsidRDefault="00021DB5" w:rsidP="00D574C4">
      <w:pPr>
        <w:pStyle w:val="SingleTxt"/>
        <w:ind w:firstLine="475"/>
      </w:pPr>
      <w:r w:rsidRPr="00742A04">
        <w:t>Hay</w:t>
      </w:r>
      <w:r w:rsidR="00545D1B" w:rsidRPr="00742A04">
        <w:t xml:space="preserve"> </w:t>
      </w:r>
      <w:r w:rsidR="00982243" w:rsidRPr="00742A04">
        <w:t>mayor</w:t>
      </w:r>
      <w:r w:rsidR="00072261" w:rsidRPr="00742A04">
        <w:t>es</w:t>
      </w:r>
      <w:r w:rsidR="00310049" w:rsidRPr="00742A04">
        <w:t xml:space="preserve"> diferencias de remuneración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072261" w:rsidRPr="00742A04">
        <w:t xml:space="preserve">en </w:t>
      </w:r>
      <w:r w:rsidR="004B580D" w:rsidRPr="00742A04">
        <w:t>el se</w:t>
      </w:r>
      <w:r w:rsidR="004B580D" w:rsidRPr="00742A04">
        <w:t>c</w:t>
      </w:r>
      <w:r w:rsidR="004B580D" w:rsidRPr="00742A04">
        <w:t>tor privado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574C4" w:rsidRPr="00742A04">
        <w:t>el sector público</w:t>
      </w:r>
      <w:r w:rsidR="00545D1B" w:rsidRPr="00742A04">
        <w:t xml:space="preserve">. </w:t>
      </w:r>
      <w:r w:rsidR="00072261" w:rsidRPr="00742A04">
        <w:t>Los</w:t>
      </w:r>
      <w:r w:rsidR="00545D1B" w:rsidRPr="00742A04">
        <w:t xml:space="preserve"> </w:t>
      </w:r>
      <w:r w:rsidR="00893DBB" w:rsidRPr="00742A04">
        <w:t>niveles</w:t>
      </w:r>
      <w:r w:rsidR="00072261" w:rsidRPr="00742A04">
        <w:t xml:space="preserve"> generales</w:t>
      </w:r>
      <w:r w:rsidR="00893DBB" w:rsidRPr="00742A04">
        <w:t xml:space="preserve"> de remuneración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6A0F02" w:rsidRPr="00742A04">
        <w:t>m</w:t>
      </w:r>
      <w:r w:rsidR="006A0F02" w:rsidRPr="00742A04">
        <w:t>a</w:t>
      </w:r>
      <w:r w:rsidR="006A0F02" w:rsidRPr="00742A04">
        <w:t>yor</w:t>
      </w:r>
      <w:r w:rsidR="00072261" w:rsidRPr="00742A04">
        <w:t>es en</w:t>
      </w:r>
      <w:r w:rsidR="00545D1B" w:rsidRPr="00742A04">
        <w:t xml:space="preserve"> </w:t>
      </w:r>
      <w:r w:rsidR="004B580D" w:rsidRPr="00742A04">
        <w:t>el sector privado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574C4" w:rsidRPr="00742A04">
        <w:t>el sector público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D574C4" w:rsidRPr="00742A04">
        <w:t>el sector público</w:t>
      </w:r>
      <w:r w:rsidR="00545D1B" w:rsidRPr="00742A04">
        <w:t xml:space="preserve">, </w:t>
      </w:r>
      <w:r w:rsidR="00310049" w:rsidRPr="00742A04">
        <w:t>las difere</w:t>
      </w:r>
      <w:r w:rsidR="00310049" w:rsidRPr="00742A04">
        <w:t>n</w:t>
      </w:r>
      <w:r w:rsidR="00310049" w:rsidRPr="00742A04">
        <w:t>cias de remuneración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</w:t>
      </w:r>
      <w:r w:rsidR="00373AA0" w:rsidRPr="00742A04">
        <w:t>marcadas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75A9E" w:rsidRPr="00742A04">
        <w:t>el sector municipal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32F5" w:rsidRPr="00742A04">
        <w:t xml:space="preserve">el </w:t>
      </w:r>
      <w:r w:rsidR="008C6468" w:rsidRPr="00742A04">
        <w:t>sector estatal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975A9E" w:rsidRPr="00742A04">
        <w:t>el sector municipal</w:t>
      </w:r>
      <w:r w:rsidR="00545D1B" w:rsidRPr="00742A04">
        <w:t xml:space="preserve"> </w:t>
      </w:r>
      <w:r w:rsidRPr="00742A04">
        <w:t>hay</w:t>
      </w:r>
      <w:r w:rsidR="00545D1B" w:rsidRPr="00742A04">
        <w:t xml:space="preserve"> </w:t>
      </w:r>
      <w:r w:rsidR="00072261" w:rsidRPr="00742A04">
        <w:t>una gran</w:t>
      </w:r>
      <w:r w:rsidR="00545D1B" w:rsidRPr="00742A04">
        <w:t xml:space="preserve"> </w:t>
      </w:r>
      <w:r w:rsidR="00AC5D28" w:rsidRPr="00742A04">
        <w:t xml:space="preserve">proporción de </w:t>
      </w:r>
      <w:r w:rsidR="00072261" w:rsidRPr="00742A04">
        <w:t>empleadas de sexo femenino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072261" w:rsidRPr="00742A04">
        <w:t>hay una gran cantidad</w:t>
      </w:r>
      <w:r w:rsidR="00FD7D4E" w:rsidRPr="00742A04">
        <w:t xml:space="preserve"> de </w:t>
      </w:r>
      <w:r w:rsidR="00A8681A" w:rsidRPr="00742A04">
        <w:t>trabajo a tie</w:t>
      </w:r>
      <w:r w:rsidR="00A8681A" w:rsidRPr="00742A04">
        <w:t>m</w:t>
      </w:r>
      <w:r w:rsidR="00A8681A" w:rsidRPr="00742A04">
        <w:t>po parcial</w:t>
      </w:r>
      <w:r w:rsidR="00545D1B" w:rsidRPr="00742A04">
        <w:t>.</w:t>
      </w:r>
    </w:p>
    <w:p w:rsidR="00545D1B" w:rsidRPr="00742A04" w:rsidRDefault="00072261" w:rsidP="00D574C4">
      <w:pPr>
        <w:pStyle w:val="SingleTxt"/>
        <w:ind w:firstLine="475"/>
      </w:pPr>
      <w:r w:rsidRPr="00742A04">
        <w:t>El</w:t>
      </w:r>
      <w:r w:rsidR="00545D1B" w:rsidRPr="00742A04">
        <w:t xml:space="preserve"> </w:t>
      </w:r>
      <w:r w:rsidRPr="00742A04">
        <w:t>apéndice sobre igualdad</w:t>
      </w:r>
      <w:r w:rsidR="00545D1B" w:rsidRPr="00742A04">
        <w:t xml:space="preserve"> </w:t>
      </w:r>
      <w:r w:rsidRPr="00742A04">
        <w:t>del</w:t>
      </w:r>
      <w:r w:rsidR="00545D1B" w:rsidRPr="00742A04">
        <w:t xml:space="preserve"> </w:t>
      </w:r>
      <w:r w:rsidRPr="00742A04">
        <w:t>Presupuesto del Estado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2006</w:t>
      </w:r>
      <w:r w:rsidRPr="00742A04">
        <w:t>, titulado</w:t>
      </w:r>
      <w:r w:rsidR="00545D1B" w:rsidRPr="00742A04">
        <w:t xml:space="preserve"> “Distribu</w:t>
      </w:r>
      <w:r w:rsidR="00C14BFF" w:rsidRPr="00742A04">
        <w:t xml:space="preserve">ción </w:t>
      </w:r>
      <w:r w:rsidR="00C076F2" w:rsidRPr="00742A04">
        <w:t xml:space="preserve">de los </w:t>
      </w:r>
      <w:r w:rsidR="005E2D7A" w:rsidRPr="00742A04">
        <w:t>recursos financieros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–</w:t>
      </w:r>
      <w:r w:rsidR="005E2D7A" w:rsidRPr="00742A04">
        <w:t>ingresos</w:t>
      </w:r>
      <w:r w:rsidR="00545D1B" w:rsidRPr="00742A04">
        <w:t>,</w:t>
      </w:r>
      <w:r w:rsidR="005E2D7A" w:rsidRPr="00742A04">
        <w:t xml:space="preserve"> e</w:t>
      </w:r>
      <w:r w:rsidR="005E2D7A" w:rsidRPr="00742A04">
        <w:t>m</w:t>
      </w:r>
      <w:r w:rsidR="005E2D7A" w:rsidRPr="00742A04">
        <w:t>pleo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ti</w:t>
      </w:r>
      <w:r w:rsidRPr="00742A04">
        <w:t>e</w:t>
      </w:r>
      <w:r w:rsidR="00545D1B" w:rsidRPr="00742A04">
        <w:t>m</w:t>
      </w:r>
      <w:r w:rsidRPr="00742A04">
        <w:t>po</w:t>
      </w:r>
      <w:r w:rsidR="00545D1B" w:rsidRPr="00742A04">
        <w:t>”</w:t>
      </w:r>
      <w:r w:rsidRPr="00742A04">
        <w:t>,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pro</w:t>
      </w:r>
      <w:r w:rsidRPr="00742A04">
        <w:t>porciona</w:t>
      </w:r>
      <w:r w:rsidR="00545D1B" w:rsidRPr="00742A04">
        <w:t xml:space="preserve"> informa</w:t>
      </w:r>
      <w:r w:rsidR="00C14BFF" w:rsidRPr="00742A04">
        <w:t xml:space="preserve">ción </w:t>
      </w:r>
      <w:r w:rsidRPr="00742A04">
        <w:t>s</w:t>
      </w:r>
      <w:r w:rsidR="00545D1B" w:rsidRPr="00742A04">
        <w:t>o</w:t>
      </w:r>
      <w:r w:rsidRPr="00742A04">
        <w:t>bre</w:t>
      </w:r>
      <w:r w:rsidR="00545D1B" w:rsidRPr="00742A04">
        <w:t xml:space="preserve"> </w:t>
      </w:r>
      <w:r w:rsidR="0063400A" w:rsidRPr="00742A04">
        <w:t>la situación fina</w:t>
      </w:r>
      <w:r w:rsidR="0063400A" w:rsidRPr="00742A04">
        <w:t>n</w:t>
      </w:r>
      <w:r w:rsidR="0063400A" w:rsidRPr="00742A04">
        <w:t>ciera</w:t>
      </w:r>
      <w:r w:rsidR="00C14BFF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F7393">
        <w:t xml:space="preserve">los </w:t>
      </w:r>
      <w:r w:rsidR="00072AD7" w:rsidRPr="00742A04">
        <w:t>hombres</w:t>
      </w:r>
      <w:r w:rsidR="00545D1B" w:rsidRPr="00742A04">
        <w:t>.</w:t>
      </w:r>
      <w:r w:rsidR="001167D2" w:rsidRPr="00742A04">
        <w:t xml:space="preserve"> </w:t>
      </w:r>
      <w:r w:rsidRPr="00742A04">
        <w:t>E</w:t>
      </w:r>
      <w:r w:rsidR="001167D2" w:rsidRPr="00742A04">
        <w:t>l</w:t>
      </w:r>
      <w:r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Pr="00742A04">
        <w:t>arroja luz sobre</w:t>
      </w:r>
      <w:r w:rsidR="00545D1B" w:rsidRPr="00742A04">
        <w:t xml:space="preserve"> </w:t>
      </w:r>
      <w:r w:rsidR="005206AC" w:rsidRPr="00742A04">
        <w:t>la distribución</w:t>
      </w:r>
      <w:r w:rsidR="00C14BFF" w:rsidRPr="00742A04">
        <w:t xml:space="preserve"> </w:t>
      </w:r>
      <w:r w:rsidR="00C076F2" w:rsidRPr="00742A04">
        <w:t xml:space="preserve">de los </w:t>
      </w:r>
      <w:r w:rsidR="005E2D7A" w:rsidRPr="00742A04">
        <w:t>recursos financieros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Pr="00742A04">
        <w:t>durante un</w:t>
      </w:r>
      <w:r w:rsidR="00545D1B" w:rsidRPr="00742A04">
        <w:t xml:space="preserve"> </w:t>
      </w:r>
      <w:r w:rsidRPr="00742A04">
        <w:t>período</w:t>
      </w:r>
      <w:r w:rsidR="000F7393">
        <w:t xml:space="preserve"> más largo</w:t>
      </w:r>
      <w:r w:rsidR="001E30D6" w:rsidRPr="00742A04">
        <w:t xml:space="preserve"> </w:t>
      </w:r>
      <w:r w:rsidR="0085266D" w:rsidRPr="00742A04">
        <w:t>teniendo en cuenta el tiempo que dedican al</w:t>
      </w:r>
      <w:r w:rsidR="00545D1B" w:rsidRPr="00742A04">
        <w:t xml:space="preserve"> </w:t>
      </w:r>
      <w:r w:rsidR="0085266D" w:rsidRPr="00742A04">
        <w:t>trabajo remunerado y no remunerado</w:t>
      </w:r>
      <w:r w:rsidR="00545D1B" w:rsidRPr="00742A04">
        <w:t>.</w:t>
      </w:r>
      <w:r w:rsidR="001167D2" w:rsidRPr="00742A04">
        <w:t xml:space="preserve"> </w:t>
      </w:r>
      <w:r w:rsidR="0085266D" w:rsidRPr="00742A04">
        <w:t>E</w:t>
      </w:r>
      <w:r w:rsidR="001167D2" w:rsidRPr="00742A04">
        <w:t xml:space="preserve">l </w:t>
      </w:r>
      <w:r w:rsidR="00FB5EDF" w:rsidRPr="00742A04">
        <w:t>informe</w:t>
      </w:r>
      <w:r w:rsidR="00545D1B" w:rsidRPr="00742A04">
        <w:t xml:space="preserve"> </w:t>
      </w:r>
      <w:r w:rsidR="0085266D" w:rsidRPr="00742A04">
        <w:t>detalla en líneas generales</w:t>
      </w:r>
      <w:r w:rsidR="00545D1B" w:rsidRPr="00742A04">
        <w:t xml:space="preserve"> </w:t>
      </w:r>
      <w:r w:rsidR="0085266D" w:rsidRPr="00742A04">
        <w:t>los</w:t>
      </w:r>
      <w:r w:rsidR="00545D1B" w:rsidRPr="00742A04">
        <w:t xml:space="preserve"> </w:t>
      </w:r>
      <w:r w:rsidR="00615664" w:rsidRPr="00742A04">
        <w:t>distintos tipos</w:t>
      </w:r>
      <w:r w:rsidR="00545D1B" w:rsidRPr="00742A04">
        <w:t xml:space="preserve"> </w:t>
      </w:r>
      <w:r w:rsidR="00C076F2" w:rsidRPr="00742A04">
        <w:t xml:space="preserve">de </w:t>
      </w:r>
      <w:r w:rsidR="005E2D7A" w:rsidRPr="00742A04">
        <w:t>ingresos</w:t>
      </w:r>
      <w:r w:rsidR="00545D1B" w:rsidRPr="00742A04">
        <w:t xml:space="preserve"> </w:t>
      </w:r>
      <w:r w:rsidR="0085266D" w:rsidRPr="00742A04">
        <w:t>de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5266D" w:rsidRPr="00742A04">
        <w:t xml:space="preserve">las </w:t>
      </w:r>
      <w:r w:rsidR="00072AD7" w:rsidRPr="00742A04">
        <w:t>muj</w:t>
      </w:r>
      <w:r w:rsidR="00072AD7" w:rsidRPr="00742A04">
        <w:t>e</w:t>
      </w:r>
      <w:r w:rsidR="00072AD7" w:rsidRPr="00742A04">
        <w:t>res</w:t>
      </w:r>
      <w:r w:rsidR="00545D1B" w:rsidRPr="00742A04">
        <w:t xml:space="preserve">. </w:t>
      </w:r>
      <w:r w:rsidR="0085266D" w:rsidRPr="00742A04">
        <w:t>Los</w:t>
      </w:r>
      <w:r w:rsidR="00545D1B" w:rsidRPr="00742A04">
        <w:t xml:space="preserve"> </w:t>
      </w:r>
      <w:r w:rsidR="005E2D7A" w:rsidRPr="00742A04">
        <w:t>datos</w:t>
      </w:r>
      <w:r w:rsidR="00545D1B" w:rsidRPr="00742A04">
        <w:t xml:space="preserve"> </w:t>
      </w:r>
      <w:r w:rsidR="0085266D" w:rsidRPr="00742A04">
        <w:t xml:space="preserve">revelan una tendencia </w:t>
      </w:r>
      <w:r w:rsidR="00545D1B" w:rsidRPr="00742A04">
        <w:t>relativ</w:t>
      </w:r>
      <w:r w:rsidR="00BC2FBE" w:rsidRPr="00742A04">
        <w:t xml:space="preserve">amente </w:t>
      </w:r>
      <w:r w:rsidR="00C07ED9" w:rsidRPr="00742A04">
        <w:t>clara</w:t>
      </w:r>
      <w:r w:rsidR="0085266D" w:rsidRPr="00742A04">
        <w:t xml:space="preserve"> hacia un </w:t>
      </w:r>
      <w:r w:rsidR="00F05119" w:rsidRPr="00742A04">
        <w:t>mayor grado</w:t>
      </w:r>
      <w:r w:rsidR="00545D1B" w:rsidRPr="00742A04">
        <w:t xml:space="preserve"> </w:t>
      </w:r>
      <w:r w:rsidR="00242371" w:rsidRPr="00742A04">
        <w:t>de igualdad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537384" w:rsidRPr="00742A04">
        <w:t>en lo tocante a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85266D" w:rsidRPr="00742A04">
        <w:t>uso del tiempo</w:t>
      </w:r>
      <w:r w:rsidR="00545D1B" w:rsidRPr="00742A04">
        <w:t xml:space="preserve">, </w:t>
      </w:r>
      <w:r w:rsidR="0085266D" w:rsidRPr="00742A04">
        <w:t>a</w:t>
      </w:r>
      <w:r w:rsidR="005E2D7A" w:rsidRPr="00742A04">
        <w:t>l empleo</w:t>
      </w:r>
      <w:r w:rsidR="002E5047" w:rsidRPr="00742A04">
        <w:t xml:space="preserve"> </w:t>
      </w:r>
      <w:r w:rsidR="0085266D" w:rsidRPr="00742A04">
        <w:t>y a</w:t>
      </w:r>
      <w:r w:rsidR="002E5047" w:rsidRPr="00742A04">
        <w:t xml:space="preserve"> </w:t>
      </w:r>
      <w:r w:rsidR="005E2D7A" w:rsidRPr="00742A04">
        <w:t>los ingr</w:t>
      </w:r>
      <w:r w:rsidR="005E2D7A" w:rsidRPr="00742A04">
        <w:t>e</w:t>
      </w:r>
      <w:r w:rsidR="005E2D7A" w:rsidRPr="00742A04">
        <w:t>sos</w:t>
      </w:r>
      <w:r w:rsidR="00545D1B" w:rsidRPr="00742A04">
        <w:t xml:space="preserve"> </w:t>
      </w:r>
      <w:r w:rsidR="0085266D" w:rsidRPr="00742A04">
        <w:t xml:space="preserve">durante los últimos </w:t>
      </w:r>
      <w:r w:rsidR="00545D1B" w:rsidRPr="00742A04">
        <w:t>20</w:t>
      </w:r>
      <w:r w:rsidR="0085266D" w:rsidRPr="00742A04">
        <w:t xml:space="preserve"> o </w:t>
      </w:r>
      <w:r w:rsidR="00545D1B" w:rsidRPr="00742A04">
        <w:t xml:space="preserve">30 </w:t>
      </w:r>
      <w:r w:rsidR="004D313C" w:rsidRPr="00742A04">
        <w:t>años</w:t>
      </w:r>
      <w:r w:rsidR="00545D1B" w:rsidRPr="00742A04">
        <w:t>.</w:t>
      </w:r>
    </w:p>
    <w:p w:rsidR="00545D1B" w:rsidRPr="00742A04" w:rsidRDefault="00DC0DB8" w:rsidP="0085266D">
      <w:pPr>
        <w:pStyle w:val="SingleTxt"/>
        <w:jc w:val="left"/>
        <w:rPr>
          <w:b/>
        </w:rPr>
      </w:pPr>
      <w:r w:rsidRPr="00742A04">
        <w:rPr>
          <w:b/>
        </w:rPr>
        <w:t>Medidas</w:t>
      </w:r>
      <w:r w:rsidR="00545D1B" w:rsidRPr="00742A04">
        <w:rPr>
          <w:b/>
        </w:rPr>
        <w:t xml:space="preserve"> </w:t>
      </w:r>
      <w:r w:rsidR="0085266D" w:rsidRPr="00742A04">
        <w:rPr>
          <w:b/>
        </w:rPr>
        <w:t xml:space="preserve">encaminadas </w:t>
      </w:r>
      <w:r w:rsidR="0030626A" w:rsidRPr="00742A04">
        <w:rPr>
          <w:b/>
        </w:rPr>
        <w:t>a</w:t>
      </w:r>
      <w:r w:rsidR="00545D1B" w:rsidRPr="00742A04">
        <w:rPr>
          <w:b/>
        </w:rPr>
        <w:t xml:space="preserve"> </w:t>
      </w:r>
      <w:r w:rsidR="00C938AE" w:rsidRPr="00742A04">
        <w:rPr>
          <w:b/>
        </w:rPr>
        <w:t>reducir</w:t>
      </w:r>
      <w:r w:rsidR="00545D1B" w:rsidRPr="00742A04">
        <w:rPr>
          <w:b/>
        </w:rPr>
        <w:t xml:space="preserve"> </w:t>
      </w:r>
      <w:r w:rsidR="0085266D" w:rsidRPr="00742A04">
        <w:rPr>
          <w:b/>
        </w:rPr>
        <w:t>las diferencias de</w:t>
      </w:r>
      <w:r w:rsidR="0085266D" w:rsidRPr="00742A04">
        <w:rPr>
          <w:b/>
        </w:rPr>
        <w:br/>
      </w:r>
      <w:r w:rsidR="00310049" w:rsidRPr="00742A04">
        <w:rPr>
          <w:b/>
        </w:rPr>
        <w:t>remuneración</w:t>
      </w:r>
      <w:r w:rsidR="00545D1B" w:rsidRPr="00742A04">
        <w:rPr>
          <w:b/>
        </w:rPr>
        <w:t xml:space="preserve"> </w:t>
      </w:r>
      <w:r w:rsidR="007D66F2" w:rsidRPr="00742A04">
        <w:rPr>
          <w:b/>
        </w:rPr>
        <w:t>entre</w:t>
      </w:r>
      <w:r w:rsidR="00545D1B" w:rsidRPr="00742A04">
        <w:rPr>
          <w:b/>
        </w:rPr>
        <w:t xml:space="preserve"> </w:t>
      </w:r>
      <w:r w:rsidR="00072AD7" w:rsidRPr="00742A04">
        <w:rPr>
          <w:b/>
        </w:rPr>
        <w:t>mujeres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545D1B" w:rsidRPr="00742A04">
        <w:rPr>
          <w:b/>
        </w:rPr>
        <w:t xml:space="preserve"> </w:t>
      </w:r>
      <w:r w:rsidR="00072AD7" w:rsidRPr="00742A04">
        <w:rPr>
          <w:b/>
        </w:rPr>
        <w:t>hombres</w:t>
      </w:r>
    </w:p>
    <w:p w:rsidR="00545D1B" w:rsidRPr="00742A04" w:rsidRDefault="00EA26AB" w:rsidP="00D574C4">
      <w:pPr>
        <w:pStyle w:val="SingleTxt"/>
        <w:ind w:firstLine="475"/>
      </w:pPr>
      <w:r w:rsidRPr="00742A04">
        <w:t>Noruega</w:t>
      </w:r>
      <w:r w:rsidR="00545D1B" w:rsidRPr="00742A04">
        <w:t xml:space="preserve"> </w:t>
      </w:r>
      <w:r w:rsidR="0085266D" w:rsidRPr="00742A04">
        <w:t>tiene una larga</w:t>
      </w:r>
      <w:r w:rsidR="00545D1B" w:rsidRPr="00742A04">
        <w:t xml:space="preserve"> tradi</w:t>
      </w:r>
      <w:r w:rsidR="0085266D" w:rsidRPr="00742A04">
        <w:t>ció</w:t>
      </w:r>
      <w:r w:rsidR="008907B8" w:rsidRPr="00742A04">
        <w:t>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5266D" w:rsidRPr="00742A04">
        <w:t>buena</w:t>
      </w:r>
      <w:r w:rsidR="00545D1B" w:rsidRPr="00742A04">
        <w:t xml:space="preserve"> coopera</w:t>
      </w:r>
      <w:r w:rsidR="00C14BFF" w:rsidRPr="00742A04">
        <w:t xml:space="preserve">ción </w:t>
      </w:r>
      <w:r w:rsidR="007D66F2" w:rsidRPr="00742A04">
        <w:t>entre</w:t>
      </w:r>
      <w:r w:rsidR="00545D1B" w:rsidRPr="00742A04">
        <w:t xml:space="preserve"> </w:t>
      </w:r>
      <w:r w:rsidR="00EC5FA6" w:rsidRPr="00742A04">
        <w:t>las partes soci</w:t>
      </w:r>
      <w:r w:rsidR="00EC5FA6" w:rsidRPr="00742A04">
        <w:t>a</w:t>
      </w:r>
      <w:r w:rsidR="00EC5FA6" w:rsidRPr="00742A04">
        <w:t>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B4DB1" w:rsidRPr="00742A04">
        <w:t>las autoridades</w:t>
      </w:r>
      <w:r w:rsidR="00545D1B" w:rsidRPr="00742A04">
        <w:t xml:space="preserve">, </w:t>
      </w:r>
      <w:r w:rsidR="004F07A7" w:rsidRPr="00742A04">
        <w:t xml:space="preserve">que </w:t>
      </w:r>
      <w:r w:rsidR="0085266D" w:rsidRPr="00742A04">
        <w:t>sirve de base para un</w:t>
      </w:r>
      <w:r w:rsidR="00545D1B" w:rsidRPr="00742A04">
        <w:t xml:space="preserve"> </w:t>
      </w:r>
      <w:r w:rsidR="0085266D" w:rsidRPr="00742A04">
        <w:t xml:space="preserve">mercado de trabajo que </w:t>
      </w:r>
      <w:r w:rsidR="005D2D07" w:rsidRPr="00742A04">
        <w:t>funciona</w:t>
      </w:r>
      <w:r w:rsidR="0085266D" w:rsidRPr="00742A04">
        <w:t xml:space="preserve"> bien</w:t>
      </w:r>
      <w:r w:rsidR="00545D1B" w:rsidRPr="00742A04">
        <w:t xml:space="preserve">. </w:t>
      </w:r>
      <w:r w:rsidR="007D36C8" w:rsidRPr="00742A04">
        <w:t xml:space="preserve">La </w:t>
      </w:r>
      <w:r w:rsidR="0085266D" w:rsidRPr="00742A04">
        <w:t>puesta en práctica</w:t>
      </w:r>
      <w:r w:rsidR="00C14BFF" w:rsidRPr="00742A04">
        <w:t xml:space="preserve"> </w:t>
      </w:r>
      <w:r w:rsidR="00C076F2" w:rsidRPr="00742A04">
        <w:t xml:space="preserve">de los </w:t>
      </w:r>
      <w:r w:rsidR="00024DBC" w:rsidRPr="00742A04">
        <w:t>resultados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306AA" w:rsidRPr="00742A04">
        <w:t>las negociaciones salariales</w:t>
      </w:r>
      <w:r w:rsidR="00545D1B" w:rsidRPr="00742A04">
        <w:t xml:space="preserve"> </w:t>
      </w:r>
      <w:r w:rsidR="0085266D" w:rsidRPr="00742A04">
        <w:t>incumbe a</w:t>
      </w:r>
      <w:r w:rsidR="00C076F2" w:rsidRPr="00742A04">
        <w:t xml:space="preserve"> </w:t>
      </w:r>
      <w:r w:rsidR="00EC5FA6" w:rsidRPr="00742A04">
        <w:t>las partes sociales</w:t>
      </w:r>
      <w:r w:rsidR="00545D1B" w:rsidRPr="00742A04">
        <w:t xml:space="preserve">. </w:t>
      </w:r>
      <w:r w:rsidR="0085266D" w:rsidRPr="00742A04">
        <w:t>Hasta la fecha</w:t>
      </w:r>
      <w:r w:rsidR="00545D1B" w:rsidRPr="00742A04">
        <w:t xml:space="preserve">, </w:t>
      </w:r>
      <w:r w:rsidR="0085266D" w:rsidRPr="00742A04">
        <w:t>ha correspond</w:t>
      </w:r>
      <w:r w:rsidR="006D7D2F" w:rsidRPr="00742A04">
        <w:t>ido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EC5FA6" w:rsidRPr="00742A04">
        <w:t>las partes sociales</w:t>
      </w:r>
      <w:r w:rsidR="00545D1B" w:rsidRPr="00742A04">
        <w:t xml:space="preserve"> </w:t>
      </w:r>
      <w:r w:rsidR="0085266D" w:rsidRPr="00742A04">
        <w:t xml:space="preserve">encontrar </w:t>
      </w:r>
      <w:r w:rsidR="00545D1B" w:rsidRPr="00742A04">
        <w:t>solu</w:t>
      </w:r>
      <w:r w:rsidR="008907B8" w:rsidRPr="00742A04">
        <w:t>cion</w:t>
      </w:r>
      <w:r w:rsidR="0081178E" w:rsidRPr="00742A04">
        <w:t>es que</w:t>
      </w:r>
      <w:r w:rsidR="00545D1B" w:rsidRPr="00742A04">
        <w:t xml:space="preserve"> </w:t>
      </w:r>
      <w:r w:rsidR="00C938AE" w:rsidRPr="00742A04">
        <w:t>redu</w:t>
      </w:r>
      <w:r w:rsidR="0085266D" w:rsidRPr="00742A04">
        <w:t>z</w:t>
      </w:r>
      <w:r w:rsidR="00C938AE" w:rsidRPr="00742A04">
        <w:t>c</w:t>
      </w:r>
      <w:r w:rsidR="0085266D" w:rsidRPr="00742A04">
        <w:t>an las</w:t>
      </w:r>
      <w:r w:rsidR="00545D1B" w:rsidRPr="00742A04">
        <w:t xml:space="preserve"> </w:t>
      </w:r>
      <w:r w:rsidR="00537384" w:rsidRPr="00742A04">
        <w:t>diferencias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31FF2" w:rsidRPr="00742A04">
        <w:t>la remuneración</w:t>
      </w:r>
      <w:r w:rsidR="00545D1B" w:rsidRPr="00742A04">
        <w:t xml:space="preserve">. </w:t>
      </w:r>
      <w:r w:rsidR="00B770A5" w:rsidRPr="00742A04">
        <w:t>La cuestión de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 </w:t>
      </w:r>
      <w:r w:rsidR="00B770A5" w:rsidRPr="00742A04">
        <w:t>se aborda</w:t>
      </w:r>
      <w:r w:rsidR="00545D1B" w:rsidRPr="00742A04">
        <w:t xml:space="preserve"> regular</w:t>
      </w:r>
      <w:r w:rsidR="00B770A5" w:rsidRPr="00742A04">
        <w:t>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B306AA" w:rsidRPr="00742A04">
        <w:t>las negociaciones salariales</w:t>
      </w:r>
      <w:r w:rsidR="00AC5D28" w:rsidRPr="00742A04">
        <w:t xml:space="preserve"> y </w:t>
      </w:r>
      <w:r w:rsidR="00B770A5" w:rsidRPr="00742A04">
        <w:t>se incluye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770A5" w:rsidRPr="00742A04">
        <w:t>los</w:t>
      </w:r>
      <w:r w:rsidR="00545D1B" w:rsidRPr="00742A04">
        <w:t xml:space="preserve"> </w:t>
      </w:r>
      <w:r w:rsidR="002E41F3" w:rsidRPr="00742A04">
        <w:t>informes</w:t>
      </w:r>
      <w:r w:rsidR="00545D1B" w:rsidRPr="00742A04">
        <w:t xml:space="preserve"> </w:t>
      </w:r>
      <w:r w:rsidR="00B770A5" w:rsidRPr="00742A04">
        <w:t xml:space="preserve">anuales </w:t>
      </w:r>
      <w:r w:rsidR="004A0730" w:rsidRPr="00742A04">
        <w:t>de</w:t>
      </w:r>
      <w:r w:rsidR="00B770A5" w:rsidRPr="00742A04">
        <w:t>l</w:t>
      </w:r>
      <w:r w:rsidR="00545D1B" w:rsidRPr="00742A04">
        <w:t xml:space="preserve"> </w:t>
      </w:r>
      <w:r w:rsidR="00B770A5" w:rsidRPr="00742A04">
        <w:t>Comité Técnico de Estudios sobre los Acuerdos en materia de Ingresos</w:t>
      </w:r>
      <w:r w:rsidR="00545D1B" w:rsidRPr="00742A04">
        <w:t xml:space="preserve"> </w:t>
      </w:r>
      <w:r w:rsidR="00356229" w:rsidRPr="00742A04">
        <w:t>sobre la base</w:t>
      </w:r>
      <w:r w:rsidR="00545D1B" w:rsidRPr="00742A04">
        <w:t xml:space="preserve"> </w:t>
      </w:r>
      <w:r w:rsidR="004A0730" w:rsidRPr="00742A04">
        <w:t>de</w:t>
      </w:r>
      <w:r w:rsidR="00B770A5" w:rsidRPr="00742A04">
        <w:t xml:space="preserve"> los</w:t>
      </w:r>
      <w:r w:rsidR="00545D1B" w:rsidRPr="00742A04">
        <w:t xml:space="preserve"> </w:t>
      </w:r>
      <w:r w:rsidR="00B770A5" w:rsidRPr="00742A04">
        <w:t xml:space="preserve">datos correspondientes a </w:t>
      </w:r>
      <w:r w:rsidR="006F4432" w:rsidRPr="00742A04">
        <w:t xml:space="preserve">la remuneración </w:t>
      </w:r>
      <w:r w:rsidR="00B770A5" w:rsidRPr="00742A04">
        <w:t xml:space="preserve">anual o </w:t>
      </w:r>
      <w:r w:rsidR="006F4432" w:rsidRPr="00742A04">
        <w:t>mensual</w:t>
      </w:r>
      <w:r w:rsidR="00545D1B" w:rsidRPr="00742A04">
        <w:t xml:space="preserve">. </w:t>
      </w:r>
      <w:r w:rsidR="00B770A5" w:rsidRPr="00742A04">
        <w:t>Si bien</w:t>
      </w:r>
      <w:r w:rsidR="00545D1B" w:rsidRPr="00742A04">
        <w:t xml:space="preserve"> </w:t>
      </w:r>
      <w:r w:rsidR="00EC5FA6" w:rsidRPr="00742A04">
        <w:t>las partes sociales</w:t>
      </w:r>
      <w:r w:rsidR="00545D1B" w:rsidRPr="00742A04">
        <w:t xml:space="preserve"> </w:t>
      </w:r>
      <w:r w:rsidR="00B770A5" w:rsidRPr="00742A04">
        <w:t>tienen</w:t>
      </w:r>
      <w:r w:rsidR="00545D1B" w:rsidRPr="00742A04">
        <w:t xml:space="preserve"> </w:t>
      </w:r>
      <w:r w:rsidR="000B41AF" w:rsidRPr="00742A04">
        <w:t xml:space="preserve">la </w:t>
      </w:r>
      <w:r w:rsidR="008E5EBF" w:rsidRPr="00742A04">
        <w:t>respo</w:t>
      </w:r>
      <w:r w:rsidR="008E5EBF" w:rsidRPr="00742A04">
        <w:t>n</w:t>
      </w:r>
      <w:r w:rsidR="008E5EBF" w:rsidRPr="00742A04">
        <w:t>sabilidad</w:t>
      </w:r>
      <w:r w:rsidR="00545D1B" w:rsidRPr="00742A04">
        <w:t xml:space="preserve"> </w:t>
      </w:r>
      <w:r w:rsidR="00B770A5" w:rsidRPr="00742A04">
        <w:t>principal en materia de</w:t>
      </w:r>
      <w:r w:rsidR="00B306AA" w:rsidRPr="00742A04">
        <w:t xml:space="preserve"> negociaciones salariales</w:t>
      </w:r>
      <w:r w:rsidR="00545D1B" w:rsidRPr="00742A04">
        <w:t xml:space="preserve">, </w:t>
      </w:r>
      <w:r w:rsidR="00B770A5" w:rsidRPr="00742A04">
        <w:t>es</w:t>
      </w:r>
      <w:r w:rsidR="00545D1B" w:rsidRPr="00742A04">
        <w:t xml:space="preserve"> </w:t>
      </w:r>
      <w:r w:rsidR="00F43124" w:rsidRPr="00742A04">
        <w:t>neces</w:t>
      </w:r>
      <w:r w:rsidR="00B770A5" w:rsidRPr="00742A04">
        <w:t>ario</w:t>
      </w:r>
      <w:r w:rsidR="00545D1B" w:rsidRPr="00742A04">
        <w:t xml:space="preserve"> consider</w:t>
      </w:r>
      <w:r w:rsidR="00B770A5" w:rsidRPr="00742A04">
        <w:t>ar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evalua</w:t>
      </w:r>
      <w:r w:rsidR="00B770A5" w:rsidRPr="00742A04">
        <w:t>r</w:t>
      </w:r>
      <w:r w:rsidR="00545D1B" w:rsidRPr="00742A04">
        <w:t xml:space="preserve"> </w:t>
      </w:r>
      <w:r w:rsidR="00C076F2" w:rsidRPr="00742A04">
        <w:t>otras m</w:t>
      </w:r>
      <w:r w:rsidR="00C076F2" w:rsidRPr="00742A04">
        <w:t>e</w:t>
      </w:r>
      <w:r w:rsidR="00C076F2" w:rsidRPr="00742A04">
        <w:t>didas</w:t>
      </w:r>
      <w:r w:rsidR="00545D1B" w:rsidRPr="00742A04">
        <w:t>.</w:t>
      </w:r>
    </w:p>
    <w:p w:rsidR="000A08D8" w:rsidRPr="00742A04" w:rsidRDefault="00831F07" w:rsidP="00D574C4">
      <w:pPr>
        <w:pStyle w:val="SingleTxt"/>
        <w:ind w:firstLine="475"/>
      </w:pPr>
      <w:r w:rsidRPr="00742A04">
        <w:t xml:space="preserve">El artículo </w:t>
      </w:r>
      <w:r w:rsidR="00545D1B" w:rsidRPr="00742A04">
        <w:t xml:space="preserve">5 </w:t>
      </w:r>
      <w:r w:rsidR="00F43124" w:rsidRPr="00742A04">
        <w:t xml:space="preserve">de la </w:t>
      </w:r>
      <w:r w:rsidR="00A05847" w:rsidRPr="00742A04">
        <w:t xml:space="preserve">Ley sobre la </w:t>
      </w:r>
      <w:r w:rsidR="00B31AE8" w:rsidRPr="00742A04">
        <w:t>Igualdad de Género</w:t>
      </w:r>
      <w:r w:rsidR="00545D1B" w:rsidRPr="00742A04">
        <w:t xml:space="preserve"> </w:t>
      </w:r>
      <w:r w:rsidR="008B638E" w:rsidRPr="00742A04">
        <w:t>exige que</w:t>
      </w:r>
      <w:r w:rsidR="00545D1B" w:rsidRPr="00742A04">
        <w:t xml:space="preserve"> </w:t>
      </w:r>
      <w:r w:rsidR="00AD0883" w:rsidRPr="00742A04">
        <w:t>los empleadores</w:t>
      </w:r>
      <w:r w:rsidR="00545D1B" w:rsidRPr="00742A04">
        <w:t xml:space="preserve"> </w:t>
      </w:r>
      <w:r w:rsidR="008B638E" w:rsidRPr="00742A04">
        <w:t>paguen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B638E" w:rsidRPr="00742A04">
        <w:t xml:space="preserve">a los </w:t>
      </w:r>
      <w:r w:rsidR="00072AD7" w:rsidRPr="00742A04">
        <w:t>hombres</w:t>
      </w:r>
      <w:r w:rsidR="00545D1B" w:rsidRPr="00742A04">
        <w:t xml:space="preserve"> </w:t>
      </w:r>
      <w:r w:rsidR="003C25BF" w:rsidRPr="00742A04">
        <w:t>la misma</w:t>
      </w:r>
      <w:r w:rsidR="00545D1B" w:rsidRPr="00742A04">
        <w:t xml:space="preserve"> </w:t>
      </w:r>
      <w:r w:rsidR="00A31FF2" w:rsidRPr="00742A04">
        <w:t>remuneración</w:t>
      </w:r>
      <w:r w:rsidR="00545D1B" w:rsidRPr="00742A04">
        <w:t xml:space="preserve"> </w:t>
      </w:r>
      <w:r w:rsidR="00877086" w:rsidRPr="00742A04">
        <w:t>independientemente</w:t>
      </w:r>
      <w:r w:rsidR="00545D1B" w:rsidRPr="00742A04">
        <w:t xml:space="preserve"> </w:t>
      </w:r>
      <w:r w:rsidR="004A0730" w:rsidRPr="00742A04">
        <w:t>de</w:t>
      </w:r>
      <w:r w:rsidR="008B638E" w:rsidRPr="00742A04">
        <w:t>l</w:t>
      </w:r>
      <w:r w:rsidR="00545D1B" w:rsidRPr="00742A04">
        <w:t xml:space="preserve"> </w:t>
      </w:r>
      <w:r w:rsidR="00A836A1" w:rsidRPr="00742A04">
        <w:t>género</w:t>
      </w:r>
      <w:r w:rsidR="00545D1B" w:rsidRPr="00742A04">
        <w:t xml:space="preserve">. </w:t>
      </w:r>
      <w:r w:rsidR="00894371" w:rsidRPr="00742A04">
        <w:t>El derecho a la igualdad de remuneración para un trabajo igual o un tr</w:t>
      </w:r>
      <w:r w:rsidR="00894371" w:rsidRPr="00742A04">
        <w:t>a</w:t>
      </w:r>
      <w:r w:rsidR="00894371" w:rsidRPr="00742A04">
        <w:t>bajo de igual valor se aplica a todas las empresas, pero independientemente de si el trabajo se realiza en distintas esferas ocupacionales o de si la remuneración está r</w:t>
      </w:r>
      <w:r w:rsidR="00894371" w:rsidRPr="00742A04">
        <w:t>e</w:t>
      </w:r>
      <w:r w:rsidR="00894371">
        <w:t>gulada</w:t>
      </w:r>
      <w:r w:rsidR="00894371" w:rsidRPr="00742A04">
        <w:t xml:space="preserve"> por distintos convenios colectivos.</w:t>
      </w:r>
    </w:p>
    <w:p w:rsidR="00545D1B" w:rsidRPr="00742A04" w:rsidRDefault="00D62786" w:rsidP="00D574C4">
      <w:pPr>
        <w:pStyle w:val="SingleTxt"/>
        <w:ind w:firstLine="475"/>
      </w:pPr>
      <w:r w:rsidRPr="00742A04">
        <w:t>La plataforma política del Gobierno</w:t>
      </w:r>
      <w:r w:rsidR="00545D1B" w:rsidRPr="00742A04">
        <w:t xml:space="preserve"> </w:t>
      </w:r>
      <w:r w:rsidR="008B638E" w:rsidRPr="00742A04">
        <w:t>dispone</w:t>
      </w:r>
      <w:r w:rsidR="0081178E" w:rsidRPr="00742A04">
        <w:t xml:space="preserve"> que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F3238" w:rsidRPr="00742A04">
        <w:t>la primavera de</w:t>
      </w:r>
      <w:r w:rsidR="00545D1B" w:rsidRPr="00742A04">
        <w:t xml:space="preserve"> 2006 </w:t>
      </w:r>
      <w:r w:rsidR="008B638E" w:rsidRPr="00742A04">
        <w:t>se establecerá</w:t>
      </w:r>
      <w:r w:rsidR="00545D1B" w:rsidRPr="00742A04">
        <w:t xml:space="preserve"> </w:t>
      </w:r>
      <w:r w:rsidR="008B638E" w:rsidRPr="00742A04">
        <w:t>una Comisión de Igualdad de Remuneración como</w:t>
      </w:r>
      <w:r w:rsidR="00545D1B" w:rsidRPr="00742A04">
        <w:t xml:space="preserve"> </w:t>
      </w:r>
      <w:r w:rsidR="00FF24A3" w:rsidRPr="00742A04">
        <w:t>elemento</w:t>
      </w:r>
      <w:r w:rsidR="00FD7D4E" w:rsidRPr="00742A04">
        <w:t xml:space="preserve"> de</w:t>
      </w:r>
      <w:r w:rsidR="008B638E" w:rsidRPr="00742A04">
        <w:t xml:space="preserve"> una</w:t>
      </w:r>
      <w:r w:rsidR="00FD7D4E" w:rsidRPr="00742A04">
        <w:t xml:space="preserve"> </w:t>
      </w:r>
      <w:r w:rsidR="008B638E" w:rsidRPr="00742A04">
        <w:t>pol</w:t>
      </w:r>
      <w:r w:rsidR="008B638E" w:rsidRPr="00742A04">
        <w:t>í</w:t>
      </w:r>
      <w:r w:rsidR="008B638E" w:rsidRPr="00742A04">
        <w:t xml:space="preserve">tica de </w:t>
      </w:r>
      <w:r w:rsidR="00056903" w:rsidRPr="00742A04">
        <w:t>mercado de trabajo</w:t>
      </w:r>
      <w:r w:rsidR="00545D1B" w:rsidRPr="00742A04">
        <w:t xml:space="preserve"> </w:t>
      </w:r>
      <w:r w:rsidR="008B638E" w:rsidRPr="00742A04">
        <w:t>que comprenda el hincapié</w:t>
      </w:r>
      <w:r w:rsidR="00545D1B" w:rsidRPr="00742A04">
        <w:t xml:space="preserve"> </w:t>
      </w:r>
      <w:r w:rsidR="0077058E" w:rsidRPr="00742A04">
        <w:t>en la igualdad</w:t>
      </w:r>
      <w:r w:rsidR="00A05847" w:rsidRPr="00742A04">
        <w:t xml:space="preserve"> de género</w:t>
      </w:r>
      <w:r w:rsidR="00545D1B" w:rsidRPr="00742A04">
        <w:t xml:space="preserve">, </w:t>
      </w:r>
      <w:r w:rsidR="008B638E" w:rsidRPr="00742A04">
        <w:t xml:space="preserve">la </w:t>
      </w:r>
      <w:r w:rsidR="002E5047" w:rsidRPr="00742A04">
        <w:t>igualdad de remuneración</w:t>
      </w:r>
      <w:r w:rsidR="00545D1B" w:rsidRPr="00742A04">
        <w:t xml:space="preserve">, </w:t>
      </w:r>
      <w:r w:rsidR="008B638E" w:rsidRPr="00742A04">
        <w:t xml:space="preserve">la </w:t>
      </w:r>
      <w:r w:rsidR="00A05847" w:rsidRPr="00742A04">
        <w:t>igualdad de oportunidades</w:t>
      </w:r>
      <w:r w:rsidR="00545D1B" w:rsidRPr="00742A04">
        <w:t xml:space="preserve"> </w:t>
      </w:r>
      <w:r w:rsidR="008B638E" w:rsidRPr="00742A04">
        <w:t>de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213CF" w:rsidRPr="00742A04">
        <w:t>el acceso</w:t>
      </w:r>
      <w:r w:rsidR="00E575DB" w:rsidRPr="00742A04">
        <w:t xml:space="preserve"> a </w:t>
      </w:r>
      <w:r w:rsidR="00C076F2" w:rsidRPr="00742A04">
        <w:t xml:space="preserve">los </w:t>
      </w:r>
      <w:r w:rsidR="008B638E" w:rsidRPr="00742A04">
        <w:t>progr</w:t>
      </w:r>
      <w:r w:rsidR="008B638E" w:rsidRPr="00742A04">
        <w:t>a</w:t>
      </w:r>
      <w:r w:rsidR="008B638E" w:rsidRPr="00742A04">
        <w:t xml:space="preserve">mas de desarrollo de los </w:t>
      </w:r>
      <w:r w:rsidR="00C07ED9" w:rsidRPr="00742A04">
        <w:t>recursos humanos</w:t>
      </w:r>
      <w:r w:rsidR="00545D1B" w:rsidRPr="00742A04">
        <w:t>.</w:t>
      </w:r>
    </w:p>
    <w:p w:rsidR="000A08D8" w:rsidRPr="00742A04" w:rsidRDefault="008B638E" w:rsidP="00D574C4">
      <w:pPr>
        <w:pStyle w:val="SingleTxt"/>
        <w:ind w:firstLine="475"/>
      </w:pPr>
      <w:r w:rsidRPr="00742A04">
        <w:t>La Comisión de Igualdad de Remuneración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Pr="00742A04">
        <w:t>estará integrada por</w:t>
      </w:r>
      <w:r w:rsidR="00545D1B" w:rsidRPr="00742A04">
        <w:t xml:space="preserve"> </w:t>
      </w:r>
      <w:r w:rsidR="008176B2" w:rsidRPr="00742A04">
        <w:t>expertos</w:t>
      </w:r>
      <w:r w:rsidR="00545D1B" w:rsidRPr="00742A04">
        <w:t xml:space="preserve">, </w:t>
      </w:r>
      <w:r w:rsidR="005532F5" w:rsidRPr="00742A04">
        <w:t>brinda</w:t>
      </w:r>
      <w:r w:rsidRPr="00742A04">
        <w:t>rá</w:t>
      </w:r>
      <w:r w:rsidR="005532F5" w:rsidRPr="00742A04">
        <w:t xml:space="preserve"> información</w:t>
      </w:r>
      <w:r w:rsidR="00C14BFF" w:rsidRPr="00742A04">
        <w:t xml:space="preserve"> </w:t>
      </w:r>
      <w:r w:rsidRPr="00742A04">
        <w:t>sobre</w:t>
      </w:r>
      <w:r w:rsidR="00545D1B" w:rsidRPr="00742A04">
        <w:t xml:space="preserve"> </w:t>
      </w:r>
      <w:r w:rsidR="00310049" w:rsidRPr="00742A04">
        <w:t>las diferencias de remuneración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</w:t>
      </w:r>
      <w:r w:rsidR="00072AD7" w:rsidRPr="00742A04">
        <w:t>m</w:t>
      </w:r>
      <w:r w:rsidR="00072AD7" w:rsidRPr="00742A04">
        <w:t>bres</w:t>
      </w:r>
      <w:r w:rsidR="00545D1B" w:rsidRPr="00742A04">
        <w:t xml:space="preserve">, </w:t>
      </w:r>
      <w:r w:rsidRPr="00742A04">
        <w:t>detectará las</w:t>
      </w:r>
      <w:r w:rsidR="00545D1B" w:rsidRPr="00742A04">
        <w:t xml:space="preserve"> </w:t>
      </w:r>
      <w:r w:rsidR="00A8633B" w:rsidRPr="00742A04">
        <w:t>esferas</w:t>
      </w:r>
      <w:r w:rsidR="00545D1B" w:rsidRPr="00742A04">
        <w:t xml:space="preserve"> </w:t>
      </w:r>
      <w:r w:rsidR="00056EF1" w:rsidRPr="00742A04">
        <w:t>en que</w:t>
      </w:r>
      <w:r w:rsidR="00545D1B" w:rsidRPr="00742A04">
        <w:t xml:space="preserve"> </w:t>
      </w:r>
      <w:r w:rsidRPr="00742A04">
        <w:t xml:space="preserve">se carece de </w:t>
      </w:r>
      <w:r w:rsidR="00545D1B" w:rsidRPr="00742A04">
        <w:t>informa</w:t>
      </w:r>
      <w:r w:rsidR="00C14BFF" w:rsidRPr="00742A04">
        <w:t>ción</w:t>
      </w:r>
      <w:r w:rsidR="00545D1B" w:rsidRPr="00742A04">
        <w:t xml:space="preserve">, </w:t>
      </w:r>
      <w:r w:rsidRPr="00742A04">
        <w:t>examinará las</w:t>
      </w:r>
      <w:r w:rsidR="00545D1B" w:rsidRPr="00742A04">
        <w:t xml:space="preserve"> </w:t>
      </w:r>
      <w:r w:rsidR="007E43BF" w:rsidRPr="00742A04">
        <w:t>causas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10049" w:rsidRPr="00742A04">
        <w:t>las diferencias de remuneración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consider</w:t>
      </w:r>
      <w:r w:rsidRPr="00742A04">
        <w:t>ará</w:t>
      </w:r>
      <w:r w:rsidR="00545D1B" w:rsidRPr="00742A04">
        <w:t xml:space="preserve"> </w:t>
      </w:r>
      <w:r w:rsidR="007F4E4D">
        <w:t xml:space="preserve">las </w:t>
      </w:r>
      <w:r w:rsidR="00DC0DB8" w:rsidRPr="00742A04">
        <w:t>medidas</w:t>
      </w:r>
      <w:r w:rsidR="00545D1B" w:rsidRPr="00742A04">
        <w:t xml:space="preserve"> </w:t>
      </w:r>
      <w:r w:rsidRPr="00742A04">
        <w:t>que puedan</w:t>
      </w:r>
      <w:r w:rsidR="00545D1B" w:rsidRPr="00742A04">
        <w:t xml:space="preserve"> </w:t>
      </w:r>
      <w:r w:rsidR="00CE7870" w:rsidRPr="00742A04">
        <w:t>contribuir a</w:t>
      </w:r>
      <w:r w:rsidR="00545D1B" w:rsidRPr="00742A04">
        <w:t xml:space="preserve"> er</w:t>
      </w:r>
      <w:r w:rsidRPr="00742A04">
        <w:t>r</w:t>
      </w:r>
      <w:r w:rsidR="00545D1B" w:rsidRPr="00742A04">
        <w:t>adica</w:t>
      </w:r>
      <w:r w:rsidRPr="00742A04">
        <w:t>r</w:t>
      </w:r>
      <w:r w:rsidR="00545D1B" w:rsidRPr="00742A04">
        <w:t xml:space="preserve"> </w:t>
      </w:r>
      <w:r w:rsidR="00310049" w:rsidRPr="00742A04">
        <w:t>las diferencias de remuneración</w:t>
      </w:r>
      <w:r w:rsidR="00545D1B" w:rsidRPr="00742A04">
        <w:t xml:space="preserve">. </w:t>
      </w:r>
      <w:r w:rsidR="00261954" w:rsidRPr="00742A04">
        <w:t>La Comisión</w:t>
      </w:r>
      <w:r w:rsidR="005E6919" w:rsidRPr="00742A04">
        <w:t xml:space="preserve"> </w:t>
      </w:r>
      <w:r w:rsidR="0030626A" w:rsidRPr="00742A04">
        <w:t>también</w:t>
      </w:r>
      <w:r w:rsidR="00545D1B" w:rsidRPr="00742A04">
        <w:t xml:space="preserve"> consider</w:t>
      </w:r>
      <w:r w:rsidRPr="00742A04">
        <w:t>ará</w:t>
      </w:r>
      <w:r w:rsidR="00545D1B" w:rsidRPr="00742A04">
        <w:t xml:space="preserve"> </w:t>
      </w:r>
      <w:r w:rsidRPr="00742A04">
        <w:t>la cue</w:t>
      </w:r>
      <w:r w:rsidRPr="00742A04">
        <w:t>s</w:t>
      </w:r>
      <w:r w:rsidRPr="00742A04">
        <w:t xml:space="preserve">tión del trabajo a tiempo completo o </w:t>
      </w:r>
      <w:r w:rsidR="001633F4" w:rsidRPr="00742A04">
        <w:t>a tiempo parcial</w:t>
      </w:r>
      <w:r w:rsidR="00545D1B" w:rsidRPr="00742A04">
        <w:t xml:space="preserve"> </w:t>
      </w:r>
      <w:r w:rsidRPr="00742A04">
        <w:t>como un</w:t>
      </w:r>
      <w:r w:rsidR="00545D1B" w:rsidRPr="00742A04">
        <w:t>a dimens</w:t>
      </w:r>
      <w:r w:rsidR="005E6919" w:rsidRPr="00742A04">
        <w:t xml:space="preserve">ión </w:t>
      </w:r>
      <w:r w:rsidRPr="00742A04">
        <w:t>de la</w:t>
      </w:r>
      <w:r w:rsidR="00545D1B" w:rsidRPr="00742A04">
        <w:t xml:space="preserve"> </w:t>
      </w:r>
      <w:r w:rsidR="00EC711A" w:rsidRPr="00742A04">
        <w:t>de</w:t>
      </w:r>
      <w:r w:rsidR="00EC711A" w:rsidRPr="00742A04">
        <w:t>s</w:t>
      </w:r>
      <w:r w:rsidR="00EC711A" w:rsidRPr="00742A04">
        <w:t>igual</w:t>
      </w:r>
      <w:r w:rsidR="002E5047" w:rsidRPr="00742A04">
        <w:t>dad de remuneración</w:t>
      </w:r>
      <w:r w:rsidR="00545D1B" w:rsidRPr="00742A04">
        <w:t xml:space="preserve">. </w:t>
      </w:r>
      <w:r w:rsidRPr="00742A04">
        <w:t>La Comisión de Igualdad de Remuneración</w:t>
      </w:r>
      <w:r w:rsidR="005E6919" w:rsidRPr="00742A04">
        <w:t xml:space="preserve"> </w:t>
      </w:r>
      <w:r w:rsidR="00545D1B" w:rsidRPr="00742A04">
        <w:t>bas</w:t>
      </w:r>
      <w:r w:rsidR="0038744B" w:rsidRPr="00742A04">
        <w:t>ará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116976" w:rsidRPr="00742A04">
        <w:t>trabajo</w:t>
      </w:r>
      <w:r w:rsidR="00545D1B" w:rsidRPr="00742A04">
        <w:t xml:space="preserve"> </w:t>
      </w:r>
      <w:r w:rsidR="00445441" w:rsidRPr="00742A04">
        <w:t>en la meta de política de</w:t>
      </w:r>
      <w:r w:rsidR="00545D1B" w:rsidRPr="00742A04">
        <w:t xml:space="preserve"> </w:t>
      </w:r>
      <w:r w:rsidR="00A05847" w:rsidRPr="00742A04">
        <w:t xml:space="preserve">igualdad de </w:t>
      </w:r>
      <w:r w:rsidR="00495D7B" w:rsidRPr="00742A04">
        <w:t>género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8633B" w:rsidRPr="00742A04">
        <w:t>asegurar que</w:t>
      </w:r>
      <w:r w:rsidR="00545D1B" w:rsidRPr="00742A04">
        <w:t xml:space="preserve"> </w:t>
      </w:r>
      <w:r w:rsidR="00445441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445441" w:rsidRPr="00742A04">
        <w:t xml:space="preserve">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445441" w:rsidRPr="00742A04">
        <w:t>reciban</w:t>
      </w:r>
      <w:r w:rsidR="00545D1B" w:rsidRPr="00742A04">
        <w:t xml:space="preserve"> </w:t>
      </w:r>
      <w:r w:rsidR="003C25BF" w:rsidRPr="00742A04">
        <w:t>la misma</w:t>
      </w:r>
      <w:r w:rsidR="00545D1B" w:rsidRPr="00742A04">
        <w:t xml:space="preserve"> </w:t>
      </w:r>
      <w:r w:rsidR="00445441" w:rsidRPr="00742A04">
        <w:t xml:space="preserve">remuneración </w:t>
      </w:r>
      <w:r w:rsidR="00877086" w:rsidRPr="00742A04">
        <w:t>i</w:t>
      </w:r>
      <w:r w:rsidR="00877086" w:rsidRPr="00742A04">
        <w:t>n</w:t>
      </w:r>
      <w:r w:rsidR="00877086" w:rsidRPr="00742A04">
        <w:t>dependientemente</w:t>
      </w:r>
      <w:r w:rsidR="00545D1B" w:rsidRPr="00742A04">
        <w:t xml:space="preserve"> </w:t>
      </w:r>
      <w:r w:rsidR="004A0730" w:rsidRPr="00742A04">
        <w:t>de</w:t>
      </w:r>
      <w:r w:rsidR="00445441" w:rsidRPr="00742A04">
        <w:t>l</w:t>
      </w:r>
      <w:r w:rsidR="00545D1B" w:rsidRPr="00742A04">
        <w:t xml:space="preserve"> </w:t>
      </w:r>
      <w:r w:rsidR="00A836A1" w:rsidRPr="00742A04">
        <w:t>género</w:t>
      </w:r>
      <w:r w:rsidR="000A08D8" w:rsidRPr="00742A04">
        <w:t>.</w:t>
      </w:r>
    </w:p>
    <w:p w:rsidR="00545D1B" w:rsidRPr="00742A04" w:rsidRDefault="008F0C8E" w:rsidP="00D574C4">
      <w:pPr>
        <w:pStyle w:val="SingleTxt"/>
        <w:ind w:firstLine="475"/>
      </w:pPr>
      <w:r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445441" w:rsidRPr="00742A04">
        <w:t xml:space="preserve">ha </w:t>
      </w:r>
      <w:r w:rsidR="00545D1B" w:rsidRPr="00742A04">
        <w:t>financ</w:t>
      </w:r>
      <w:r w:rsidR="00445441" w:rsidRPr="00742A04">
        <w:t>iado un</w:t>
      </w:r>
      <w:r w:rsidR="00545D1B" w:rsidRPr="00742A04">
        <w:t xml:space="preserve"> </w:t>
      </w:r>
      <w:r w:rsidR="0058540F" w:rsidRPr="00742A04">
        <w:t>proyecto trienal</w:t>
      </w:r>
      <w:r w:rsidR="00545D1B" w:rsidRPr="00742A04">
        <w:t xml:space="preserve">, </w:t>
      </w:r>
      <w:r w:rsidR="00445441" w:rsidRPr="00742A04">
        <w:t>que ya se ha</w:t>
      </w:r>
      <w:r w:rsidR="00545D1B" w:rsidRPr="00742A04">
        <w:t xml:space="preserve"> complet</w:t>
      </w:r>
      <w:r w:rsidR="00445441" w:rsidRPr="00742A04">
        <w:t>ado</w:t>
      </w:r>
      <w:r w:rsidR="00545D1B" w:rsidRPr="00742A04">
        <w:t xml:space="preserve">, </w:t>
      </w:r>
      <w:r w:rsidR="00445441" w:rsidRPr="00742A04">
        <w:t xml:space="preserve">encaminado </w:t>
      </w:r>
      <w:r w:rsidR="0030626A" w:rsidRPr="00742A04">
        <w:t>a</w:t>
      </w:r>
      <w:r w:rsidR="00445441" w:rsidRPr="00742A04">
        <w:t xml:space="preserve"> investigar la</w:t>
      </w:r>
      <w:r w:rsidR="00545D1B" w:rsidRPr="00742A04">
        <w:t xml:space="preserve"> </w:t>
      </w:r>
      <w:r w:rsidR="00445441" w:rsidRPr="00742A04">
        <w:t>evaluación de puestos</w:t>
      </w:r>
      <w:r w:rsidR="00545D1B" w:rsidRPr="00742A04">
        <w:t xml:space="preserve"> </w:t>
      </w:r>
      <w:r w:rsidR="00445441" w:rsidRPr="00742A04">
        <w:t>como</w:t>
      </w:r>
      <w:r w:rsidR="006C1297" w:rsidRPr="00742A04">
        <w:t xml:space="preserve"> medio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E6919" w:rsidRPr="00742A04">
        <w:t>lograr</w:t>
      </w:r>
      <w:r w:rsidR="00545D1B" w:rsidRPr="00742A04">
        <w:t xml:space="preserve"> </w:t>
      </w:r>
      <w:r w:rsidR="00445441" w:rsidRPr="00742A04">
        <w:t xml:space="preserve">la </w:t>
      </w:r>
      <w:r w:rsidR="002E5047" w:rsidRPr="00742A04">
        <w:t>igualdad de remuneración</w:t>
      </w:r>
      <w:r w:rsidR="00545D1B" w:rsidRPr="00742A04">
        <w:t xml:space="preserve">. </w:t>
      </w:r>
      <w:r w:rsidR="00894371" w:rsidRPr="00742A04">
        <w:t>La finalidad era llevar a cabo un proyecto piloto que comprendiera una evaluación de puestos en el lugar de trabajo para averiguar si podría funcionar como instrumento para lograr la igualdad de r</w:t>
      </w:r>
      <w:r w:rsidR="00894371" w:rsidRPr="00742A04">
        <w:t>e</w:t>
      </w:r>
      <w:r w:rsidR="00894371" w:rsidRPr="00742A04">
        <w:t xml:space="preserve">muneración. </w:t>
      </w:r>
      <w:r w:rsidR="002213CF" w:rsidRPr="00742A04">
        <w:t>El proyecto</w:t>
      </w:r>
      <w:r w:rsidR="00545D1B" w:rsidRPr="00742A04">
        <w:t xml:space="preserve"> </w:t>
      </w:r>
      <w:r w:rsidR="00445441" w:rsidRPr="00742A04">
        <w:t>fue ejecutado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445441" w:rsidRPr="00742A04">
        <w:t>la empresa</w:t>
      </w:r>
      <w:r w:rsidR="00545D1B" w:rsidRPr="00742A04">
        <w:t xml:space="preserve"> consult</w:t>
      </w:r>
      <w:r w:rsidR="00445441" w:rsidRPr="00742A04">
        <w:t>ora</w:t>
      </w:r>
      <w:r w:rsidR="00545D1B" w:rsidRPr="00742A04">
        <w:t xml:space="preserve"> Hartmark Consu</w:t>
      </w:r>
      <w:r w:rsidR="00545D1B" w:rsidRPr="00742A04">
        <w:t>l</w:t>
      </w:r>
      <w:r w:rsidR="00545D1B" w:rsidRPr="00742A04">
        <w:t xml:space="preserve">ting, </w:t>
      </w:r>
      <w:r w:rsidR="00E575DB" w:rsidRPr="00742A04">
        <w:t>que</w:t>
      </w:r>
      <w:r w:rsidR="00545D1B" w:rsidRPr="00742A04">
        <w:t xml:space="preserve"> </w:t>
      </w:r>
      <w:r w:rsidR="00445441" w:rsidRPr="00742A04">
        <w:t>elaboró un instrumento denominado</w:t>
      </w:r>
      <w:r w:rsidR="00545D1B" w:rsidRPr="00742A04">
        <w:t xml:space="preserve"> FAKIS </w:t>
      </w:r>
      <w:r w:rsidR="00445441" w:rsidRPr="00742A04">
        <w:t>para</w:t>
      </w:r>
      <w:r w:rsidR="00545D1B" w:rsidRPr="00742A04">
        <w:t xml:space="preserve"> </w:t>
      </w:r>
      <w:r w:rsidR="00DC0DB8" w:rsidRPr="00742A04">
        <w:t>medi</w:t>
      </w:r>
      <w:r w:rsidR="00445441" w:rsidRPr="00742A04">
        <w:t>r</w:t>
      </w:r>
      <w:r w:rsidR="00545D1B" w:rsidRPr="00742A04">
        <w:t xml:space="preserve"> </w:t>
      </w:r>
      <w:r w:rsidR="00445441" w:rsidRPr="00742A04">
        <w:t>el valor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45441" w:rsidRPr="00742A04">
        <w:t xml:space="preserve">el </w:t>
      </w:r>
      <w:r w:rsidR="00545D1B" w:rsidRPr="00742A04">
        <w:t>cont</w:t>
      </w:r>
      <w:r w:rsidR="00545D1B" w:rsidRPr="00742A04">
        <w:t>e</w:t>
      </w:r>
      <w:r w:rsidR="00545D1B" w:rsidRPr="00742A04">
        <w:t>n</w:t>
      </w:r>
      <w:r w:rsidR="00445441" w:rsidRPr="00742A04">
        <w:t>ido de un puesto de manera</w:t>
      </w:r>
      <w:r w:rsidR="00545D1B" w:rsidRPr="00742A04">
        <w:t xml:space="preserve"> neutral </w:t>
      </w:r>
      <w:r w:rsidR="00445441" w:rsidRPr="00742A04">
        <w:t>desde el punto de vista del género</w:t>
      </w:r>
      <w:r w:rsidR="00545D1B" w:rsidRPr="00742A04">
        <w:t>. ECON An</w:t>
      </w:r>
      <w:r w:rsidR="00545D1B" w:rsidRPr="00742A04">
        <w:t>a</w:t>
      </w:r>
      <w:r w:rsidR="00545D1B" w:rsidRPr="00742A04">
        <w:t>lyse evalu</w:t>
      </w:r>
      <w:r w:rsidR="00445441" w:rsidRPr="00742A04">
        <w:t>ó</w:t>
      </w:r>
      <w:r w:rsidR="00545D1B" w:rsidRPr="00742A04">
        <w:t xml:space="preserve"> </w:t>
      </w:r>
      <w:r w:rsidR="002213CF" w:rsidRPr="00742A04">
        <w:t>el proyecto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45441" w:rsidRPr="00742A04">
        <w:t>tuvo</w:t>
      </w:r>
      <w:r w:rsidR="00545D1B" w:rsidRPr="00742A04">
        <w:t xml:space="preserve"> </w:t>
      </w:r>
      <w:r w:rsidR="000B41AF" w:rsidRPr="00742A04">
        <w:t xml:space="preserve">la </w:t>
      </w:r>
      <w:r w:rsidR="008E5EBF" w:rsidRPr="00742A04">
        <w:t>responsabilidad</w:t>
      </w:r>
      <w:r w:rsidR="00545D1B" w:rsidRPr="00742A04">
        <w:t xml:space="preserve"> </w:t>
      </w:r>
      <w:r w:rsidR="00445441" w:rsidRPr="00742A04">
        <w:t xml:space="preserve">principal en relación con </w:t>
      </w:r>
      <w:r w:rsidR="001167D2" w:rsidRPr="00742A04">
        <w:t xml:space="preserve">el </w:t>
      </w:r>
      <w:r w:rsidR="0030626A" w:rsidRPr="00742A04">
        <w:t>info</w:t>
      </w:r>
      <w:r w:rsidR="0030626A" w:rsidRPr="00742A04">
        <w:t>r</w:t>
      </w:r>
      <w:r w:rsidR="0030626A" w:rsidRPr="00742A04">
        <w:t>me definitivo</w:t>
      </w:r>
      <w:r w:rsidR="00545D1B" w:rsidRPr="00742A04">
        <w:t>.</w:t>
      </w:r>
    </w:p>
    <w:p w:rsidR="00545D1B" w:rsidRPr="00742A04" w:rsidRDefault="00F66D39" w:rsidP="00D574C4">
      <w:pPr>
        <w:pStyle w:val="SingleTxt"/>
        <w:ind w:firstLine="475"/>
      </w:pPr>
      <w:r w:rsidRPr="00742A04">
        <w:t>El proyecto piloto</w:t>
      </w:r>
      <w:r w:rsidR="00545D1B" w:rsidRPr="00742A04">
        <w:t xml:space="preserve"> </w:t>
      </w:r>
      <w:r w:rsidRPr="00742A04">
        <w:t>se</w:t>
      </w:r>
      <w:r w:rsidR="00D52339" w:rsidRPr="00742A04">
        <w:t xml:space="preserve"> bas</w:t>
      </w:r>
      <w:r w:rsidRPr="00742A04">
        <w:t>ó en</w:t>
      </w:r>
      <w:r w:rsidR="00545D1B" w:rsidRPr="00742A04">
        <w:t xml:space="preserve"> </w:t>
      </w:r>
      <w:r w:rsidR="00894371" w:rsidRPr="00742A04">
        <w:t>las experiencias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15</w:t>
      </w:r>
      <w:r w:rsidR="00545D1B" w:rsidRPr="00742A04">
        <w:t xml:space="preserve"> </w:t>
      </w:r>
      <w:r w:rsidR="00EC1B22" w:rsidRPr="00742A04">
        <w:t>empresa</w:t>
      </w:r>
      <w:r w:rsidR="00545D1B" w:rsidRPr="00742A04">
        <w:t xml:space="preserve">s </w:t>
      </w:r>
      <w:r w:rsidR="00C076F2" w:rsidRPr="00742A04">
        <w:t xml:space="preserve">de los </w:t>
      </w:r>
      <w:r w:rsidR="00935A90" w:rsidRPr="00742A04">
        <w:t>sectores público y privado</w:t>
      </w:r>
      <w:r w:rsidR="00545D1B" w:rsidRPr="00742A04">
        <w:t xml:space="preserve">. </w:t>
      </w:r>
      <w:r w:rsidRPr="00742A04">
        <w:t>D</w:t>
      </w:r>
      <w:r w:rsidR="0028385C" w:rsidRPr="00742A04">
        <w:t>emostró</w:t>
      </w:r>
      <w:r w:rsidR="00E575DB" w:rsidRPr="00742A04">
        <w:t xml:space="preserve"> que</w:t>
      </w:r>
      <w:r w:rsidR="00545D1B" w:rsidRPr="00742A04">
        <w:t xml:space="preserve"> </w:t>
      </w:r>
      <w:r w:rsidRPr="00742A04">
        <w:t xml:space="preserve">la </w:t>
      </w:r>
      <w:r w:rsidR="00445441" w:rsidRPr="00742A04">
        <w:t>evaluación de puestos</w:t>
      </w:r>
      <w:r w:rsidR="00545D1B" w:rsidRPr="00742A04">
        <w:t xml:space="preserve"> </w:t>
      </w:r>
      <w:r w:rsidRPr="00742A04">
        <w:t>puede ser un</w:t>
      </w:r>
      <w:r w:rsidR="00545D1B" w:rsidRPr="00742A04">
        <w:t xml:space="preserve"> </w:t>
      </w:r>
      <w:r w:rsidR="007D4688" w:rsidRPr="00742A04">
        <w:t>instrumento</w:t>
      </w:r>
      <w:r w:rsidR="00545D1B" w:rsidRPr="00742A04">
        <w:t xml:space="preserve"> </w:t>
      </w:r>
      <w:r w:rsidRPr="00742A04">
        <w:t xml:space="preserve">eficaz </w:t>
      </w:r>
      <w:r w:rsidR="00F43124" w:rsidRPr="00742A04">
        <w:t>para</w:t>
      </w:r>
      <w:r w:rsidR="00545D1B" w:rsidRPr="00742A04">
        <w:t xml:space="preserve"> </w:t>
      </w:r>
      <w:r w:rsidRPr="00742A04">
        <w:t>detectar</w:t>
      </w:r>
      <w:r w:rsidR="00545D1B" w:rsidRPr="00742A04">
        <w:t xml:space="preserve"> </w:t>
      </w:r>
      <w:r w:rsidR="00310049" w:rsidRPr="00742A04">
        <w:t>las diferencias de remuneración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, </w:t>
      </w:r>
      <w:r w:rsidRPr="00742A04">
        <w:t>tanto</w:t>
      </w:r>
      <w:r w:rsidR="00545D1B" w:rsidRPr="00742A04">
        <w:t xml:space="preserve"> </w:t>
      </w:r>
      <w:r w:rsidR="00C07ED9" w:rsidRPr="00742A04">
        <w:t>dentro</w:t>
      </w:r>
      <w:r w:rsidR="00FD7D4E" w:rsidRPr="00742A04">
        <w:t xml:space="preserve"> de </w:t>
      </w:r>
      <w:r w:rsidRPr="00742A04">
        <w:t>una misma</w:t>
      </w:r>
      <w:r w:rsidR="00545D1B" w:rsidRPr="00742A04">
        <w:t xml:space="preserve"> </w:t>
      </w:r>
      <w:r w:rsidR="00EC1B22" w:rsidRPr="00742A04">
        <w:t>empresa</w:t>
      </w:r>
      <w:r w:rsidR="00545D1B" w:rsidRPr="00742A04">
        <w:t xml:space="preserve"> </w:t>
      </w:r>
      <w:r w:rsidRPr="00742A04">
        <w:t>como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EC1B22" w:rsidRPr="00742A04">
        <w:t>empresa</w:t>
      </w:r>
      <w:r w:rsidR="00545D1B" w:rsidRPr="00742A04">
        <w:t xml:space="preserve">s </w:t>
      </w:r>
      <w:r w:rsidRPr="00742A04">
        <w:t>de distintos</w:t>
      </w:r>
      <w:r w:rsidR="00545D1B" w:rsidRPr="00742A04">
        <w:t xml:space="preserve"> </w:t>
      </w:r>
      <w:r w:rsidR="00C55B39" w:rsidRPr="00742A04">
        <w:t>sectores</w:t>
      </w:r>
      <w:r w:rsidR="00545D1B" w:rsidRPr="00742A04">
        <w:t xml:space="preserve">. </w:t>
      </w:r>
      <w:r w:rsidRPr="00742A04">
        <w:t>D</w:t>
      </w:r>
      <w:r w:rsidR="0028385C" w:rsidRPr="00742A04">
        <w:t>emo</w:t>
      </w:r>
      <w:r w:rsidR="0028385C" w:rsidRPr="00742A04">
        <w:t>s</w:t>
      </w:r>
      <w:r w:rsidR="0028385C" w:rsidRPr="00742A04">
        <w:t>tró</w:t>
      </w:r>
      <w:r w:rsidR="00E575DB" w:rsidRPr="00742A04">
        <w:t xml:space="preserve"> que</w:t>
      </w:r>
      <w:r w:rsidR="00545D1B" w:rsidRPr="00742A04">
        <w:t xml:space="preserve"> </w:t>
      </w:r>
      <w:r w:rsidRPr="00742A04">
        <w:t>el nivel del puesto</w:t>
      </w:r>
      <w:r w:rsidR="00545D1B" w:rsidRPr="00742A04">
        <w:t xml:space="preserve"> </w:t>
      </w:r>
      <w:r w:rsidRPr="00742A04">
        <w:t>desempeñaba un importante pape</w:t>
      </w:r>
      <w:r w:rsidR="006B65CD" w:rsidRPr="00742A04">
        <w:t>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10049" w:rsidRPr="00742A04">
        <w:t>las diferencias de r</w:t>
      </w:r>
      <w:r w:rsidR="00310049" w:rsidRPr="00742A04">
        <w:t>e</w:t>
      </w:r>
      <w:r w:rsidR="00310049" w:rsidRPr="00742A04">
        <w:t>muneración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Pr="00742A04">
        <w:t>,</w:t>
      </w:r>
      <w:r w:rsidR="00545D1B" w:rsidRPr="00742A04">
        <w:t xml:space="preserve"> </w:t>
      </w:r>
      <w:r w:rsidR="007E0DFE" w:rsidRPr="00742A04">
        <w:t>porque</w:t>
      </w:r>
      <w:r w:rsidR="00545D1B" w:rsidRPr="00742A04">
        <w:t xml:space="preserve"> </w:t>
      </w:r>
      <w:r w:rsidRPr="00742A04">
        <w:t xml:space="preserve">hay </w:t>
      </w:r>
      <w:r w:rsidR="00E77E20" w:rsidRPr="00742A04">
        <w:t>menos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1178E" w:rsidRPr="00742A04">
        <w:t>que 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los puestos de alto valor</w:t>
      </w:r>
      <w:r w:rsidR="00545D1B" w:rsidRPr="00742A04">
        <w:t xml:space="preserve">. </w:t>
      </w:r>
      <w:r w:rsidRPr="00742A04">
        <w:t>Si bien</w:t>
      </w:r>
      <w:r w:rsidR="00545D1B" w:rsidRPr="00742A04">
        <w:t xml:space="preserve"> </w:t>
      </w:r>
      <w:r w:rsidR="00024DBC" w:rsidRPr="00742A04">
        <w:t>los resultados</w:t>
      </w:r>
      <w:r w:rsidR="00545D1B" w:rsidRPr="00742A04">
        <w:t xml:space="preserve"> </w:t>
      </w:r>
      <w:r w:rsidR="00ED6A69" w:rsidRPr="00742A04">
        <w:t>indican que</w:t>
      </w:r>
      <w:r w:rsidR="00545D1B" w:rsidRPr="00742A04">
        <w:t xml:space="preserve"> </w:t>
      </w:r>
      <w:r w:rsidR="0028385C" w:rsidRPr="00742A04">
        <w:t>había</w:t>
      </w:r>
      <w:r w:rsidR="00545D1B" w:rsidRPr="00742A04">
        <w:t xml:space="preserve"> </w:t>
      </w:r>
      <w:r w:rsidR="00893DF9" w:rsidRPr="00742A04">
        <w:t>pocas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Pr="00742A04">
        <w:t xml:space="preserve">sistemáticas </w:t>
      </w:r>
      <w:r w:rsidR="00B53ADF" w:rsidRPr="00742A04">
        <w:t>de</w:t>
      </w:r>
      <w:r w:rsidR="00A31FF2" w:rsidRPr="00742A04">
        <w:t xml:space="preserve"> remuneración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E0DFE" w:rsidRPr="00742A04">
        <w:t>empleo</w:t>
      </w:r>
      <w:r w:rsidR="00545D1B" w:rsidRPr="00742A04">
        <w:t xml:space="preserve">s </w:t>
      </w:r>
      <w:r w:rsidR="004A0730" w:rsidRPr="00742A04">
        <w:t>de</w:t>
      </w:r>
      <w:r w:rsidR="00545D1B" w:rsidRPr="00742A04">
        <w:t xml:space="preserve"> </w:t>
      </w:r>
      <w:r w:rsidR="00581775" w:rsidRPr="00742A04">
        <w:t>igual</w:t>
      </w:r>
      <w:r w:rsidR="00545D1B" w:rsidRPr="00742A04">
        <w:t xml:space="preserve"> </w:t>
      </w:r>
      <w:r w:rsidR="009451E4" w:rsidRPr="00742A04">
        <w:t>valor</w:t>
      </w:r>
      <w:r w:rsidR="00545D1B" w:rsidRPr="00742A04">
        <w:t xml:space="preserve">, </w:t>
      </w:r>
      <w:r w:rsidR="0028385C" w:rsidRPr="00742A04">
        <w:t>había</w:t>
      </w:r>
      <w:r w:rsidR="00545D1B" w:rsidRPr="00742A04">
        <w:t xml:space="preserve"> </w:t>
      </w:r>
      <w:r w:rsidR="00B53ADF" w:rsidRPr="00742A04">
        <w:t xml:space="preserve">variaciones </w:t>
      </w:r>
      <w:r w:rsidR="000B41AF" w:rsidRPr="00742A04">
        <w:t>significativa</w:t>
      </w:r>
      <w:r w:rsidR="00B53ADF" w:rsidRPr="00742A04">
        <w:t>s en cuanto a la</w:t>
      </w:r>
      <w:r w:rsidR="00A31FF2" w:rsidRPr="00742A04">
        <w:t xml:space="preserve"> remuneración</w:t>
      </w:r>
      <w:r w:rsidR="00545D1B" w:rsidRPr="00742A04">
        <w:t xml:space="preserve"> </w:t>
      </w:r>
      <w:r w:rsidR="00B53ADF" w:rsidRPr="00742A04">
        <w:t>de</w:t>
      </w:r>
      <w:r w:rsidR="00545D1B" w:rsidRPr="00742A04">
        <w:t xml:space="preserve"> </w:t>
      </w:r>
      <w:r w:rsidR="00B53ADF" w:rsidRPr="00742A04">
        <w:t>determinados pue</w:t>
      </w:r>
      <w:r w:rsidR="00B53ADF" w:rsidRPr="00742A04">
        <w:t>s</w:t>
      </w:r>
      <w:r w:rsidR="00B53ADF" w:rsidRPr="00742A04">
        <w:t>tos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53ADF" w:rsidRPr="00742A04">
        <w:t>14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53ADF" w:rsidRPr="00742A04">
        <w:t>las</w:t>
      </w:r>
      <w:r w:rsidR="00545D1B" w:rsidRPr="00742A04">
        <w:t xml:space="preserve"> </w:t>
      </w:r>
      <w:r w:rsidR="00B53ADF" w:rsidRPr="00742A04">
        <w:t>15</w:t>
      </w:r>
      <w:r w:rsidR="00545D1B" w:rsidRPr="00742A04">
        <w:t xml:space="preserve"> </w:t>
      </w:r>
      <w:r w:rsidR="00EC1B22" w:rsidRPr="00742A04">
        <w:t>e</w:t>
      </w:r>
      <w:r w:rsidR="00EC1B22" w:rsidRPr="00742A04">
        <w:t>m</w:t>
      </w:r>
      <w:r w:rsidR="00EC1B22" w:rsidRPr="00742A04">
        <w:t>presa</w:t>
      </w:r>
      <w:r w:rsidR="00545D1B" w:rsidRPr="00742A04">
        <w:t>s.</w:t>
      </w:r>
    </w:p>
    <w:p w:rsidR="00545D1B" w:rsidRPr="00742A04" w:rsidRDefault="004A0730" w:rsidP="00D574C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F66D39" w:rsidRPr="00742A04">
        <w:t>el proyecto piloto</w:t>
      </w:r>
      <w:r w:rsidR="00545D1B" w:rsidRPr="00742A04">
        <w:t xml:space="preserve">, </w:t>
      </w:r>
      <w:r w:rsidR="00B53ADF" w:rsidRPr="00742A04">
        <w:t>se permitió a la</w:t>
      </w:r>
      <w:r w:rsidR="00545D1B" w:rsidRPr="00742A04">
        <w:t xml:space="preserve"> </w:t>
      </w:r>
      <w:r w:rsidR="00D75341" w:rsidRPr="00742A04">
        <w:t>anterior</w:t>
      </w:r>
      <w:r w:rsidR="00545D1B" w:rsidRPr="00742A04">
        <w:t xml:space="preserve"> </w:t>
      </w:r>
      <w:r w:rsidR="005E603B" w:rsidRPr="00742A04">
        <w:t xml:space="preserve">Ombudsman de </w:t>
      </w:r>
      <w:r w:rsidR="00B31AE8" w:rsidRPr="00742A04">
        <w:t>Igualdad de Género</w:t>
      </w:r>
      <w:r w:rsidR="00545D1B" w:rsidRPr="00742A04">
        <w:t xml:space="preserve"> </w:t>
      </w:r>
      <w:r w:rsidR="00B53ADF" w:rsidRPr="00742A04">
        <w:t>que utilizara el instrumento</w:t>
      </w:r>
      <w:r w:rsidR="00545D1B" w:rsidRPr="00742A04">
        <w:t xml:space="preserve"> </w:t>
      </w:r>
      <w:r w:rsidR="00B53ADF" w:rsidRPr="00742A04">
        <w:t>con miras a hacer cumplir la disp</w:t>
      </w:r>
      <w:r w:rsidR="00B53ADF" w:rsidRPr="00742A04">
        <w:t>o</w:t>
      </w:r>
      <w:r w:rsidR="00B53ADF" w:rsidRPr="00742A04">
        <w:t>sición sobre</w:t>
      </w:r>
      <w:r w:rsidR="00545D1B" w:rsidRPr="00742A04">
        <w:t xml:space="preserve"> </w:t>
      </w:r>
      <w:r w:rsidR="002E5047" w:rsidRPr="00742A04">
        <w:t>igualdad de remuneración</w:t>
      </w:r>
      <w:r w:rsidR="00545D1B" w:rsidRPr="00742A04">
        <w:t xml:space="preserve"> </w:t>
      </w:r>
      <w:r w:rsidR="00F43124" w:rsidRPr="00742A04">
        <w:t xml:space="preserve">de la </w:t>
      </w:r>
      <w:r w:rsidR="00A05847" w:rsidRPr="00742A04">
        <w:t xml:space="preserve">Ley sobre la </w:t>
      </w:r>
      <w:r w:rsidR="00B31AE8" w:rsidRPr="00742A04">
        <w:t>Igualdad de Género</w:t>
      </w:r>
      <w:r w:rsidR="00545D1B" w:rsidRPr="00742A04">
        <w:t xml:space="preserve">. </w:t>
      </w:r>
      <w:r w:rsidR="00AF6A61" w:rsidRPr="00742A04">
        <w:t>La nueva</w:t>
      </w:r>
      <w:r w:rsidR="00545D1B" w:rsidRPr="00742A04">
        <w:t xml:space="preserve"> </w:t>
      </w:r>
      <w:r w:rsidR="00B53ADF" w:rsidRPr="00742A04">
        <w:t>Ombudsman de Promoción de la Igualdad y Lucha contra la Discriminación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B53ADF" w:rsidRPr="00742A04">
        <w:t>utiliza este instrumento</w:t>
      </w:r>
      <w:r w:rsidR="00545D1B" w:rsidRPr="00742A04">
        <w:t xml:space="preserve">. </w:t>
      </w:r>
      <w:r w:rsidR="00B53ADF" w:rsidRPr="00742A04">
        <w:t>Las autoridades municipales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B53ADF" w:rsidRPr="00742A04">
        <w:t>utilizan el in</w:t>
      </w:r>
      <w:r w:rsidR="00B53ADF" w:rsidRPr="00742A04">
        <w:t>s</w:t>
      </w:r>
      <w:r w:rsidR="00B53ADF" w:rsidRPr="00742A04">
        <w:t>trumento de</w:t>
      </w:r>
      <w:r w:rsidR="00545D1B" w:rsidRPr="00742A04">
        <w:t xml:space="preserve"> </w:t>
      </w:r>
      <w:r w:rsidR="00445441" w:rsidRPr="00742A04">
        <w:t>evaluación de puestos</w:t>
      </w:r>
      <w:r w:rsidR="00545D1B" w:rsidRPr="00742A04">
        <w:t xml:space="preserve"> FAKIS </w:t>
      </w:r>
      <w:r w:rsidR="00B53ADF" w:rsidRPr="00742A04">
        <w:t>en forma</w:t>
      </w:r>
      <w:r w:rsidR="00545D1B" w:rsidRPr="00742A04">
        <w:t xml:space="preserve"> limit</w:t>
      </w:r>
      <w:r w:rsidR="00B53ADF" w:rsidRPr="00742A04">
        <w:t>ada</w:t>
      </w:r>
      <w:r w:rsidR="00545D1B" w:rsidRPr="00742A04">
        <w:t>.</w:t>
      </w:r>
    </w:p>
    <w:p w:rsidR="00545D1B" w:rsidRPr="00742A04" w:rsidRDefault="00B53ADF" w:rsidP="00D574C4">
      <w:pPr>
        <w:pStyle w:val="SingleTxt"/>
        <w:ind w:firstLine="475"/>
      </w:pPr>
      <w:r w:rsidRPr="00742A04">
        <w:t>Los instrumentos de evaluación de puestos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495D7B" w:rsidRPr="00742A04">
        <w:t>un</w:t>
      </w:r>
      <w:r w:rsidRPr="00742A04">
        <w:t xml:space="preserve">a entre </w:t>
      </w:r>
      <w:r w:rsidR="00CE7870" w:rsidRPr="00742A04">
        <w:t>much</w:t>
      </w:r>
      <w:r w:rsidRPr="00742A04">
        <w:t>a</w:t>
      </w:r>
      <w:r w:rsidR="00CE7870" w:rsidRPr="00742A04">
        <w:t>s</w:t>
      </w:r>
      <w:r w:rsidR="00545D1B" w:rsidRPr="00742A04">
        <w:t xml:space="preserve"> </w:t>
      </w:r>
      <w:r w:rsidR="00DC0DB8" w:rsidRPr="00742A04">
        <w:t>m</w:t>
      </w:r>
      <w:r w:rsidR="00DC0DB8" w:rsidRPr="00742A04">
        <w:t>e</w:t>
      </w:r>
      <w:r w:rsidR="00DC0DB8" w:rsidRPr="00742A04">
        <w:t>didas</w:t>
      </w:r>
      <w:r w:rsidR="00EA6AC2" w:rsidRPr="00742A04">
        <w:t xml:space="preserve"> p</w:t>
      </w:r>
      <w:r w:rsidRPr="00742A04">
        <w:t>ara la</w:t>
      </w:r>
      <w:r w:rsidR="00EA6AC2" w:rsidRPr="00742A04">
        <w:t xml:space="preserve"> </w:t>
      </w:r>
      <w:r w:rsidR="00B146CA" w:rsidRPr="00742A04">
        <w:t>promo</w:t>
      </w:r>
      <w:r w:rsidRPr="00742A04">
        <w:t>ción de</w:t>
      </w:r>
      <w:r w:rsidR="00B146CA" w:rsidRPr="00742A04">
        <w:t xml:space="preserve"> la igualdad</w:t>
      </w:r>
      <w:r w:rsidR="002E5047" w:rsidRPr="00742A04">
        <w:t xml:space="preserve"> de remuneración</w:t>
      </w:r>
      <w:r w:rsidR="00545D1B" w:rsidRPr="00742A04">
        <w:t xml:space="preserve">. </w:t>
      </w:r>
      <w:r w:rsidRPr="00742A04">
        <w:t>La disposición sobre igualdad de remuneración</w:t>
      </w:r>
      <w:r w:rsidR="005E6919" w:rsidRPr="00742A04">
        <w:t xml:space="preserve"> </w:t>
      </w:r>
      <w:r w:rsidRPr="00742A04">
        <w:t>d</w:t>
      </w:r>
      <w:r w:rsidR="00C14BFF" w:rsidRPr="00742A04">
        <w:t>e</w:t>
      </w:r>
      <w:r w:rsidR="00545D1B" w:rsidRPr="00742A04">
        <w:t xml:space="preserve"> </w:t>
      </w:r>
      <w:r w:rsidR="00A05847" w:rsidRPr="00742A04">
        <w:t xml:space="preserve">la Ley sobre la </w:t>
      </w:r>
      <w:r w:rsidR="00B31AE8" w:rsidRPr="00742A04">
        <w:t>Igualdad de Género</w:t>
      </w:r>
      <w:r w:rsidR="00545D1B" w:rsidRPr="00742A04">
        <w:t xml:space="preserve"> </w:t>
      </w:r>
      <w:r w:rsidRPr="00742A04">
        <w:t>fue fortalecida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2002,</w:t>
      </w:r>
      <w:r w:rsidR="002E5047" w:rsidRPr="00742A04">
        <w:t xml:space="preserve"> </w:t>
      </w:r>
      <w:r w:rsidR="00756C0D" w:rsidRPr="00742A04">
        <w:t>y fue</w:t>
      </w:r>
      <w:r w:rsidR="00545D1B" w:rsidRPr="00742A04">
        <w:t xml:space="preserve"> </w:t>
      </w:r>
      <w:r w:rsidR="006B65CD" w:rsidRPr="00742A04">
        <w:t>como resultado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56C0D" w:rsidRPr="00742A04">
        <w:t>ello que se</w:t>
      </w:r>
      <w:r w:rsidR="00545D1B" w:rsidRPr="00742A04">
        <w:t xml:space="preserve"> </w:t>
      </w:r>
      <w:r w:rsidR="00756C0D" w:rsidRPr="00742A04">
        <w:t xml:space="preserve">inició </w:t>
      </w:r>
      <w:r w:rsidR="002213CF" w:rsidRPr="00742A04">
        <w:t>el proyecto</w:t>
      </w:r>
      <w:r w:rsidR="00545D1B" w:rsidRPr="00742A04">
        <w:t xml:space="preserve"> </w:t>
      </w:r>
      <w:r w:rsidR="00756C0D" w:rsidRPr="00742A04">
        <w:t xml:space="preserve">que se ha </w:t>
      </w:r>
      <w:r w:rsidR="00545D1B" w:rsidRPr="00742A04">
        <w:t>descri</w:t>
      </w:r>
      <w:r w:rsidR="00756C0D" w:rsidRPr="00742A04">
        <w:t>to</w:t>
      </w:r>
      <w:r w:rsidR="00545D1B" w:rsidRPr="00742A04">
        <w:t xml:space="preserve">. </w:t>
      </w:r>
      <w:r w:rsidR="00756C0D" w:rsidRPr="00742A04">
        <w:t>También se ha ampliado l</w:t>
      </w:r>
      <w:r w:rsidR="00B146CA" w:rsidRPr="00742A04">
        <w:t>a obligación</w:t>
      </w:r>
      <w:r w:rsidR="00C14BFF" w:rsidRPr="00742A04">
        <w:t xml:space="preserve"> </w:t>
      </w:r>
      <w:r w:rsidR="00756C0D" w:rsidRPr="00742A04">
        <w:t>de</w:t>
      </w:r>
      <w:r w:rsidR="00545D1B" w:rsidRPr="00742A04">
        <w:t xml:space="preserve"> </w:t>
      </w:r>
      <w:r w:rsidR="00C07ED9" w:rsidRPr="00742A04">
        <w:t>iniciar</w:t>
      </w:r>
      <w:r w:rsidR="00545D1B" w:rsidRPr="00742A04">
        <w:t xml:space="preserve"> </w:t>
      </w:r>
      <w:r w:rsidR="00614C7D" w:rsidRPr="00742A04">
        <w:t>actividades</w:t>
      </w:r>
      <w:r w:rsidR="00EA6AC2" w:rsidRPr="00742A04">
        <w:t xml:space="preserve"> </w:t>
      </w:r>
      <w:r w:rsidR="00756C0D" w:rsidRPr="00742A04">
        <w:t>encaminadas a</w:t>
      </w:r>
      <w:r w:rsidR="00EA6AC2" w:rsidRPr="00742A04">
        <w:t xml:space="preserve"> </w:t>
      </w:r>
      <w:r w:rsidR="00B146CA" w:rsidRPr="00742A04">
        <w:t>promover la igualdad</w:t>
      </w:r>
      <w:r w:rsidR="00A05847" w:rsidRPr="00742A04">
        <w:t xml:space="preserve"> de género</w:t>
      </w:r>
      <w:r w:rsidR="00545D1B" w:rsidRPr="00742A04">
        <w:t xml:space="preserve"> </w:t>
      </w:r>
      <w:r w:rsidR="00756C0D" w:rsidRPr="00742A04">
        <w:t xml:space="preserve">y presentar informes al respecto, </w:t>
      </w:r>
      <w:r w:rsidR="00877AA0" w:rsidRPr="00742A04">
        <w:t>y</w:t>
      </w:r>
      <w:r w:rsidR="00756C0D" w:rsidRPr="00742A04">
        <w:t xml:space="preserve"> actualmente las</w:t>
      </w:r>
      <w:r w:rsidR="00545D1B" w:rsidRPr="00742A04">
        <w:t xml:space="preserve"> </w:t>
      </w:r>
      <w:r w:rsidR="00EF71C9" w:rsidRPr="00742A04">
        <w:t>empresas</w:t>
      </w:r>
      <w:r w:rsidR="00545D1B" w:rsidRPr="00742A04">
        <w:t xml:space="preserve"> </w:t>
      </w:r>
      <w:r w:rsidR="00756C0D" w:rsidRPr="00742A04">
        <w:t>deben pr</w:t>
      </w:r>
      <w:r w:rsidR="00756C0D" w:rsidRPr="00742A04">
        <w:t>e</w:t>
      </w:r>
      <w:r w:rsidR="00756C0D" w:rsidRPr="00742A04">
        <w:t>sentar</w:t>
      </w:r>
      <w:r w:rsidR="00FC59C5" w:rsidRPr="00742A04">
        <w:t xml:space="preserve"> </w:t>
      </w:r>
      <w:r w:rsidR="00657260" w:rsidRPr="00742A04">
        <w:t>informe</w:t>
      </w:r>
      <w:r w:rsidR="00756C0D" w:rsidRPr="00742A04">
        <w:t>s</w:t>
      </w:r>
      <w:r w:rsidR="00657260" w:rsidRPr="00742A04">
        <w:t xml:space="preserve"> sobre </w:t>
      </w:r>
      <w:r w:rsidR="00756C0D" w:rsidRPr="00742A04">
        <w:t>la situación re</w:t>
      </w:r>
      <w:r w:rsidR="00545D1B" w:rsidRPr="00742A04">
        <w:t>al</w:t>
      </w:r>
      <w:r w:rsidR="00756C0D" w:rsidRPr="00742A04">
        <w:t xml:space="preserve"> en materia de</w:t>
      </w:r>
      <w:r w:rsidR="00545D1B" w:rsidRPr="00742A04">
        <w:t xml:space="preserve"> </w:t>
      </w:r>
      <w:r w:rsidR="00A05847" w:rsidRPr="00742A04">
        <w:t>igualdad de género</w:t>
      </w:r>
      <w:r w:rsidR="00935A90" w:rsidRPr="00742A04">
        <w:t>,</w:t>
      </w:r>
      <w:r w:rsidR="00545D1B" w:rsidRPr="00742A04">
        <w:t xml:space="preserve"> inclu</w:t>
      </w:r>
      <w:r w:rsidR="00756C0D" w:rsidRPr="00742A04">
        <w:t>ida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 </w:t>
      </w:r>
      <w:r w:rsidR="00537384" w:rsidRPr="00742A04">
        <w:t>en lo tocante a</w:t>
      </w:r>
      <w:r w:rsidR="00545D1B" w:rsidRPr="00742A04">
        <w:t xml:space="preserve"> </w:t>
      </w:r>
      <w:r w:rsidR="00A31FF2" w:rsidRPr="00742A04">
        <w:t>la remuneración</w:t>
      </w:r>
      <w:r w:rsidR="00545D1B" w:rsidRPr="00742A04">
        <w:t xml:space="preserve">. </w:t>
      </w:r>
      <w:r w:rsidR="00021DB5" w:rsidRPr="00742A04">
        <w:t>Hay</w:t>
      </w:r>
      <w:r w:rsidR="00545D1B" w:rsidRPr="00742A04">
        <w:t xml:space="preserve"> </w:t>
      </w:r>
      <w:r w:rsidR="00756C0D" w:rsidRPr="00742A04">
        <w:t>exigencias expresas respe</w:t>
      </w:r>
      <w:r w:rsidR="00756C0D" w:rsidRPr="00742A04">
        <w:t>c</w:t>
      </w:r>
      <w:r w:rsidR="00756C0D" w:rsidRPr="00742A04">
        <w:t>to de la</w:t>
      </w:r>
      <w:r w:rsidR="00545D1B" w:rsidRPr="00742A04">
        <w:t xml:space="preserve"> activ</w:t>
      </w:r>
      <w:r w:rsidR="00502E16" w:rsidRPr="00742A04">
        <w:t>idad</w:t>
      </w:r>
      <w:r w:rsidR="00545D1B" w:rsidRPr="00742A04">
        <w:t>. “Activ</w:t>
      </w:r>
      <w:r w:rsidR="00502E16" w:rsidRPr="00742A04">
        <w:t>idad</w:t>
      </w:r>
      <w:r w:rsidR="00545D1B" w:rsidRPr="00742A04">
        <w:t xml:space="preserve">” </w:t>
      </w:r>
      <w:r w:rsidR="00D3378F" w:rsidRPr="00742A04">
        <w:t>significa que</w:t>
      </w:r>
      <w:r w:rsidR="00545D1B" w:rsidRPr="00742A04">
        <w:t xml:space="preserve"> </w:t>
      </w:r>
      <w:r w:rsidR="00AD0883" w:rsidRPr="00742A04">
        <w:t>los empleadores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756C0D" w:rsidRPr="00742A04">
        <w:t>deben evitar la</w:t>
      </w:r>
      <w:r w:rsidR="00545D1B" w:rsidRPr="00742A04">
        <w:t xml:space="preserve"> </w:t>
      </w:r>
      <w:r w:rsidR="00A05847" w:rsidRPr="00742A04">
        <w:t>discriminación</w:t>
      </w:r>
      <w:r w:rsidR="00756C0D" w:rsidRPr="00742A04">
        <w:t>,</w:t>
      </w:r>
      <w:r w:rsidR="00545D1B" w:rsidRPr="00742A04">
        <w:t xml:space="preserve"> </w:t>
      </w:r>
      <w:r w:rsidR="00756C0D" w:rsidRPr="00742A04">
        <w:t>sin</w:t>
      </w:r>
      <w:r w:rsidR="00E77E20" w:rsidRPr="00742A04">
        <w:t>o</w:t>
      </w:r>
      <w:r w:rsidR="00545D1B" w:rsidRPr="00742A04">
        <w:t xml:space="preserve"> </w:t>
      </w:r>
      <w:r w:rsidR="00756C0D" w:rsidRPr="00742A04">
        <w:t>que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756C0D" w:rsidRPr="00742A04">
        <w:t>tienen la</w:t>
      </w:r>
      <w:r w:rsidR="00545D1B" w:rsidRPr="00742A04">
        <w:t xml:space="preserve"> obliga</w:t>
      </w:r>
      <w:r w:rsidR="00C14BFF" w:rsidRPr="00742A04">
        <w:t xml:space="preserve">ción </w:t>
      </w:r>
      <w:r w:rsidR="00756C0D" w:rsidRPr="00742A04">
        <w:t>de</w:t>
      </w:r>
      <w:r w:rsidR="00545D1B" w:rsidRPr="00742A04">
        <w:t xml:space="preserve"> </w:t>
      </w:r>
      <w:r w:rsidR="00C07ED9" w:rsidRPr="00742A04">
        <w:t>iniciar</w:t>
      </w:r>
      <w:r w:rsidR="00545D1B" w:rsidRPr="00742A04">
        <w:t xml:space="preserve"> </w:t>
      </w:r>
      <w:r w:rsidR="00DC0DB8" w:rsidRPr="00742A04">
        <w:t>medidas</w:t>
      </w:r>
      <w:r w:rsidR="00EA6AC2" w:rsidRPr="00742A04">
        <w:t xml:space="preserve"> </w:t>
      </w:r>
      <w:r w:rsidR="00756C0D" w:rsidRPr="00742A04">
        <w:t>encamin</w:t>
      </w:r>
      <w:r w:rsidR="00756C0D" w:rsidRPr="00742A04">
        <w:t>a</w:t>
      </w:r>
      <w:r w:rsidR="00756C0D" w:rsidRPr="00742A04">
        <w:t>das a</w:t>
      </w:r>
      <w:r w:rsidR="00EA6AC2" w:rsidRPr="00742A04">
        <w:t xml:space="preserve"> </w:t>
      </w:r>
      <w:r w:rsidR="00B146CA" w:rsidRPr="00742A04">
        <w:t>promover la igualdad</w:t>
      </w:r>
      <w:r w:rsidR="00A05847" w:rsidRPr="00742A04">
        <w:t xml:space="preserve"> de género</w:t>
      </w:r>
      <w:r w:rsidR="00545D1B" w:rsidRPr="00742A04">
        <w:t xml:space="preserve">. </w:t>
      </w:r>
      <w:r w:rsidR="00756C0D" w:rsidRPr="00742A04">
        <w:t>El empleador</w:t>
      </w:r>
      <w:r w:rsidR="00545D1B" w:rsidRPr="00742A04">
        <w:t xml:space="preserve"> </w:t>
      </w:r>
      <w:r w:rsidR="007D4688" w:rsidRPr="00742A04">
        <w:t>debe</w:t>
      </w:r>
      <w:r w:rsidR="00545D1B" w:rsidRPr="00742A04">
        <w:t xml:space="preserve"> </w:t>
      </w:r>
      <w:r w:rsidR="00756C0D" w:rsidRPr="00742A04">
        <w:t>detectar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combat</w:t>
      </w:r>
      <w:r w:rsidR="00756C0D" w:rsidRPr="00742A04">
        <w:t>ir</w:t>
      </w:r>
      <w:r w:rsidR="003F7371">
        <w:t xml:space="preserve"> las</w:t>
      </w:r>
      <w:r w:rsidR="00545D1B" w:rsidRPr="00742A04">
        <w:t xml:space="preserve"> </w:t>
      </w:r>
      <w:r w:rsidR="00537384" w:rsidRPr="00742A04">
        <w:t>d</w:t>
      </w:r>
      <w:r w:rsidR="00537384" w:rsidRPr="00742A04">
        <w:t>i</w:t>
      </w:r>
      <w:r w:rsidR="00537384" w:rsidRPr="00742A04">
        <w:t>ferencias de género</w:t>
      </w:r>
      <w:r w:rsidR="0081178E" w:rsidRPr="00742A04">
        <w:t xml:space="preserve"> </w:t>
      </w:r>
      <w:r w:rsidR="00756C0D" w:rsidRPr="00742A04">
        <w:t>ind</w:t>
      </w:r>
      <w:r w:rsidR="00756C0D" w:rsidRPr="00742A04">
        <w:t>e</w:t>
      </w:r>
      <w:r w:rsidR="00756C0D" w:rsidRPr="00742A04">
        <w:t xml:space="preserve">seables </w:t>
      </w:r>
      <w:r w:rsidR="0081178E" w:rsidRPr="00742A04">
        <w:t>que</w:t>
      </w:r>
      <w:r w:rsidR="00545D1B" w:rsidRPr="00742A04">
        <w:t xml:space="preserve"> exist</w:t>
      </w:r>
      <w:r w:rsidR="00756C0D" w:rsidRPr="00742A04">
        <w:t>an en el</w:t>
      </w:r>
      <w:r w:rsidR="00545D1B" w:rsidRPr="00742A04">
        <w:t xml:space="preserve"> </w:t>
      </w:r>
      <w:r w:rsidR="00AE0831" w:rsidRPr="00742A04">
        <w:t>lugar de trabajo</w:t>
      </w:r>
      <w:r w:rsidR="00545D1B" w:rsidRPr="00742A04">
        <w:t>.</w:t>
      </w:r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  <w:bookmarkStart w:id="59" w:name="_Toc147129474"/>
    </w:p>
    <w:p w:rsidR="00A835F7" w:rsidRPr="00742A04" w:rsidRDefault="00814B5D" w:rsidP="00AA607E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B53ADF" w:rsidRPr="00742A04">
        <w:rPr>
          <w:bCs/>
        </w:rPr>
        <w:t xml:space="preserve"> 11.</w:t>
      </w:r>
      <w:r w:rsidR="00A835F7" w:rsidRPr="00742A04">
        <w:rPr>
          <w:bCs/>
        </w:rPr>
        <w:t>1</w:t>
      </w:r>
      <w:r w:rsidR="00AA607E" w:rsidRPr="00742A04">
        <w:rPr>
          <w:bCs/>
        </w:rPr>
        <w:t xml:space="preserve"> </w:t>
      </w:r>
      <w:r w:rsidR="00A835F7" w:rsidRPr="00742A04">
        <w:rPr>
          <w:bCs/>
          <w:i/>
        </w:rPr>
        <w:t>e</w:t>
      </w:r>
    </w:p>
    <w:p w:rsidR="00545D1B" w:rsidRPr="00742A04" w:rsidRDefault="00A05847" w:rsidP="00AA607E">
      <w:pPr>
        <w:pStyle w:val="H23"/>
        <w:ind w:left="1267"/>
        <w:rPr>
          <w:bCs/>
        </w:rPr>
      </w:pPr>
      <w:r w:rsidRPr="00742A04">
        <w:rPr>
          <w:bCs/>
        </w:rPr>
        <w:t>Seguridad social y pensiones</w:t>
      </w:r>
      <w:bookmarkEnd w:id="59"/>
    </w:p>
    <w:p w:rsidR="00A835F7" w:rsidRPr="00742A04" w:rsidRDefault="00A835F7" w:rsidP="00A835F7">
      <w:pPr>
        <w:pStyle w:val="SingleTxt"/>
        <w:keepNext/>
        <w:spacing w:after="0" w:line="120" w:lineRule="exact"/>
        <w:rPr>
          <w:sz w:val="10"/>
        </w:rPr>
      </w:pPr>
    </w:p>
    <w:p w:rsidR="00545D1B" w:rsidRPr="00742A04" w:rsidRDefault="00951CFD" w:rsidP="00D574C4">
      <w:pPr>
        <w:pStyle w:val="SingleTxt"/>
        <w:ind w:firstLine="475"/>
      </w:pPr>
      <w:r w:rsidRPr="00742A04">
        <w:t>El quinto informe periódico de Noruega contiene una</w:t>
      </w:r>
      <w:r w:rsidR="00545D1B" w:rsidRPr="00742A04">
        <w:t xml:space="preserve"> descrip</w:t>
      </w:r>
      <w:r w:rsidR="00C14BFF" w:rsidRPr="00742A04">
        <w:t xml:space="preserve">ción </w:t>
      </w:r>
      <w:r w:rsidR="004A0730" w:rsidRPr="00742A04">
        <w:t>de</w:t>
      </w:r>
      <w:r w:rsidR="005314ED" w:rsidRPr="00742A04">
        <w:t>l</w:t>
      </w:r>
      <w:r w:rsidR="00BD47D3" w:rsidRPr="00742A04">
        <w:t xml:space="preserve"> </w:t>
      </w:r>
      <w:r w:rsidR="005314ED" w:rsidRPr="00742A04">
        <w:t>Sistema Nacional de Seguridad Social de 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314ED" w:rsidRPr="00742A04">
        <w:t>de las</w:t>
      </w:r>
      <w:r w:rsidR="00545D1B" w:rsidRPr="00742A04">
        <w:t xml:space="preserve"> pens</w:t>
      </w:r>
      <w:r w:rsidR="005E6919" w:rsidRPr="00742A04">
        <w:t>i</w:t>
      </w:r>
      <w:r w:rsidR="005314ED" w:rsidRPr="00742A04">
        <w:t>ones que se pagan con arr</w:t>
      </w:r>
      <w:r w:rsidR="005314ED" w:rsidRPr="00742A04">
        <w:t>e</w:t>
      </w:r>
      <w:r w:rsidR="005314ED" w:rsidRPr="00742A04">
        <w:t>glo a dicho sistema</w:t>
      </w:r>
      <w:r w:rsidR="00545D1B" w:rsidRPr="00742A04">
        <w:t xml:space="preserve">. </w:t>
      </w:r>
      <w:r w:rsidR="005314ED" w:rsidRPr="00742A04">
        <w:t>El</w:t>
      </w:r>
      <w:r w:rsidR="00545D1B" w:rsidRPr="00742A04">
        <w:t xml:space="preserve"> </w:t>
      </w:r>
      <w:r w:rsidR="005314ED" w:rsidRPr="00742A04">
        <w:t>Sistema Nacional de Seguridad Social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5314ED" w:rsidRPr="00742A04">
        <w:t>comprende a toda</w:t>
      </w:r>
      <w:r w:rsidR="00545D1B" w:rsidRPr="00742A04">
        <w:t xml:space="preserve"> </w:t>
      </w:r>
      <w:r w:rsidR="00DD710E" w:rsidRPr="00742A04">
        <w:t>la población</w:t>
      </w:r>
      <w:r w:rsidR="00935A90" w:rsidRPr="00742A04">
        <w:t>,</w:t>
      </w:r>
      <w:r w:rsidR="00545D1B" w:rsidRPr="00742A04">
        <w:t xml:space="preserve"> pro</w:t>
      </w:r>
      <w:r w:rsidR="005314ED" w:rsidRPr="00742A04">
        <w:t>porciona un</w:t>
      </w:r>
      <w:r w:rsidR="00545D1B" w:rsidRPr="00742A04">
        <w:t>a pens</w:t>
      </w:r>
      <w:r w:rsidR="005E6919" w:rsidRPr="00742A04">
        <w:t xml:space="preserve">ión </w:t>
      </w:r>
      <w:r w:rsidR="005314ED" w:rsidRPr="00742A04">
        <w:t xml:space="preserve">mínima </w:t>
      </w:r>
      <w:r w:rsidR="00F43124" w:rsidRPr="00742A04">
        <w:t>para</w:t>
      </w:r>
      <w:r w:rsidR="00545D1B" w:rsidRPr="00742A04">
        <w:t xml:space="preserve"> </w:t>
      </w:r>
      <w:r w:rsidR="005314ED" w:rsidRPr="00742A04">
        <w:t>todos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314ED" w:rsidRPr="00742A04">
        <w:t>un</w:t>
      </w:r>
      <w:r w:rsidR="00545D1B" w:rsidRPr="00742A04">
        <w:t>a pens</w:t>
      </w:r>
      <w:r w:rsidR="005E6919" w:rsidRPr="00742A04">
        <w:t xml:space="preserve">ión </w:t>
      </w:r>
      <w:r w:rsidR="005314ED" w:rsidRPr="00742A04">
        <w:t>compl</w:t>
      </w:r>
      <w:r w:rsidR="005314ED" w:rsidRPr="00742A04">
        <w:t>e</w:t>
      </w:r>
      <w:r w:rsidR="005314ED" w:rsidRPr="00742A04">
        <w:t xml:space="preserve">mentaria </w:t>
      </w:r>
      <w:r w:rsidR="00D52339" w:rsidRPr="00742A04">
        <w:t xml:space="preserve">sobre la base </w:t>
      </w:r>
      <w:r w:rsidR="00C076F2" w:rsidRPr="00742A04">
        <w:t xml:space="preserve">de los </w:t>
      </w:r>
      <w:r w:rsidR="005E2D7A" w:rsidRPr="00742A04">
        <w:t>ingresos</w:t>
      </w:r>
      <w:r w:rsidR="00C07ED9" w:rsidRPr="00742A04">
        <w:t xml:space="preserve"> </w:t>
      </w:r>
      <w:r w:rsidR="005314ED" w:rsidRPr="00742A04">
        <w:t xml:space="preserve">provenientes </w:t>
      </w:r>
      <w:r w:rsidR="00C07ED9" w:rsidRPr="00742A04">
        <w:t xml:space="preserve">del </w:t>
      </w:r>
      <w:r w:rsidR="005E2D7A" w:rsidRPr="00742A04">
        <w:t>empleo</w:t>
      </w:r>
      <w:r w:rsidR="00545D1B" w:rsidRPr="00742A04">
        <w:t xml:space="preserve">. </w:t>
      </w:r>
      <w:r w:rsidR="005314ED" w:rsidRPr="00742A04">
        <w:t>Tiene un perfil de</w:t>
      </w:r>
      <w:r w:rsidR="00545D1B" w:rsidRPr="00742A04">
        <w:t xml:space="preserve"> distribu</w:t>
      </w:r>
      <w:r w:rsidR="00C14BFF" w:rsidRPr="00742A04">
        <w:t xml:space="preserve">ción </w:t>
      </w:r>
      <w:r w:rsidR="005314ED" w:rsidRPr="00742A04">
        <w:t>que</w:t>
      </w:r>
      <w:r w:rsidR="00545D1B" w:rsidRPr="00742A04">
        <w:t xml:space="preserve">, </w:t>
      </w:r>
      <w:r w:rsidR="00893DBB" w:rsidRPr="00742A04">
        <w:t>en cierta medida</w:t>
      </w:r>
      <w:r w:rsidR="00545D1B" w:rsidRPr="00742A04">
        <w:t xml:space="preserve">, </w:t>
      </w:r>
      <w:r w:rsidR="005314ED" w:rsidRPr="00742A04">
        <w:t>empareja las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="005314ED" w:rsidRPr="00742A04">
        <w:t>de</w:t>
      </w:r>
      <w:r w:rsidR="005E2D7A" w:rsidRPr="00742A04">
        <w:t xml:space="preserve"> ingresos</w:t>
      </w:r>
      <w:r w:rsidR="00545D1B" w:rsidRPr="00742A04">
        <w:t xml:space="preserve">. </w:t>
      </w:r>
      <w:r w:rsidR="005314ED" w:rsidRPr="00742A04">
        <w:t>El</w:t>
      </w:r>
      <w:r w:rsidR="00545D1B" w:rsidRPr="00742A04">
        <w:t xml:space="preserve"> </w:t>
      </w:r>
      <w:r w:rsidR="005314ED" w:rsidRPr="00742A04">
        <w:t>Sist</w:t>
      </w:r>
      <w:r w:rsidR="005314ED" w:rsidRPr="00742A04">
        <w:t>e</w:t>
      </w:r>
      <w:r w:rsidR="005314ED" w:rsidRPr="00742A04">
        <w:t>ma Nacional de Seguridad Social</w:t>
      </w:r>
      <w:r w:rsidR="00545D1B" w:rsidRPr="00742A04">
        <w:t xml:space="preserve"> </w:t>
      </w:r>
      <w:r w:rsidR="00BE1768" w:rsidRPr="00742A04">
        <w:t>se estableció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1967 </w:t>
      </w:r>
      <w:r w:rsidR="00877AA0" w:rsidRPr="00742A04">
        <w:t>y</w:t>
      </w:r>
      <w:r w:rsidR="00545D1B" w:rsidRPr="00742A04">
        <w:t xml:space="preserve"> </w:t>
      </w:r>
      <w:r w:rsidR="00BE1768" w:rsidRPr="00742A04">
        <w:t>se paga un</w:t>
      </w:r>
      <w:r w:rsidR="00545D1B" w:rsidRPr="00742A04">
        <w:t>a pens</w:t>
      </w:r>
      <w:r w:rsidR="005E6919" w:rsidRPr="00742A04">
        <w:t xml:space="preserve">ión </w:t>
      </w:r>
      <w:r w:rsidR="00BE1768" w:rsidRPr="00742A04">
        <w:t>compl</w:t>
      </w:r>
      <w:r w:rsidR="00BE1768" w:rsidRPr="00742A04">
        <w:t>e</w:t>
      </w:r>
      <w:r w:rsidR="00BE1768" w:rsidRPr="00742A04">
        <w:t>mentaria completa</w:t>
      </w:r>
      <w:r w:rsidR="00545D1B" w:rsidRPr="00742A04">
        <w:t xml:space="preserve"> </w:t>
      </w:r>
      <w:r w:rsidR="003E4840" w:rsidRPr="00742A04">
        <w:t>después de</w:t>
      </w:r>
      <w:r w:rsidR="00545D1B" w:rsidRPr="00742A04">
        <w:t xml:space="preserve"> 40 </w:t>
      </w:r>
      <w:r w:rsidR="004D313C" w:rsidRPr="00742A04">
        <w:t>años</w:t>
      </w:r>
      <w:r w:rsidR="00C07ED9" w:rsidRPr="00742A04">
        <w:t xml:space="preserve"> de</w:t>
      </w:r>
      <w:r w:rsidR="00BE1768" w:rsidRPr="00742A04">
        <w:t xml:space="preserve"> trabajo</w:t>
      </w:r>
      <w:r w:rsidR="00545D1B" w:rsidRPr="00742A04">
        <w:t xml:space="preserve">. </w:t>
      </w:r>
      <w:r w:rsidR="00BE1768" w:rsidRPr="00742A04">
        <w:t>Ello</w:t>
      </w:r>
      <w:r w:rsidR="00545D1B" w:rsidRPr="00742A04">
        <w:t xml:space="preserve"> </w:t>
      </w:r>
      <w:r w:rsidR="00D3378F" w:rsidRPr="00742A04">
        <w:t>significa que</w:t>
      </w:r>
      <w:r w:rsidR="00545D1B" w:rsidRPr="00742A04">
        <w:t xml:space="preserve"> </w:t>
      </w:r>
      <w:r w:rsidR="00BE1768" w:rsidRPr="00742A04">
        <w:t>el</w:t>
      </w:r>
      <w:r w:rsidR="00545D1B" w:rsidRPr="00742A04">
        <w:t xml:space="preserve"> </w:t>
      </w:r>
      <w:r w:rsidR="0063400A" w:rsidRPr="00742A04">
        <w:t>plan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BE1768" w:rsidRPr="00742A04">
        <w:t>est</w:t>
      </w:r>
      <w:r w:rsidR="00BE1768" w:rsidRPr="00742A04">
        <w:t>a</w:t>
      </w:r>
      <w:r w:rsidR="00BE1768" w:rsidRPr="00742A04">
        <w:t>rá</w:t>
      </w:r>
      <w:r w:rsidR="00545D1B" w:rsidRPr="00742A04">
        <w:t xml:space="preserve"> </w:t>
      </w:r>
      <w:r w:rsidR="005F7B32" w:rsidRPr="00742A04">
        <w:t xml:space="preserve">completamente </w:t>
      </w:r>
      <w:r w:rsidR="00E44A9D" w:rsidRPr="00742A04">
        <w:t>des</w:t>
      </w:r>
      <w:r w:rsidR="00BE1768" w:rsidRPr="00742A04">
        <w:t>plegado</w:t>
      </w:r>
      <w:r w:rsidR="00545D1B" w:rsidRPr="00742A04">
        <w:t xml:space="preserve"> </w:t>
      </w:r>
      <w:r w:rsidR="00BE1768" w:rsidRPr="00742A04">
        <w:t>h</w:t>
      </w:r>
      <w:r w:rsidR="00194AB3" w:rsidRPr="00742A04">
        <w:t>a</w:t>
      </w:r>
      <w:r w:rsidR="00194AB3" w:rsidRPr="00742A04">
        <w:t>s</w:t>
      </w:r>
      <w:r w:rsidR="00194AB3" w:rsidRPr="00742A04">
        <w:t>ta</w:t>
      </w:r>
      <w:r w:rsidR="00545D1B" w:rsidRPr="00742A04">
        <w:t xml:space="preserve"> 2007.</w:t>
      </w:r>
    </w:p>
    <w:p w:rsidR="00545D1B" w:rsidRPr="00742A04" w:rsidRDefault="004A0730" w:rsidP="00D574C4">
      <w:pPr>
        <w:pStyle w:val="SingleTxt"/>
        <w:ind w:firstLine="475"/>
      </w:pPr>
      <w:r w:rsidRPr="00742A04">
        <w:t>En</w:t>
      </w:r>
      <w:r w:rsidR="00545D1B" w:rsidRPr="00742A04">
        <w:t xml:space="preserve"> 2001 </w:t>
      </w:r>
      <w:r w:rsidR="00BE1768" w:rsidRPr="00742A04">
        <w:t>se estableció un</w:t>
      </w:r>
      <w:r w:rsidR="00545D1B" w:rsidRPr="00742A04">
        <w:t xml:space="preserve">a </w:t>
      </w:r>
      <w:r w:rsidR="00BE1768" w:rsidRPr="00742A04">
        <w:t>Comisión de Pensiones</w:t>
      </w:r>
      <w:r w:rsidR="005E6919" w:rsidRPr="00742A04">
        <w:t xml:space="preserve"> </w:t>
      </w:r>
      <w:r w:rsidR="00BE1768" w:rsidRPr="00742A04">
        <w:t>par</w:t>
      </w:r>
      <w:r w:rsidR="0030626A" w:rsidRPr="00742A04">
        <w:t>a</w:t>
      </w:r>
      <w:r w:rsidR="00545D1B" w:rsidRPr="00742A04">
        <w:t xml:space="preserve"> consider</w:t>
      </w:r>
      <w:r w:rsidR="00BE1768" w:rsidRPr="00742A04">
        <w:t>ar</w:t>
      </w:r>
      <w:r w:rsidR="00545D1B" w:rsidRPr="00742A04">
        <w:t xml:space="preserve"> </w:t>
      </w:r>
      <w:r w:rsidR="00935A90" w:rsidRPr="00742A04">
        <w:t>cambios</w:t>
      </w:r>
      <w:r w:rsidR="00545D1B" w:rsidRPr="00742A04">
        <w:t xml:space="preserve"> </w:t>
      </w:r>
      <w:r w:rsidR="00BE1768" w:rsidRPr="00742A04">
        <w:t>fundamentales en el plan de</w:t>
      </w:r>
      <w:r w:rsidR="00545D1B" w:rsidRPr="00742A04">
        <w:t xml:space="preserve"> pens</w:t>
      </w:r>
      <w:r w:rsidR="005E6919" w:rsidRPr="00742A04">
        <w:t>i</w:t>
      </w:r>
      <w:r w:rsidR="00BE1768" w:rsidRPr="00742A04">
        <w:t>ones</w:t>
      </w:r>
      <w:r w:rsidR="00545D1B" w:rsidRPr="00742A04">
        <w:t xml:space="preserve">. </w:t>
      </w:r>
      <w:r w:rsidR="00BE1768" w:rsidRPr="00742A04">
        <w:t>Una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9815FF" w:rsidRPr="00742A04">
        <w:t>las razones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E1768" w:rsidRPr="00742A04">
        <w:t>ello radicaba en que las previsiones daban lugar a cierto grado de</w:t>
      </w:r>
      <w:r w:rsidR="00545D1B" w:rsidRPr="00742A04">
        <w:t xml:space="preserve"> </w:t>
      </w:r>
      <w:r w:rsidR="00BE1768" w:rsidRPr="00742A04">
        <w:t>preocupación</w:t>
      </w:r>
      <w:r w:rsidR="00545D1B" w:rsidRPr="00742A04">
        <w:t xml:space="preserve"> </w:t>
      </w:r>
      <w:r w:rsidR="003E4840" w:rsidRPr="00742A04">
        <w:t>acerca de</w:t>
      </w:r>
      <w:r w:rsidR="00545D1B" w:rsidRPr="00742A04">
        <w:t xml:space="preserve"> </w:t>
      </w:r>
      <w:r w:rsidR="00BE1768" w:rsidRPr="00742A04">
        <w:t>la</w:t>
      </w:r>
      <w:r w:rsidR="00545D1B" w:rsidRPr="00742A04">
        <w:t xml:space="preserve"> </w:t>
      </w:r>
      <w:r w:rsidR="00BE1768" w:rsidRPr="00742A04">
        <w:t>sostenibil</w:t>
      </w:r>
      <w:r w:rsidR="00BE1768" w:rsidRPr="00742A04">
        <w:t>i</w:t>
      </w:r>
      <w:r w:rsidR="00BE1768" w:rsidRPr="00742A04">
        <w:t>dad</w:t>
      </w:r>
      <w:r w:rsidR="00545D1B" w:rsidRPr="00742A04">
        <w:t xml:space="preserve"> </w:t>
      </w:r>
      <w:r w:rsidR="00BE1768" w:rsidRPr="00742A04">
        <w:t xml:space="preserve">financiera </w:t>
      </w:r>
      <w:r w:rsidRPr="00742A04">
        <w:t>de</w:t>
      </w:r>
      <w:r w:rsidR="00BE1768" w:rsidRPr="00742A04">
        <w:t>l</w:t>
      </w:r>
      <w:r w:rsidR="00545D1B" w:rsidRPr="00742A04">
        <w:t xml:space="preserve"> </w:t>
      </w:r>
      <w:r w:rsidR="00BE1768" w:rsidRPr="00742A04">
        <w:t>Sistema Nacional de Seguridad Social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E1768" w:rsidRPr="00742A04">
        <w:t xml:space="preserve">una perspectiva de 30 a </w:t>
      </w:r>
      <w:r w:rsidR="00545D1B" w:rsidRPr="00742A04">
        <w:t xml:space="preserve">50 </w:t>
      </w:r>
      <w:r w:rsidR="004D313C" w:rsidRPr="00742A04">
        <w:t>año</w:t>
      </w:r>
      <w:r w:rsidR="00BE1768" w:rsidRPr="00742A04">
        <w:t>s</w:t>
      </w:r>
      <w:r w:rsidR="00545D1B" w:rsidRPr="00742A04">
        <w:t xml:space="preserve">. </w:t>
      </w:r>
      <w:r w:rsidR="00BE1768" w:rsidRPr="00742A04">
        <w:t>Otra</w:t>
      </w:r>
      <w:r w:rsidR="00545D1B" w:rsidRPr="00742A04">
        <w:t xml:space="preserve"> </w:t>
      </w:r>
      <w:r w:rsidR="00982243" w:rsidRPr="00742A04">
        <w:t>razón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BE1768" w:rsidRPr="00742A04">
        <w:t>que el</w:t>
      </w:r>
      <w:r w:rsidR="00545D1B" w:rsidRPr="00742A04">
        <w:t xml:space="preserve"> </w:t>
      </w:r>
      <w:r w:rsidR="005314ED" w:rsidRPr="00742A04">
        <w:t>Sistema Nacional de Seguridad Social</w:t>
      </w:r>
      <w:r w:rsidR="00545D1B" w:rsidRPr="00742A04">
        <w:t xml:space="preserve"> </w:t>
      </w:r>
      <w:r w:rsidR="00256979">
        <w:t>ha</w:t>
      </w:r>
      <w:r w:rsidR="00BE1768" w:rsidRPr="00742A04">
        <w:t xml:space="preserve"> dado lugar a un perfil de</w:t>
      </w:r>
      <w:r w:rsidR="00545D1B" w:rsidRPr="00742A04">
        <w:t xml:space="preserve"> distribu</w:t>
      </w:r>
      <w:r w:rsidR="00C14BFF" w:rsidRPr="00742A04">
        <w:t xml:space="preserve">ción </w:t>
      </w:r>
      <w:r w:rsidR="00BE1768" w:rsidRPr="00742A04">
        <w:t xml:space="preserve">más </w:t>
      </w:r>
      <w:r w:rsidR="003F7371">
        <w:t xml:space="preserve">plano que </w:t>
      </w:r>
      <w:r w:rsidR="00BE1768" w:rsidRPr="00742A04">
        <w:t>el que se había propuesto establecer</w:t>
      </w:r>
      <w:r w:rsidR="00545D1B" w:rsidRPr="00742A04">
        <w:t xml:space="preserve"> </w:t>
      </w:r>
      <w:r w:rsidR="00024DBC" w:rsidRPr="00742A04">
        <w:t>y que</w:t>
      </w:r>
      <w:r w:rsidR="00545D1B" w:rsidRPr="00742A04">
        <w:t xml:space="preserve"> </w:t>
      </w:r>
      <w:r w:rsidR="00BE1768" w:rsidRPr="00742A04">
        <w:t xml:space="preserve">la cantidad cada vez mayor de </w:t>
      </w:r>
      <w:r w:rsidR="00E5611D" w:rsidRPr="00742A04">
        <w:t xml:space="preserve">planes de pensiones individuales y </w:t>
      </w:r>
      <w:r w:rsidR="00BE1768" w:rsidRPr="00742A04">
        <w:t>planes de pensiones complementarias</w:t>
      </w:r>
      <w:r w:rsidR="002E5047" w:rsidRPr="00742A04">
        <w:t xml:space="preserve"> </w:t>
      </w:r>
      <w:r w:rsidR="00E5611D" w:rsidRPr="00742A04">
        <w:t xml:space="preserve">relacionados con el trabajo hacía </w:t>
      </w:r>
      <w:r w:rsidR="00545D1B" w:rsidRPr="00742A04">
        <w:t>neces</w:t>
      </w:r>
      <w:r w:rsidR="00E5611D" w:rsidRPr="00742A04">
        <w:t>aria una</w:t>
      </w:r>
      <w:r w:rsidR="00545D1B" w:rsidRPr="00742A04">
        <w:t xml:space="preserve"> revi</w:t>
      </w:r>
      <w:r w:rsidR="00E5611D" w:rsidRPr="00742A04">
        <w:t>sión general</w:t>
      </w:r>
      <w:r w:rsidR="00893DBB" w:rsidRPr="00742A04">
        <w:t xml:space="preserve"> del </w:t>
      </w:r>
      <w:r w:rsidR="005D2D07" w:rsidRPr="00742A04">
        <w:t>sistema</w:t>
      </w:r>
      <w:r w:rsidR="00545D1B" w:rsidRPr="00742A04">
        <w:t>.</w:t>
      </w:r>
    </w:p>
    <w:p w:rsidR="00545D1B" w:rsidRPr="00742A04" w:rsidRDefault="00261954" w:rsidP="00D574C4">
      <w:pPr>
        <w:pStyle w:val="SingleTxt"/>
        <w:ind w:firstLine="475"/>
      </w:pPr>
      <w:r w:rsidRPr="00742A04">
        <w:t>La Comisión</w:t>
      </w:r>
      <w:r w:rsidR="005E6919" w:rsidRPr="00742A04">
        <w:t xml:space="preserve"> </w:t>
      </w:r>
      <w:r w:rsidR="00B31D97" w:rsidRPr="00742A04">
        <w:t>presentó</w:t>
      </w:r>
      <w:r w:rsidR="00545D1B" w:rsidRPr="00742A04">
        <w:t xml:space="preserve"> </w:t>
      </w:r>
      <w:r w:rsidR="003F7371" w:rsidRPr="00742A04">
        <w:t>en 2004</w:t>
      </w:r>
      <w:r w:rsidR="003F7371">
        <w:t xml:space="preserve"> </w:t>
      </w:r>
      <w:r w:rsidR="004A0730" w:rsidRPr="00742A04">
        <w:t>su</w:t>
      </w:r>
      <w:r w:rsidR="00545D1B" w:rsidRPr="00742A04">
        <w:t xml:space="preserve"> </w:t>
      </w:r>
      <w:r w:rsidR="00B31D97" w:rsidRPr="00742A04">
        <w:t>informe</w:t>
      </w:r>
      <w:r w:rsidR="00545D1B" w:rsidRPr="00742A04">
        <w:t>,</w:t>
      </w:r>
      <w:r w:rsidR="002E5047" w:rsidRPr="00742A04">
        <w:t xml:space="preserve"> </w:t>
      </w:r>
      <w:r w:rsidR="0090270A" w:rsidRPr="00742A04">
        <w:t>que generó un amplio</w:t>
      </w:r>
      <w:r w:rsidR="00545D1B" w:rsidRPr="00742A04">
        <w:t xml:space="preserve"> deb</w:t>
      </w:r>
      <w:r w:rsidR="00545D1B" w:rsidRPr="00742A04">
        <w:t>a</w:t>
      </w:r>
      <w:r w:rsidR="00545D1B" w:rsidRPr="00742A04">
        <w:t xml:space="preserve">te </w:t>
      </w:r>
      <w:r w:rsidR="003E4840" w:rsidRPr="00742A04">
        <w:t>acerca</w:t>
      </w:r>
      <w:r w:rsidR="004F2F8A" w:rsidRPr="00742A04">
        <w:t xml:space="preserve"> del </w:t>
      </w:r>
      <w:r w:rsidR="005E2D7A" w:rsidRPr="00742A04">
        <w:t>empleo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206AC" w:rsidRPr="00742A04">
        <w:t>la distribución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0270A" w:rsidRPr="00742A04">
        <w:t>los recursos financiero</w:t>
      </w:r>
      <w:r w:rsidR="00545D1B" w:rsidRPr="00742A04">
        <w:t xml:space="preserve">s </w:t>
      </w:r>
      <w:r w:rsidR="007D66F2" w:rsidRPr="00742A04">
        <w:t>entre</w:t>
      </w:r>
      <w:r w:rsidR="00545D1B" w:rsidRPr="00742A04">
        <w:t xml:space="preserve"> </w:t>
      </w:r>
      <w:r w:rsidR="0090270A" w:rsidRPr="00742A04">
        <w:t>las</w:t>
      </w:r>
      <w:r w:rsidR="00545D1B" w:rsidRPr="00742A04">
        <w:t xml:space="preserve"> genera</w:t>
      </w:r>
      <w:r w:rsidR="008907B8" w:rsidRPr="00742A04">
        <w:t>ciones</w:t>
      </w:r>
      <w:r w:rsidR="00545D1B" w:rsidRPr="00742A04">
        <w:t xml:space="preserve">.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B41AF" w:rsidRPr="00742A04">
        <w:t>l</w:t>
      </w:r>
      <w:r w:rsidR="0090270A" w:rsidRPr="00742A04">
        <w:t>os temas</w:t>
      </w:r>
      <w:r w:rsidR="000B41AF" w:rsidRPr="00742A04">
        <w:t xml:space="preserve"> principal</w:t>
      </w:r>
      <w:r w:rsidR="0090270A" w:rsidRPr="00742A04">
        <w:t>es de ese</w:t>
      </w:r>
      <w:r w:rsidR="00545D1B" w:rsidRPr="00742A04">
        <w:t xml:space="preserve"> debate </w:t>
      </w:r>
      <w:r w:rsidR="0090270A" w:rsidRPr="00742A04">
        <w:t>fue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particular </w:t>
      </w:r>
      <w:r w:rsidR="005E6919" w:rsidRPr="00742A04">
        <w:t>co</w:t>
      </w:r>
      <w:r w:rsidR="005E6919" w:rsidRPr="00742A04">
        <w:t>n</w:t>
      </w:r>
      <w:r w:rsidR="005E6919" w:rsidRPr="00742A04">
        <w:t>centración en</w:t>
      </w:r>
      <w:r w:rsidR="00545D1B" w:rsidRPr="00742A04">
        <w:t xml:space="preserve"> </w:t>
      </w:r>
      <w:r w:rsidR="00C076F2" w:rsidRPr="00742A04">
        <w:t>las diferencias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90270A" w:rsidRPr="00742A04">
        <w:t xml:space="preserve">las pensiones </w:t>
      </w:r>
      <w:r w:rsidR="00C076F2" w:rsidRPr="00742A04">
        <w:t xml:space="preserve">de los </w:t>
      </w:r>
      <w:r w:rsidR="007E0DFE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D313C" w:rsidRPr="00742A04">
        <w:t>las mujeres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2005 </w:t>
      </w:r>
      <w:r w:rsidR="0090270A" w:rsidRPr="00742A04">
        <w:t>los mayores</w:t>
      </w:r>
      <w:r w:rsidR="00545D1B" w:rsidRPr="00742A04">
        <w:t xml:space="preserve"> </w:t>
      </w:r>
      <w:r w:rsidR="00FC4C8D" w:rsidRPr="00742A04">
        <w:t>partidos políticos</w:t>
      </w:r>
      <w:r w:rsidR="00545D1B" w:rsidRPr="00742A04">
        <w:t xml:space="preserve"> </w:t>
      </w:r>
      <w:r w:rsidR="0090270A" w:rsidRPr="00742A04">
        <w:t>d</w:t>
      </w:r>
      <w:r w:rsidR="00BD47D3" w:rsidRPr="00742A04">
        <w:t>el Storting</w:t>
      </w:r>
      <w:r w:rsidR="00545D1B" w:rsidRPr="00742A04">
        <w:t xml:space="preserve"> </w:t>
      </w:r>
      <w:r w:rsidR="0090270A" w:rsidRPr="00742A04">
        <w:t>llegaron a un acuerdo sobre</w:t>
      </w:r>
      <w:r w:rsidR="00DA461E" w:rsidRPr="00742A04">
        <w:t xml:space="preserve"> </w:t>
      </w:r>
      <w:r w:rsidR="0090270A" w:rsidRPr="00742A04">
        <w:t>algunas</w:t>
      </w:r>
      <w:r w:rsidR="00545D1B" w:rsidRPr="00742A04">
        <w:t xml:space="preserve"> </w:t>
      </w:r>
      <w:r w:rsidR="00AE7B93" w:rsidRPr="00742A04">
        <w:t>importante</w:t>
      </w:r>
      <w:r w:rsidR="0090270A" w:rsidRPr="00742A04">
        <w:t>s</w:t>
      </w:r>
      <w:r w:rsidR="00545D1B" w:rsidRPr="00742A04">
        <w:t xml:space="preserve"> </w:t>
      </w:r>
      <w:r w:rsidR="008A25D7" w:rsidRPr="00742A04">
        <w:t>directrices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90270A" w:rsidRPr="00742A04">
        <w:t>hacer avanzar</w:t>
      </w:r>
      <w:r w:rsidR="00545D1B" w:rsidRPr="00742A04">
        <w:t xml:space="preserve"> </w:t>
      </w:r>
      <w:r w:rsidR="00116976" w:rsidRPr="00742A04">
        <w:t>el trabajo</w:t>
      </w:r>
      <w:r w:rsidR="00545D1B" w:rsidRPr="00742A04">
        <w:t xml:space="preserve"> </w:t>
      </w:r>
      <w:r w:rsidR="0090270A" w:rsidRPr="00742A04">
        <w:t>sobre el cambio del</w:t>
      </w:r>
      <w:r w:rsidR="00545D1B" w:rsidRPr="00742A04">
        <w:t xml:space="preserve"> </w:t>
      </w:r>
      <w:r w:rsidR="0090270A" w:rsidRPr="00742A04">
        <w:t>sistema de pensiones</w:t>
      </w:r>
      <w:r w:rsidR="00545D1B" w:rsidRPr="00742A04">
        <w:t xml:space="preserve">, </w:t>
      </w:r>
      <w:r w:rsidR="0090270A" w:rsidRPr="00742A04">
        <w:t>que entraría en vigor en</w:t>
      </w:r>
      <w:r w:rsidR="00545D1B" w:rsidRPr="00742A04">
        <w:t xml:space="preserve"> 2010. </w:t>
      </w:r>
      <w:r w:rsidR="00F97F41" w:rsidRPr="00742A04">
        <w:t>Su</w:t>
      </w:r>
      <w:r w:rsidR="00545D1B" w:rsidRPr="00742A04">
        <w:t xml:space="preserve"> </w:t>
      </w:r>
      <w:r w:rsidR="0005098D" w:rsidRPr="00742A04">
        <w:t>acuerdo</w:t>
      </w:r>
      <w:r w:rsidR="00545D1B" w:rsidRPr="00742A04">
        <w:t xml:space="preserve"> </w:t>
      </w:r>
      <w:r w:rsidR="00502088" w:rsidRPr="00742A04">
        <w:t>está basado en</w:t>
      </w:r>
      <w:r w:rsidR="006F71FA" w:rsidRPr="00742A04">
        <w:t xml:space="preserve"> e</w:t>
      </w:r>
      <w:r w:rsidR="004F2F8A" w:rsidRPr="00742A04">
        <w:t xml:space="preserve">l </w:t>
      </w:r>
      <w:r w:rsidR="00B82A08" w:rsidRPr="00742A04">
        <w:t>principio</w:t>
      </w:r>
      <w:r w:rsidR="00545D1B" w:rsidRPr="00742A04">
        <w:t xml:space="preserve"> </w:t>
      </w:r>
      <w:r w:rsidR="006F71FA" w:rsidRPr="00742A04">
        <w:t>de que e</w:t>
      </w:r>
      <w:r w:rsidR="00AF6A61" w:rsidRPr="00742A04">
        <w:t>l</w:t>
      </w:r>
      <w:r w:rsidR="006F71FA" w:rsidRPr="00742A04">
        <w:t xml:space="preserve"> nuevo</w:t>
      </w:r>
      <w:r w:rsidR="00545D1B" w:rsidRPr="00742A04">
        <w:t xml:space="preserve"> </w:t>
      </w:r>
      <w:r w:rsidR="0090270A" w:rsidRPr="00742A04">
        <w:t>sistema de pensiones</w:t>
      </w:r>
      <w:r w:rsidR="00545D1B" w:rsidRPr="00742A04">
        <w:t xml:space="preserve"> </w:t>
      </w:r>
      <w:r w:rsidR="007D4688" w:rsidRPr="00742A04">
        <w:t>debe</w:t>
      </w:r>
      <w:r w:rsidR="00545D1B" w:rsidRPr="00742A04">
        <w:t xml:space="preserve"> re</w:t>
      </w:r>
      <w:r w:rsidR="006F71FA" w:rsidRPr="00742A04">
        <w:t>compensar la</w:t>
      </w:r>
      <w:r w:rsidR="00545D1B" w:rsidRPr="00742A04">
        <w:t xml:space="preserve"> </w:t>
      </w:r>
      <w:r w:rsidR="00355BCE" w:rsidRPr="00742A04">
        <w:t>actividad económica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6F71FA" w:rsidRPr="00742A04">
        <w:t>el</w:t>
      </w:r>
      <w:r w:rsidR="00545D1B" w:rsidRPr="00742A04">
        <w:t xml:space="preserve"> </w:t>
      </w:r>
      <w:r w:rsidR="001167D2" w:rsidRPr="00742A04">
        <w:t>sistema</w:t>
      </w:r>
      <w:r w:rsidR="00545D1B" w:rsidRPr="00742A04">
        <w:t xml:space="preserve"> </w:t>
      </w:r>
      <w:r w:rsidR="006F71FA" w:rsidRPr="00742A04">
        <w:t>actual</w:t>
      </w:r>
      <w:r w:rsidR="00545D1B" w:rsidRPr="00742A04">
        <w:t xml:space="preserve">. </w:t>
      </w:r>
      <w:r w:rsidR="006F71FA" w:rsidRPr="00742A04">
        <w:t>El trabajo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F71FA" w:rsidRPr="00742A04">
        <w:t>el</w:t>
      </w:r>
      <w:r w:rsidR="00545D1B" w:rsidRPr="00742A04">
        <w:t xml:space="preserve"> </w:t>
      </w:r>
      <w:r w:rsidR="00B86412" w:rsidRPr="00742A04">
        <w:t>hogar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F71FA" w:rsidRPr="00742A04">
        <w:t>el cuidado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F71FA" w:rsidRPr="00742A04">
        <w:t>los hijos pequeños</w:t>
      </w:r>
      <w:r w:rsidR="00545D1B" w:rsidRPr="00742A04">
        <w:t xml:space="preserve"> </w:t>
      </w:r>
      <w:r w:rsidR="0020526A" w:rsidRPr="00742A04">
        <w:t xml:space="preserve">debe estar </w:t>
      </w:r>
      <w:r w:rsidR="006F71FA" w:rsidRPr="00742A04">
        <w:t>bastante</w:t>
      </w:r>
      <w:r w:rsidR="00545D1B" w:rsidRPr="00742A04">
        <w:t xml:space="preserve"> </w:t>
      </w:r>
      <w:r w:rsidR="009D1A12" w:rsidRPr="00742A04">
        <w:t>mejor</w:t>
      </w:r>
      <w:r w:rsidR="006F71FA" w:rsidRPr="00742A04">
        <w:t xml:space="preserve"> recompensado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6F71FA" w:rsidRPr="00742A04">
        <w:t>con arreglo al</w:t>
      </w:r>
      <w:r w:rsidR="00545D1B" w:rsidRPr="00742A04">
        <w:t xml:space="preserve"> </w:t>
      </w:r>
      <w:r w:rsidR="001167D2" w:rsidRPr="00742A04">
        <w:t>sistema</w:t>
      </w:r>
      <w:r w:rsidR="006F71FA" w:rsidRPr="00742A04">
        <w:t xml:space="preserve"> actual</w:t>
      </w:r>
      <w:r w:rsidR="00545D1B" w:rsidRPr="00742A04">
        <w:t xml:space="preserve">. </w:t>
      </w:r>
      <w:r w:rsidR="00A46C55" w:rsidRPr="00742A04">
        <w:t>Por lo demás, empero,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A46C55" w:rsidRPr="00742A04">
        <w:t>señalar que</w:t>
      </w:r>
      <w:r w:rsidR="00545D1B" w:rsidRPr="00742A04">
        <w:t xml:space="preserve"> </w:t>
      </w:r>
      <w:r w:rsidR="00F43124" w:rsidRPr="00742A04">
        <w:t>en lo tocante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46C55" w:rsidRPr="00742A04">
        <w:t>la mayoría de los demás</w:t>
      </w:r>
      <w:r w:rsidR="00D66FC2" w:rsidRPr="00742A04">
        <w:t xml:space="preserve"> temas</w:t>
      </w:r>
      <w:r w:rsidR="00545D1B" w:rsidRPr="00742A04">
        <w:t xml:space="preserve"> </w:t>
      </w:r>
      <w:r w:rsidR="00A46C55" w:rsidRPr="00742A04">
        <w:t>de gran importancia</w:t>
      </w:r>
      <w:r w:rsidR="00545D1B" w:rsidRPr="00742A04">
        <w:t xml:space="preserve"> </w:t>
      </w:r>
      <w:r w:rsidR="00F43124" w:rsidRPr="00742A04">
        <w:t>para</w:t>
      </w:r>
      <w:r w:rsidR="00A46C55" w:rsidRPr="00742A04">
        <w:t xml:space="preserve">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, </w:t>
      </w:r>
      <w:r w:rsidR="00A46C55" w:rsidRPr="00742A04">
        <w:t xml:space="preserve">aún quedan por resolver </w:t>
      </w:r>
      <w:r w:rsidR="00CE7870" w:rsidRPr="00742A04">
        <w:t>mu</w:t>
      </w:r>
      <w:r w:rsidR="00A46C55" w:rsidRPr="00742A04">
        <w:t>cha</w:t>
      </w:r>
      <w:r w:rsidR="00CE7870" w:rsidRPr="00742A04">
        <w:t>s</w:t>
      </w:r>
      <w:r w:rsidR="00545D1B" w:rsidRPr="00742A04">
        <w:t xml:space="preserve"> </w:t>
      </w:r>
      <w:r w:rsidR="002E5047" w:rsidRPr="00742A04">
        <w:t>cue</w:t>
      </w:r>
      <w:r w:rsidR="002E5047" w:rsidRPr="00742A04">
        <w:t>s</w:t>
      </w:r>
      <w:r w:rsidR="002E5047" w:rsidRPr="00742A04">
        <w:t>tiones</w:t>
      </w:r>
      <w:r w:rsidR="00545D1B" w:rsidRPr="00742A04">
        <w:t>.</w:t>
      </w:r>
    </w:p>
    <w:p w:rsidR="00545D1B" w:rsidRPr="00742A04" w:rsidRDefault="008F0C8E" w:rsidP="00D574C4">
      <w:pPr>
        <w:pStyle w:val="SingleTxt"/>
        <w:ind w:firstLine="475"/>
      </w:pPr>
      <w:r w:rsidRPr="00742A04">
        <w:t>De</w:t>
      </w:r>
      <w:r w:rsidR="00A46C55" w:rsidRPr="00742A04">
        <w:t>sde</w:t>
      </w:r>
      <w:r w:rsidR="00545D1B" w:rsidRPr="00742A04">
        <w:t xml:space="preserve"> 2007 </w:t>
      </w:r>
      <w:r w:rsidR="00BD47D3" w:rsidRPr="00742A04">
        <w:t>es</w:t>
      </w:r>
      <w:r w:rsidR="00545D1B" w:rsidRPr="00742A04">
        <w:t xml:space="preserve"> </w:t>
      </w:r>
      <w:r w:rsidR="003315C7" w:rsidRPr="00742A04">
        <w:t>obligatori</w:t>
      </w:r>
      <w:r w:rsidR="00A46C55" w:rsidRPr="00742A04">
        <w:t>o</w:t>
      </w:r>
      <w:r w:rsidR="00545D1B" w:rsidRPr="00742A04">
        <w:t xml:space="preserve"> </w:t>
      </w:r>
      <w:r w:rsidR="00A46C55" w:rsidRPr="00742A04">
        <w:t>que</w:t>
      </w:r>
      <w:r w:rsidR="00545D1B" w:rsidRPr="00742A04">
        <w:t xml:space="preserve"> </w:t>
      </w:r>
      <w:r w:rsidR="00AD0883" w:rsidRPr="00742A04">
        <w:t>los empleadores</w:t>
      </w:r>
      <w:r w:rsidR="00545D1B" w:rsidRPr="00742A04">
        <w:t xml:space="preserve"> establ</w:t>
      </w:r>
      <w:r w:rsidR="00A46C55" w:rsidRPr="00742A04">
        <w:t>ezcan</w:t>
      </w:r>
      <w:r w:rsidR="00545D1B" w:rsidRPr="00742A04">
        <w:t xml:space="preserve"> </w:t>
      </w:r>
      <w:r w:rsidR="00BE1768" w:rsidRPr="00742A04">
        <w:t>planes de pensi</w:t>
      </w:r>
      <w:r w:rsidR="00BE1768" w:rsidRPr="00742A04">
        <w:t>o</w:t>
      </w:r>
      <w:r w:rsidR="00BE1768" w:rsidRPr="00742A04">
        <w:t>nes complementarias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46C55" w:rsidRPr="00742A04">
        <w:t>sus</w:t>
      </w:r>
      <w:r w:rsidR="00380AC9" w:rsidRPr="00742A04">
        <w:t xml:space="preserve"> empleados</w:t>
      </w:r>
      <w:r w:rsidR="00545D1B" w:rsidRPr="00742A04">
        <w:t xml:space="preserve">. </w:t>
      </w:r>
      <w:r w:rsidR="00A46C55" w:rsidRPr="00742A04">
        <w:t>Dichos</w:t>
      </w:r>
      <w:r w:rsidR="00545D1B" w:rsidRPr="00742A04">
        <w:t xml:space="preserve"> </w:t>
      </w:r>
      <w:r w:rsidR="0063400A" w:rsidRPr="00742A04">
        <w:t>planes</w:t>
      </w:r>
      <w:r w:rsidR="00545D1B" w:rsidRPr="00742A04">
        <w:t xml:space="preserve"> </w:t>
      </w:r>
      <w:r w:rsidR="00A46C55" w:rsidRPr="00742A04">
        <w:t>están</w:t>
      </w:r>
      <w:r w:rsidR="00545D1B" w:rsidRPr="00742A04">
        <w:t xml:space="preserve"> sujet</w:t>
      </w:r>
      <w:r w:rsidR="00A46C55" w:rsidRPr="00742A04">
        <w:t>os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46C55" w:rsidRPr="00742A04">
        <w:t>cierto</w:t>
      </w:r>
      <w:r w:rsidR="00545D1B" w:rsidRPr="00742A04">
        <w:t xml:space="preserve"> </w:t>
      </w:r>
      <w:r w:rsidR="00A46C55" w:rsidRPr="00742A04">
        <w:t>grado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46C55" w:rsidRPr="00742A04">
        <w:t>reglamentación legal</w:t>
      </w:r>
      <w:r w:rsidR="00C27C42" w:rsidRPr="00742A04">
        <w:t>.</w:t>
      </w:r>
      <w:r w:rsidR="00545D1B" w:rsidRPr="00742A04">
        <w:t xml:space="preserve"> </w:t>
      </w:r>
      <w:r w:rsidR="00A46C55" w:rsidRPr="00742A04">
        <w:t>Como se indicó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14AB5" w:rsidRPr="00742A04">
        <w:t>el sexto informe periódico</w:t>
      </w:r>
      <w:r w:rsidR="00545D1B" w:rsidRPr="00742A04">
        <w:t xml:space="preserve">, </w:t>
      </w:r>
      <w:r w:rsidR="00914AB5" w:rsidRPr="00742A04">
        <w:t xml:space="preserve">desde hace mucho tiempo </w:t>
      </w:r>
      <w:r w:rsidR="00A46C55" w:rsidRPr="00742A04">
        <w:t xml:space="preserve">la </w:t>
      </w:r>
      <w:r w:rsidR="00AF6A61" w:rsidRPr="00742A04">
        <w:t>neutral</w:t>
      </w:r>
      <w:r w:rsidR="00A46C55" w:rsidRPr="00742A04">
        <w:t>idad</w:t>
      </w:r>
      <w:r w:rsidR="00AF6A61" w:rsidRPr="00742A04">
        <w:t xml:space="preserve"> en materia de género</w:t>
      </w:r>
      <w:r w:rsidR="00545D1B" w:rsidRPr="00742A04">
        <w:t xml:space="preserve"> </w:t>
      </w:r>
      <w:r w:rsidR="00914AB5" w:rsidRPr="00742A04">
        <w:t>de las</w:t>
      </w:r>
      <w:r w:rsidR="00545D1B" w:rsidRPr="00742A04">
        <w:t xml:space="preserve"> </w:t>
      </w:r>
      <w:r w:rsidR="003D75F0" w:rsidRPr="00742A04">
        <w:t>prestaciones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914AB5" w:rsidRPr="00742A04">
        <w:t xml:space="preserve">las </w:t>
      </w:r>
      <w:r w:rsidR="00545D1B" w:rsidRPr="00742A04">
        <w:t>contr</w:t>
      </w:r>
      <w:r w:rsidR="00545D1B" w:rsidRPr="00742A04">
        <w:t>i</w:t>
      </w:r>
      <w:r w:rsidR="00545D1B" w:rsidRPr="00742A04">
        <w:t>bu</w:t>
      </w:r>
      <w:r w:rsidR="008907B8" w:rsidRPr="00742A04">
        <w:t>ciones</w:t>
      </w:r>
      <w:r w:rsidR="00914AB5" w:rsidRPr="00742A04">
        <w:t>, o de unas y otras,</w:t>
      </w:r>
      <w:r w:rsidR="00545D1B" w:rsidRPr="00742A04">
        <w:t xml:space="preserve"> ha</w:t>
      </w:r>
      <w:r w:rsidR="00914AB5" w:rsidRPr="00742A04">
        <w:t xml:space="preserve"> sido un tema analizado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914AB5" w:rsidRPr="00742A04">
        <w:t>dichos</w:t>
      </w:r>
      <w:r w:rsidR="00545D1B" w:rsidRPr="00742A04">
        <w:t xml:space="preserve"> </w:t>
      </w:r>
      <w:r w:rsidR="0063400A" w:rsidRPr="00742A04">
        <w:t>pl</w:t>
      </w:r>
      <w:r w:rsidR="0063400A" w:rsidRPr="00742A04">
        <w:t>a</w:t>
      </w:r>
      <w:r w:rsidR="0063400A" w:rsidRPr="00742A04">
        <w:t>nes</w:t>
      </w:r>
      <w:r w:rsidR="00545D1B" w:rsidRPr="00742A04">
        <w:t xml:space="preserve">. </w:t>
      </w:r>
      <w:r w:rsidR="00914AB5" w:rsidRPr="00742A04">
        <w:t>El</w:t>
      </w:r>
      <w:r w:rsidR="00545D1B" w:rsidRPr="00742A04">
        <w:t xml:space="preserve"> 31 </w:t>
      </w:r>
      <w:r w:rsidR="00EA776F" w:rsidRPr="00742A04">
        <w:t>de marzo de</w:t>
      </w:r>
      <w:r w:rsidR="00545D1B" w:rsidRPr="00742A04">
        <w:t xml:space="preserve"> 2006</w:t>
      </w:r>
      <w:r w:rsidR="00914AB5" w:rsidRPr="00742A04">
        <w:t>,</w:t>
      </w:r>
      <w:r w:rsidR="00545D1B" w:rsidRPr="00742A04">
        <w:t xml:space="preserve">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D4688" w:rsidRPr="00742A04">
        <w:t>Finanzas</w:t>
      </w:r>
      <w:r w:rsidR="00545D1B" w:rsidRPr="00742A04">
        <w:t xml:space="preserve"> </w:t>
      </w:r>
      <w:r w:rsidR="00B31D97" w:rsidRPr="00742A04">
        <w:t>presentó</w:t>
      </w:r>
      <w:r w:rsidR="00545D1B" w:rsidRPr="00742A04">
        <w:t xml:space="preserve"> </w:t>
      </w:r>
      <w:r w:rsidR="00914AB5" w:rsidRPr="00742A04">
        <w:t>un</w:t>
      </w:r>
      <w:r w:rsidR="00545D1B" w:rsidRPr="00742A04">
        <w:t xml:space="preserve">a </w:t>
      </w:r>
      <w:r w:rsidR="003C25BF" w:rsidRPr="00742A04">
        <w:t>propuesta</w:t>
      </w:r>
      <w:r w:rsidR="00545D1B" w:rsidRPr="00742A04">
        <w:t xml:space="preserve"> </w:t>
      </w:r>
      <w:r w:rsidR="00894371" w:rsidRPr="00742A04">
        <w:t>e</w:t>
      </w:r>
      <w:r w:rsidR="00894371" w:rsidRPr="00742A04">
        <w:t>n</w:t>
      </w:r>
      <w:r w:rsidR="00894371" w:rsidRPr="00742A04">
        <w:t>caminada</w:t>
      </w:r>
      <w:r w:rsidR="00914AB5" w:rsidRPr="00742A04">
        <w:t xml:space="preserve"> a</w:t>
      </w:r>
      <w:r w:rsidR="00545D1B" w:rsidRPr="00742A04">
        <w:t xml:space="preserve"> </w:t>
      </w:r>
      <w:r w:rsidR="005C19C7" w:rsidRPr="00742A04">
        <w:t>permi</w:t>
      </w:r>
      <w:r w:rsidR="00914AB5" w:rsidRPr="00742A04">
        <w:t>tir</w:t>
      </w:r>
      <w:r w:rsidR="00545D1B" w:rsidRPr="00742A04">
        <w:t xml:space="preserve"> </w:t>
      </w:r>
      <w:r w:rsidR="00134C37" w:rsidRPr="00742A04">
        <w:t xml:space="preserve">que se empleara un </w:t>
      </w:r>
      <w:r w:rsidR="00914AB5" w:rsidRPr="00742A04">
        <w:t>cálculo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34C37" w:rsidRPr="00742A04">
        <w:t xml:space="preserve">las </w:t>
      </w:r>
      <w:r w:rsidR="00545D1B" w:rsidRPr="00742A04">
        <w:t>contribu</w:t>
      </w:r>
      <w:r w:rsidR="008907B8" w:rsidRPr="00742A04">
        <w:t>ciones</w:t>
      </w:r>
      <w:r w:rsidR="00545D1B" w:rsidRPr="00742A04">
        <w:t xml:space="preserve"> </w:t>
      </w:r>
      <w:r w:rsidR="00134C37" w:rsidRPr="00742A04">
        <w:t>neutral en cua</w:t>
      </w:r>
      <w:r w:rsidR="00134C37" w:rsidRPr="00742A04">
        <w:t>n</w:t>
      </w:r>
      <w:r w:rsidR="00134C37" w:rsidRPr="00742A04">
        <w:t>to al género y a la edad par</w:t>
      </w:r>
      <w:r w:rsidR="0030626A" w:rsidRPr="00742A04">
        <w:t>a</w:t>
      </w:r>
      <w:r w:rsidR="00545D1B" w:rsidRPr="00742A04">
        <w:t xml:space="preserve"> defin</w:t>
      </w:r>
      <w:r w:rsidR="00134C37" w:rsidRPr="00742A04">
        <w:t>ir las prestaciones de los</w:t>
      </w:r>
      <w:r w:rsidR="00545D1B" w:rsidRPr="00742A04">
        <w:t xml:space="preserve"> </w:t>
      </w:r>
      <w:r w:rsidR="0063400A" w:rsidRPr="00742A04">
        <w:t>planes</w:t>
      </w:r>
      <w:r w:rsidR="00134C37" w:rsidRPr="00742A04">
        <w:t xml:space="preserve"> de</w:t>
      </w:r>
      <w:r w:rsidR="00545D1B" w:rsidRPr="00742A04">
        <w:t xml:space="preserve"> </w:t>
      </w:r>
      <w:r w:rsidR="00134C37" w:rsidRPr="00742A04">
        <w:t xml:space="preserve">pensiones </w:t>
      </w:r>
      <w:r w:rsidR="004B580D" w:rsidRPr="00742A04">
        <w:t>del sector privado</w:t>
      </w:r>
      <w:r w:rsidR="00545D1B" w:rsidRPr="00742A04">
        <w:t xml:space="preserve">. </w:t>
      </w:r>
      <w:r w:rsidR="00E34307" w:rsidRPr="00742A04">
        <w:t>Está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 xml:space="preserve"> </w:t>
      </w:r>
      <w:r w:rsidR="00502088" w:rsidRPr="00742A04">
        <w:t>está basad</w:t>
      </w:r>
      <w:r w:rsidR="00E34307" w:rsidRPr="00742A04">
        <w:t>a</w:t>
      </w:r>
      <w:r w:rsidR="00502088" w:rsidRPr="00742A04">
        <w:t xml:space="preserve"> en</w:t>
      </w:r>
      <w:r w:rsidR="00FD7D4E" w:rsidRPr="00742A04">
        <w:t xml:space="preserve"> </w:t>
      </w:r>
      <w:r w:rsidR="00E34307" w:rsidRPr="00742A04">
        <w:t xml:space="preserve">el </w:t>
      </w:r>
      <w:r w:rsidR="001167D2" w:rsidRPr="00742A04">
        <w:t>sistema</w:t>
      </w:r>
      <w:r w:rsidR="00545D1B" w:rsidRPr="00742A04">
        <w:t xml:space="preserve"> </w:t>
      </w:r>
      <w:r w:rsidR="00E34307" w:rsidRPr="00742A04">
        <w:t>de cá</w:t>
      </w:r>
      <w:r w:rsidR="00545D1B" w:rsidRPr="00742A04">
        <w:t>lcul</w:t>
      </w:r>
      <w:r w:rsidR="00E34307" w:rsidRPr="00742A04">
        <w:t>o de las</w:t>
      </w:r>
      <w:r w:rsidR="00545D1B" w:rsidRPr="00742A04">
        <w:t xml:space="preserve"> contr</w:t>
      </w:r>
      <w:r w:rsidR="00545D1B" w:rsidRPr="00742A04">
        <w:t>i</w:t>
      </w:r>
      <w:r w:rsidR="00545D1B" w:rsidRPr="00742A04">
        <w:t>bu</w:t>
      </w:r>
      <w:r w:rsidR="008907B8" w:rsidRPr="00742A04">
        <w:t>cion</w:t>
      </w:r>
      <w:r w:rsidR="0081178E" w:rsidRPr="00742A04">
        <w:t>es que</w:t>
      </w:r>
      <w:r w:rsidR="00545D1B" w:rsidRPr="00742A04">
        <w:t xml:space="preserve"> </w:t>
      </w:r>
      <w:r w:rsidR="00495D7B" w:rsidRPr="00742A04">
        <w:t>ya</w:t>
      </w:r>
      <w:r w:rsidR="00545D1B" w:rsidRPr="00742A04">
        <w:t xml:space="preserve"> </w:t>
      </w:r>
      <w:r w:rsidR="00E34307" w:rsidRPr="00742A04">
        <w:t xml:space="preserve">está </w:t>
      </w:r>
      <w:r w:rsidR="00545D1B" w:rsidRPr="00742A04">
        <w:t>permit</w:t>
      </w:r>
      <w:r w:rsidR="00E34307" w:rsidRPr="00742A04">
        <w:t xml:space="preserve">ido </w:t>
      </w:r>
      <w:r w:rsidR="00F43124" w:rsidRPr="00742A04">
        <w:t>para</w:t>
      </w:r>
      <w:r w:rsidR="00545D1B" w:rsidRPr="00742A04">
        <w:t xml:space="preserve"> </w:t>
      </w:r>
      <w:r w:rsidR="00E34307" w:rsidRPr="00742A04">
        <w:t xml:space="preserve">los planes de pensiones </w:t>
      </w:r>
      <w:r w:rsidR="00545D1B" w:rsidRPr="00742A04">
        <w:t>municipal</w:t>
      </w:r>
      <w:r w:rsidR="0063400A" w:rsidRPr="00742A04">
        <w:t>es</w:t>
      </w:r>
      <w:r w:rsidR="00545D1B" w:rsidRPr="00742A04">
        <w:t xml:space="preserve">. </w:t>
      </w:r>
      <w:r w:rsidR="00E34307" w:rsidRPr="00742A04">
        <w:t>La</w:t>
      </w:r>
      <w:r w:rsidR="00545D1B" w:rsidRPr="00742A04">
        <w:t xml:space="preserve"> </w:t>
      </w:r>
      <w:r w:rsidR="003C25BF" w:rsidRPr="00742A04">
        <w:t>pr</w:t>
      </w:r>
      <w:r w:rsidR="003C25BF" w:rsidRPr="00742A04">
        <w:t>o</w:t>
      </w:r>
      <w:r w:rsidR="003C25BF" w:rsidRPr="00742A04">
        <w:t>puesta</w:t>
      </w:r>
      <w:r w:rsidR="00E34307" w:rsidRPr="00742A04">
        <w:t xml:space="preserve"> lleva a calcular un promedio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contribu</w:t>
      </w:r>
      <w:r w:rsidR="00C14BFF" w:rsidRPr="00742A04">
        <w:t>ci</w:t>
      </w:r>
      <w:r w:rsidR="00E34307" w:rsidRPr="00742A04">
        <w:t>o</w:t>
      </w:r>
      <w:r w:rsidR="00C14BFF" w:rsidRPr="00742A04">
        <w:t>n</w:t>
      </w:r>
      <w:r w:rsidR="00E34307" w:rsidRPr="00742A04">
        <w:t>es que abarque</w:t>
      </w:r>
      <w:r w:rsidR="00C14BFF" w:rsidRPr="00742A04">
        <w:t xml:space="preserve"> </w:t>
      </w:r>
      <w:r w:rsidR="004D313C" w:rsidRPr="00742A04">
        <w:t>varios</w:t>
      </w:r>
      <w:r w:rsidR="00E34307" w:rsidRPr="00742A04">
        <w:t xml:space="preserve"> planes de pensi</w:t>
      </w:r>
      <w:r w:rsidR="00E34307" w:rsidRPr="00742A04">
        <w:t>o</w:t>
      </w:r>
      <w:r w:rsidR="00E34307" w:rsidRPr="00742A04">
        <w:t>nes</w:t>
      </w:r>
      <w:r w:rsidR="00545D1B" w:rsidRPr="00742A04">
        <w:t xml:space="preserve">. </w:t>
      </w:r>
      <w:r w:rsidR="00E34307" w:rsidRPr="00742A04">
        <w:t xml:space="preserve">Las </w:t>
      </w:r>
      <w:r w:rsidR="00802868" w:rsidRPr="00742A04">
        <w:t>normas</w:t>
      </w:r>
      <w:r w:rsidR="00E34307" w:rsidRPr="00742A04">
        <w:t xml:space="preserve"> propuestas</w:t>
      </w:r>
      <w:r w:rsidR="00545D1B" w:rsidRPr="00742A04">
        <w:t xml:space="preserve"> </w:t>
      </w:r>
      <w:r w:rsidR="00E34307" w:rsidRPr="00742A04">
        <w:t>permitirán que quienes suministren las</w:t>
      </w:r>
      <w:r w:rsidR="00545D1B" w:rsidRPr="00742A04">
        <w:t xml:space="preserve"> pens</w:t>
      </w:r>
      <w:r w:rsidR="005E6919" w:rsidRPr="00742A04">
        <w:t>i</w:t>
      </w:r>
      <w:r w:rsidR="00E34307" w:rsidRPr="00742A04">
        <w:t>one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E34307" w:rsidRPr="00742A04">
        <w:t>las</w:t>
      </w:r>
      <w:r w:rsidR="00545D1B" w:rsidRPr="00742A04">
        <w:t xml:space="preserve"> </w:t>
      </w:r>
      <w:r w:rsidR="00EC1B22" w:rsidRPr="00742A04">
        <w:t>empresa</w:t>
      </w:r>
      <w:r w:rsidR="00545D1B" w:rsidRPr="00742A04">
        <w:t xml:space="preserve">s, </w:t>
      </w:r>
      <w:r w:rsidR="00E73E8E" w:rsidRPr="00742A04">
        <w:t>respectivamente</w:t>
      </w:r>
      <w:r w:rsidR="00545D1B" w:rsidRPr="00742A04">
        <w:t>, decid</w:t>
      </w:r>
      <w:r w:rsidR="00E34307" w:rsidRPr="00742A04">
        <w:t>an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AE7B93" w:rsidRPr="00742A04">
        <w:t>hará</w:t>
      </w:r>
      <w:r w:rsidR="00E34307" w:rsidRPr="00742A04">
        <w:t>n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0526A" w:rsidRPr="00742A04">
        <w:t>la posibilidad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34307" w:rsidRPr="00742A04">
        <w:t xml:space="preserve">emplear </w:t>
      </w:r>
      <w:r w:rsidR="004F2F8A" w:rsidRPr="00742A04">
        <w:t>este tipo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34307" w:rsidRPr="00742A04">
        <w:t>cá</w:t>
      </w:r>
      <w:r w:rsidR="00E34307" w:rsidRPr="00742A04">
        <w:t>l</w:t>
      </w:r>
      <w:r w:rsidR="00E34307" w:rsidRPr="00742A04">
        <w:t xml:space="preserve">culo de las </w:t>
      </w:r>
      <w:r w:rsidR="00545D1B" w:rsidRPr="00742A04">
        <w:t>contribu</w:t>
      </w:r>
      <w:r w:rsidR="00E34307" w:rsidRPr="00742A04">
        <w:t>cio</w:t>
      </w:r>
      <w:r w:rsidR="00C14BFF" w:rsidRPr="00742A04">
        <w:t>n</w:t>
      </w:r>
      <w:r w:rsidR="00E34307" w:rsidRPr="00742A04">
        <w:t>es</w:t>
      </w:r>
      <w:r w:rsidR="00C27C42" w:rsidRPr="00742A04">
        <w:t>.</w:t>
      </w:r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  <w:bookmarkStart w:id="60" w:name="_Toc147129475"/>
    </w:p>
    <w:p w:rsidR="00A835F7" w:rsidRPr="00742A04" w:rsidRDefault="00814B5D" w:rsidP="00AA607E">
      <w:pPr>
        <w:pStyle w:val="H23"/>
        <w:ind w:left="1267"/>
        <w:rPr>
          <w:bCs/>
          <w:i/>
        </w:rPr>
      </w:pPr>
      <w:r w:rsidRPr="00742A04">
        <w:rPr>
          <w:bCs/>
        </w:rPr>
        <w:t>Artículo</w:t>
      </w:r>
      <w:r w:rsidR="0020656D" w:rsidRPr="00742A04">
        <w:rPr>
          <w:bCs/>
        </w:rPr>
        <w:t xml:space="preserve"> 11.</w:t>
      </w:r>
      <w:r w:rsidR="00A835F7" w:rsidRPr="00742A04">
        <w:rPr>
          <w:bCs/>
        </w:rPr>
        <w:t>2</w:t>
      </w:r>
      <w:r w:rsidR="00AA607E" w:rsidRPr="00742A04">
        <w:rPr>
          <w:bCs/>
        </w:rPr>
        <w:t xml:space="preserve"> </w:t>
      </w:r>
      <w:r w:rsidR="00AA607E" w:rsidRPr="00742A04">
        <w:rPr>
          <w:bCs/>
          <w:i/>
        </w:rPr>
        <w:t>a</w:t>
      </w:r>
    </w:p>
    <w:p w:rsidR="00545D1B" w:rsidRPr="00742A04" w:rsidRDefault="00A05847" w:rsidP="00AA607E">
      <w:pPr>
        <w:pStyle w:val="H23"/>
        <w:ind w:left="1267"/>
        <w:rPr>
          <w:bCs/>
        </w:rPr>
      </w:pPr>
      <w:r w:rsidRPr="00742A04">
        <w:rPr>
          <w:bCs/>
        </w:rPr>
        <w:t>Discriminación por motivos de estado civil y embarazo</w:t>
      </w:r>
      <w:bookmarkEnd w:id="60"/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</w:p>
    <w:p w:rsidR="00545D1B" w:rsidRPr="00742A04" w:rsidRDefault="00894371" w:rsidP="00D574C4">
      <w:pPr>
        <w:pStyle w:val="SingleTxt"/>
        <w:ind w:firstLine="475"/>
      </w:pPr>
      <w:r w:rsidRPr="00742A04">
        <w:t>Las normas han sido explica</w:t>
      </w:r>
      <w:r>
        <w:t>das</w:t>
      </w:r>
      <w:r w:rsidRPr="00742A04">
        <w:t xml:space="preserve"> en los informes anteriores. </w:t>
      </w:r>
      <w:r w:rsidR="0046110E" w:rsidRPr="00742A04">
        <w:t xml:space="preserve">Cabe remitirse </w:t>
      </w:r>
      <w:r w:rsidR="00EB67BB" w:rsidRPr="00742A04">
        <w:t>a la parte del presente</w:t>
      </w:r>
      <w:r w:rsidR="0020656D" w:rsidRPr="00742A04">
        <w:t xml:space="preserve"> informe </w:t>
      </w:r>
      <w:r w:rsidR="00EB67BB" w:rsidRPr="00742A04">
        <w:t xml:space="preserve">relativa </w:t>
      </w:r>
      <w:r w:rsidR="0046110E" w:rsidRPr="00742A04">
        <w:t>al a</w:t>
      </w:r>
      <w:r w:rsidR="0046110E" w:rsidRPr="00742A04">
        <w:t>r</w:t>
      </w:r>
      <w:r w:rsidR="0046110E" w:rsidRPr="00742A04">
        <w:t>tículo</w:t>
      </w:r>
      <w:r w:rsidR="00545D1B" w:rsidRPr="00742A04">
        <w:t xml:space="preserve"> 4.2.</w:t>
      </w:r>
    </w:p>
    <w:p w:rsidR="00545D1B" w:rsidRPr="00742A04" w:rsidRDefault="000B41AF" w:rsidP="00D574C4">
      <w:pPr>
        <w:pStyle w:val="SingleTxt"/>
        <w:ind w:firstLine="475"/>
      </w:pPr>
      <w:r w:rsidRPr="00742A04">
        <w:t>La Ley</w:t>
      </w:r>
      <w:r w:rsidR="00AF398C" w:rsidRPr="00742A04">
        <w:t xml:space="preserve"> sobre el Ambiente de Trabajo</w:t>
      </w:r>
      <w:r w:rsidR="00545D1B" w:rsidRPr="00742A04">
        <w:t xml:space="preserve"> </w:t>
      </w:r>
      <w:r w:rsidR="00EB67BB" w:rsidRPr="00742A04">
        <w:t>impone la</w:t>
      </w:r>
      <w:r w:rsidR="00545D1B" w:rsidRPr="00742A04">
        <w:t xml:space="preserve"> prohibi</w:t>
      </w:r>
      <w:r w:rsidR="00C14BFF" w:rsidRPr="00742A04">
        <w:t xml:space="preserve">ción </w:t>
      </w:r>
      <w:r w:rsidR="00EB67BB" w:rsidRPr="00742A04">
        <w:t>de despedir a u</w:t>
      </w:r>
      <w:r w:rsidR="00545D1B" w:rsidRPr="00742A04">
        <w:t>n</w:t>
      </w:r>
      <w:r w:rsidR="00EB67BB" w:rsidRPr="00742A04">
        <w:t>a</w:t>
      </w:r>
      <w:r w:rsidR="00545D1B" w:rsidRPr="00742A04">
        <w:t xml:space="preserve"> empl</w:t>
      </w:r>
      <w:r w:rsidR="00EB67BB" w:rsidRPr="00742A04">
        <w:t>eada</w:t>
      </w:r>
      <w:r w:rsidR="00545D1B" w:rsidRPr="00742A04">
        <w:t xml:space="preserve"> </w:t>
      </w:r>
      <w:r w:rsidRPr="00742A04">
        <w:t>por motivos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E5047" w:rsidRPr="00742A04">
        <w:t>embarazo</w:t>
      </w:r>
      <w:r w:rsidR="00545D1B" w:rsidRPr="00742A04">
        <w:t xml:space="preserve">, </w:t>
      </w:r>
      <w:r w:rsidR="008E5EBF" w:rsidRPr="00742A04">
        <w:t>o</w:t>
      </w:r>
      <w:r w:rsidR="00545D1B" w:rsidRPr="00742A04">
        <w:t xml:space="preserve"> </w:t>
      </w:r>
      <w:r w:rsidR="00EB67BB" w:rsidRPr="00742A04">
        <w:t xml:space="preserve">despedir a una empleada </w:t>
      </w:r>
      <w:r w:rsidR="003E5775" w:rsidRPr="00742A04">
        <w:t>que</w:t>
      </w:r>
      <w:r w:rsidR="00EB67BB" w:rsidRPr="00742A04">
        <w:t xml:space="preserve"> esté goza</w:t>
      </w:r>
      <w:r w:rsidR="00EB67BB" w:rsidRPr="00742A04">
        <w:t>n</w:t>
      </w:r>
      <w:r w:rsidR="00EB67BB" w:rsidRPr="00742A04">
        <w:t>do de lic</w:t>
      </w:r>
      <w:r w:rsidR="00ED6A69" w:rsidRPr="00742A04">
        <w:t>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37384" w:rsidRPr="00742A04">
        <w:t>el primer año</w:t>
      </w:r>
      <w:r w:rsidR="00545D1B" w:rsidRPr="00742A04">
        <w:t xml:space="preserve"> </w:t>
      </w:r>
      <w:r w:rsidR="00EB67BB" w:rsidRPr="00742A04">
        <w:t>posterior al nacimiento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EB67BB" w:rsidRPr="00742A04">
        <w:t xml:space="preserve">la </w:t>
      </w:r>
      <w:r w:rsidR="00545D1B" w:rsidRPr="00742A04">
        <w:t>adop</w:t>
      </w:r>
      <w:r w:rsidR="00C14BFF" w:rsidRPr="00742A04">
        <w:t>ción</w:t>
      </w:r>
      <w:r w:rsidR="00FD7D4E" w:rsidRPr="00742A04">
        <w:t xml:space="preserve"> de </w:t>
      </w:r>
      <w:r w:rsidR="00EB67BB" w:rsidRPr="00742A04">
        <w:t>un hijo</w:t>
      </w:r>
      <w:r w:rsidR="00545D1B" w:rsidRPr="00742A04">
        <w:t xml:space="preserve">. </w:t>
      </w:r>
      <w:r w:rsidR="00EB67BB" w:rsidRPr="00742A04">
        <w:t>También los padres o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EB67BB" w:rsidRPr="00742A04">
        <w:t>estén gozando de lic</w:t>
      </w:r>
      <w:r w:rsidR="00ED6A69" w:rsidRPr="00742A04">
        <w:t>encia</w:t>
      </w:r>
      <w:r w:rsidR="00545D1B" w:rsidRPr="00742A04">
        <w:t xml:space="preserve"> </w:t>
      </w:r>
      <w:r w:rsidR="00EB67BB" w:rsidRPr="00742A04">
        <w:t>durante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</w:t>
      </w:r>
      <w:r w:rsidR="00495D7B" w:rsidRPr="00742A04">
        <w:t>un</w:t>
      </w:r>
      <w:r w:rsidR="00545D1B" w:rsidRPr="00742A04">
        <w:t xml:space="preserve"> </w:t>
      </w:r>
      <w:r w:rsidR="004D313C" w:rsidRPr="00742A04">
        <w:t>año</w:t>
      </w:r>
      <w:r w:rsidR="003F7371" w:rsidRPr="003F7371">
        <w:t xml:space="preserve"> </w:t>
      </w:r>
      <w:r w:rsidR="003F7371" w:rsidRPr="00742A04">
        <w:t>están pr</w:t>
      </w:r>
      <w:r w:rsidR="003F7371" w:rsidRPr="00742A04">
        <w:t>o</w:t>
      </w:r>
      <w:r w:rsidR="003F7371" w:rsidRPr="00742A04">
        <w:t>tegidos contra el despido</w:t>
      </w:r>
      <w:r w:rsidR="00545D1B" w:rsidRPr="00742A04">
        <w:t xml:space="preserve">, </w:t>
      </w:r>
      <w:r w:rsidR="00EB67BB" w:rsidRPr="00742A04">
        <w:t>aunque</w:t>
      </w:r>
      <w:r w:rsidR="00545D1B" w:rsidRPr="00742A04">
        <w:t xml:space="preserve"> </w:t>
      </w:r>
      <w:r w:rsidR="00982243" w:rsidRPr="00742A04">
        <w:t>menos</w:t>
      </w:r>
      <w:r w:rsidR="00545D1B" w:rsidRPr="00742A04">
        <w:t xml:space="preserve"> </w:t>
      </w:r>
      <w:r w:rsidR="00EB67BB" w:rsidRPr="00742A04">
        <w:t>enérgicamente</w:t>
      </w:r>
      <w:r w:rsidR="00545D1B" w:rsidRPr="00742A04">
        <w:t xml:space="preserve">. </w:t>
      </w:r>
      <w:r w:rsidR="00831F07" w:rsidRPr="00742A04">
        <w:t xml:space="preserve">El </w:t>
      </w:r>
      <w:r w:rsidR="00EB67BB" w:rsidRPr="00742A04">
        <w:t xml:space="preserve">numeral 1 del párrafo segundo del </w:t>
      </w:r>
      <w:r w:rsidR="00831F07" w:rsidRPr="00742A04">
        <w:t xml:space="preserve">artículo </w:t>
      </w:r>
      <w:r w:rsidR="00545D1B" w:rsidRPr="00742A04">
        <w:t xml:space="preserve">3 </w:t>
      </w:r>
      <w:r w:rsidR="00F43124" w:rsidRPr="00742A04">
        <w:t xml:space="preserve">de la </w:t>
      </w:r>
      <w:r w:rsidR="00A05847" w:rsidRPr="00742A04">
        <w:t xml:space="preserve">Ley sobre la </w:t>
      </w:r>
      <w:r w:rsidR="00B31AE8" w:rsidRPr="00742A04">
        <w:t>Igualdad de Género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prote</w:t>
      </w:r>
      <w:r w:rsidR="00EB67BB" w:rsidRPr="00742A04">
        <w:t>ge e</w:t>
      </w:r>
      <w:r w:rsidR="00EB67BB" w:rsidRPr="00742A04">
        <w:t>x</w:t>
      </w:r>
      <w:r w:rsidR="00EB67BB" w:rsidRPr="00742A04">
        <w:t>presamente a</w:t>
      </w:r>
      <w:r w:rsidR="00545D1B" w:rsidRPr="00742A04">
        <w:t xml:space="preserve"> </w:t>
      </w:r>
      <w:r w:rsidR="00072AD7" w:rsidRPr="00742A04">
        <w:t>una mujer</w:t>
      </w:r>
      <w:r w:rsidR="00545D1B" w:rsidRPr="00742A04">
        <w:t xml:space="preserve"> </w:t>
      </w:r>
      <w:r w:rsidR="00EB67BB" w:rsidRPr="00742A04">
        <w:t>prohibiendo que por motivos de embarazo o nacimiento se le asigne un</w:t>
      </w:r>
      <w:r w:rsidR="00545D1B" w:rsidRPr="00742A04">
        <w:t xml:space="preserve"> </w:t>
      </w:r>
      <w:r w:rsidR="007E0DFE" w:rsidRPr="00742A04">
        <w:t>empleo</w:t>
      </w:r>
      <w:r w:rsidR="00545D1B" w:rsidRPr="00742A04">
        <w:t xml:space="preserve"> </w:t>
      </w:r>
      <w:r w:rsidR="00EB67BB" w:rsidRPr="00742A04">
        <w:t xml:space="preserve">peor </w:t>
      </w:r>
      <w:r w:rsidR="005C6D40" w:rsidRPr="00742A04">
        <w:t>que</w:t>
      </w:r>
      <w:r w:rsidR="00545D1B" w:rsidRPr="00742A04">
        <w:t xml:space="preserve"> </w:t>
      </w:r>
      <w:r w:rsidR="00EB67BB" w:rsidRPr="00742A04">
        <w:t>el que habría tenido de no ser por esas circun</w:t>
      </w:r>
      <w:r w:rsidR="00EB67BB" w:rsidRPr="00742A04">
        <w:t>s</w:t>
      </w:r>
      <w:r w:rsidR="00EB67BB" w:rsidRPr="00742A04">
        <w:t>tancias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2213CF" w:rsidRPr="00742A04">
        <w:t>los dos últimos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, </w:t>
      </w:r>
      <w:r w:rsidR="00EB67BB" w:rsidRPr="00742A04">
        <w:t>la</w:t>
      </w:r>
      <w:r w:rsidR="00545D1B" w:rsidRPr="00742A04">
        <w:t xml:space="preserve"> </w:t>
      </w:r>
      <w:r w:rsidR="00D75341" w:rsidRPr="00742A04">
        <w:t>anterior</w:t>
      </w:r>
      <w:r w:rsidR="00545D1B" w:rsidRPr="00742A04">
        <w:t xml:space="preserve"> </w:t>
      </w:r>
      <w:r w:rsidR="005E603B" w:rsidRPr="00742A04">
        <w:t xml:space="preserve">Ombudsman de </w:t>
      </w:r>
      <w:r w:rsidR="00B31AE8" w:rsidRPr="00742A04">
        <w:t>Igualdad de Género</w:t>
      </w:r>
      <w:r w:rsidR="00545D1B" w:rsidRPr="00742A04">
        <w:t xml:space="preserve"> </w:t>
      </w:r>
      <w:r w:rsidR="00EB67BB" w:rsidRPr="00742A04">
        <w:t>a</w:t>
      </w:r>
      <w:r w:rsidR="00EB67BB" w:rsidRPr="00742A04">
        <w:t>d</w:t>
      </w:r>
      <w:r w:rsidR="00EB67BB" w:rsidRPr="00742A04">
        <w:t>virtió un</w:t>
      </w:r>
      <w:r w:rsidR="00545D1B" w:rsidRPr="00742A04">
        <w:t xml:space="preserve"> </w:t>
      </w:r>
      <w:r w:rsidR="00C07ED9" w:rsidRPr="00742A04">
        <w:t>clar</w:t>
      </w:r>
      <w:r w:rsidR="00EB67BB" w:rsidRPr="00742A04">
        <w:t>o incremento de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EB67BB" w:rsidRPr="00742A04">
        <w:t xml:space="preserve">de </w:t>
      </w:r>
      <w:r w:rsidR="00072AD7" w:rsidRPr="00742A04">
        <w:t>mujeres</w:t>
      </w:r>
      <w:r w:rsidR="00545D1B" w:rsidRPr="00742A04">
        <w:t xml:space="preserve"> </w:t>
      </w:r>
      <w:r w:rsidR="00EB67BB" w:rsidRPr="00742A04">
        <w:t>que se sienten víctimas de</w:t>
      </w:r>
      <w:r w:rsidR="00545D1B" w:rsidRPr="00742A04">
        <w:t xml:space="preserve"> di</w:t>
      </w:r>
      <w:r w:rsidR="00545D1B" w:rsidRPr="00742A04">
        <w:t>s</w:t>
      </w:r>
      <w:r w:rsidR="00545D1B" w:rsidRPr="00742A04">
        <w:t>crimina</w:t>
      </w:r>
      <w:r w:rsidR="00EB67BB" w:rsidRPr="00742A04">
        <w:t>ción por estar</w:t>
      </w:r>
      <w:r w:rsidR="00545D1B" w:rsidRPr="00742A04">
        <w:t xml:space="preserve"> </w:t>
      </w:r>
      <w:r w:rsidR="002E5047" w:rsidRPr="00742A04">
        <w:t>embara</w:t>
      </w:r>
      <w:r w:rsidR="00EB67BB" w:rsidRPr="00742A04">
        <w:t>zadas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2003</w:t>
      </w:r>
      <w:r w:rsidR="00A93B9E" w:rsidRPr="00742A04">
        <w:t xml:space="preserve">, la </w:t>
      </w:r>
      <w:r w:rsidR="00A836A1" w:rsidRPr="00742A04">
        <w:t>Ombudsman</w:t>
      </w:r>
      <w:r w:rsidR="00545D1B" w:rsidRPr="00742A04">
        <w:t xml:space="preserve"> </w:t>
      </w:r>
      <w:r w:rsidR="00EB67BB" w:rsidRPr="00742A04">
        <w:t>consideró</w:t>
      </w:r>
      <w:r w:rsidR="00545D1B" w:rsidRPr="00742A04">
        <w:t xml:space="preserve"> 74 </w:t>
      </w:r>
      <w:r w:rsidR="008A2682" w:rsidRPr="00742A04">
        <w:t>casos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F2F8A" w:rsidRPr="00742A04">
        <w:t>este tipo</w:t>
      </w:r>
      <w:r w:rsidR="00545D1B" w:rsidRPr="00742A04">
        <w:t xml:space="preserve">. </w:t>
      </w:r>
      <w:r w:rsidR="00EB67BB" w:rsidRPr="00742A04">
        <w:t>Un</w:t>
      </w:r>
      <w:r w:rsidR="00545D1B" w:rsidRPr="00742A04">
        <w:t xml:space="preserve"> </w:t>
      </w:r>
      <w:r w:rsidR="004D313C" w:rsidRPr="00742A04">
        <w:t>año</w:t>
      </w:r>
      <w:r w:rsidR="00545D1B" w:rsidRPr="00742A04">
        <w:t xml:space="preserve"> </w:t>
      </w:r>
      <w:r w:rsidR="00EB67BB" w:rsidRPr="00742A04">
        <w:t xml:space="preserve">después, </w:t>
      </w:r>
      <w:r w:rsidR="00982243" w:rsidRPr="00742A04">
        <w:t>la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ha</w:t>
      </w:r>
      <w:r w:rsidR="00EB67BB" w:rsidRPr="00742A04">
        <w:t>bía aumentado a</w:t>
      </w:r>
      <w:r w:rsidR="00FD7D4E" w:rsidRPr="00742A04">
        <w:t xml:space="preserve"> </w:t>
      </w:r>
      <w:r w:rsidR="00545D1B" w:rsidRPr="00742A04">
        <w:t xml:space="preserve">113. </w:t>
      </w:r>
      <w:r w:rsidR="00F43124" w:rsidRPr="00742A04">
        <w:t>Hay</w:t>
      </w:r>
      <w:r w:rsidR="00545D1B" w:rsidRPr="00742A04">
        <w:t xml:space="preserve"> </w:t>
      </w:r>
      <w:r w:rsidR="00EB67BB" w:rsidRPr="00742A04">
        <w:t>mucha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EB67BB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B67BB" w:rsidRPr="00742A04">
        <w:t xml:space="preserve">el </w:t>
      </w:r>
      <w:r w:rsidR="002E5047" w:rsidRPr="00742A04">
        <w:t>embarazo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EB67BB" w:rsidRPr="00742A04">
        <w:t>en las</w:t>
      </w:r>
      <w:r w:rsidR="00545D1B" w:rsidRPr="00742A04">
        <w:t xml:space="preserve"> </w:t>
      </w:r>
      <w:r w:rsidR="00EB67BB" w:rsidRPr="00742A04">
        <w:t>e</w:t>
      </w:r>
      <w:r w:rsidR="00EB67BB" w:rsidRPr="00742A04">
        <w:t>n</w:t>
      </w:r>
      <w:r w:rsidR="00EB67BB" w:rsidRPr="00742A04">
        <w:t>trevista de empleo se pregunta a</w:t>
      </w:r>
      <w:r w:rsidR="00545D1B" w:rsidRPr="00742A04">
        <w:t xml:space="preserve"> </w:t>
      </w:r>
      <w:r w:rsidR="00EB67BB" w:rsidRPr="00742A04">
        <w:t>muchas mujeres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EB67BB" w:rsidRPr="00742A04">
        <w:t>están embarazadas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EB67BB" w:rsidRPr="00742A04">
        <w:t>piensan quedar emb</w:t>
      </w:r>
      <w:r w:rsidR="00EB67BB" w:rsidRPr="00742A04">
        <w:t>a</w:t>
      </w:r>
      <w:r w:rsidR="00EB67BB" w:rsidRPr="00742A04">
        <w:t>razadas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C1BF5" w:rsidRPr="00742A04">
        <w:t>los próximos años</w:t>
      </w:r>
      <w:r w:rsidR="00545D1B" w:rsidRPr="00742A04">
        <w:t xml:space="preserve">. </w:t>
      </w:r>
      <w:r w:rsidR="00A05847" w:rsidRPr="00742A04">
        <w:t xml:space="preserve">La Ley sobre la </w:t>
      </w:r>
      <w:r w:rsidR="00B31AE8" w:rsidRPr="00742A04">
        <w:t>Igualdad de Género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894371" w:rsidRPr="00742A04">
        <w:t>interpretada</w:t>
      </w:r>
      <w:r w:rsidR="00545D1B" w:rsidRPr="00742A04">
        <w:t xml:space="preserve"> </w:t>
      </w:r>
      <w:r w:rsidR="00EB67BB" w:rsidRPr="00742A04">
        <w:t>actualmente en el sentido de que</w:t>
      </w:r>
      <w:r w:rsidR="00545D1B" w:rsidRPr="00742A04">
        <w:t xml:space="preserve"> </w:t>
      </w:r>
      <w:r w:rsidR="0056679F" w:rsidRPr="00742A04">
        <w:t>normalmente</w:t>
      </w:r>
      <w:r w:rsidR="00545D1B" w:rsidRPr="00742A04">
        <w:t xml:space="preserve"> </w:t>
      </w:r>
      <w:r w:rsidR="00EB67BB" w:rsidRPr="00742A04">
        <w:t>no es legítimo preguntar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EB67BB" w:rsidRPr="00742A04">
        <w:t>una e</w:t>
      </w:r>
      <w:r w:rsidR="00EB67BB" w:rsidRPr="00742A04">
        <w:t>m</w:t>
      </w:r>
      <w:r w:rsidR="00EB67BB" w:rsidRPr="00742A04">
        <w:t>pleada</w:t>
      </w:r>
      <w:r w:rsidR="00545D1B" w:rsidRPr="00742A04">
        <w:t xml:space="preserve"> </w:t>
      </w:r>
      <w:r w:rsidR="00EB67BB" w:rsidRPr="00742A04">
        <w:t>está embarazada o piensa tener un hijo en el</w:t>
      </w:r>
      <w:r w:rsidR="00545D1B" w:rsidRPr="00742A04">
        <w:t xml:space="preserve"> f</w:t>
      </w:r>
      <w:r w:rsidR="00545D1B" w:rsidRPr="00742A04">
        <w:t>u</w:t>
      </w:r>
      <w:r w:rsidR="00EB67BB" w:rsidRPr="00742A04">
        <w:t>turo próximo</w:t>
      </w:r>
      <w:r w:rsidR="00545D1B" w:rsidRPr="00742A04">
        <w:t>.</w:t>
      </w:r>
    </w:p>
    <w:p w:rsidR="000A08D8" w:rsidRPr="00742A04" w:rsidRDefault="00894371" w:rsidP="00D574C4">
      <w:pPr>
        <w:pStyle w:val="SingleTxt"/>
        <w:ind w:firstLine="475"/>
      </w:pPr>
      <w:r w:rsidRPr="00742A04">
        <w:t xml:space="preserve">El objetivo de la Ley sobre el Ambiente de Trabajo es asegurar un ambiente de trabajo plenamente adecuado para los empleados, y el empleador tiene el deber </w:t>
      </w:r>
      <w:r>
        <w:t>de</w:t>
      </w:r>
      <w:r w:rsidRPr="00742A04">
        <w:t xml:space="preserve"> adapt</w:t>
      </w:r>
      <w:r>
        <w:t>ar</w:t>
      </w:r>
      <w:r w:rsidRPr="00742A04">
        <w:t xml:space="preserve"> el trabajo de una mujer embarazada o reubicarla si ella no puede continuar en su empleo normal por razones de salud. </w:t>
      </w:r>
      <w:r w:rsidR="00DF79E5" w:rsidRPr="00742A04">
        <w:t>Lo mismo</w:t>
      </w:r>
      <w:r w:rsidR="00545D1B" w:rsidRPr="00742A04">
        <w:t xml:space="preserve"> </w:t>
      </w:r>
      <w:r w:rsidR="008E5EBF" w:rsidRPr="00742A04">
        <w:t>se 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116976" w:rsidRPr="00742A04">
        <w:t>las mujeres emb</w:t>
      </w:r>
      <w:r w:rsidR="00116976" w:rsidRPr="00742A04">
        <w:t>a</w:t>
      </w:r>
      <w:r w:rsidR="00116976" w:rsidRPr="00742A04">
        <w:t>razadas</w:t>
      </w:r>
      <w:r w:rsidR="00DF79E5" w:rsidRPr="00742A04">
        <w:t xml:space="preserve"> sanas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DF79E5" w:rsidRPr="00742A04">
        <w:t>realicen un</w:t>
      </w:r>
      <w:r w:rsidR="00116976" w:rsidRPr="00742A04">
        <w:t xml:space="preserve"> trabajo</w:t>
      </w:r>
      <w:r w:rsidR="00545D1B" w:rsidRPr="00742A04">
        <w:t xml:space="preserve"> </w:t>
      </w:r>
      <w:r w:rsidR="00DF79E5" w:rsidRPr="00742A04">
        <w:t>que puede poner en riesgo 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DF79E5" w:rsidRPr="00742A04">
        <w:t>l</w:t>
      </w:r>
      <w:r w:rsidR="00545D1B" w:rsidRPr="00742A04">
        <w:t xml:space="preserve"> f</w:t>
      </w:r>
      <w:r w:rsidR="00545D1B" w:rsidRPr="00742A04">
        <w:t>e</w:t>
      </w:r>
      <w:r w:rsidR="00545D1B" w:rsidRPr="00742A04">
        <w:t>t</w:t>
      </w:r>
      <w:r w:rsidR="00DF79E5" w:rsidRPr="00742A04">
        <w:t>o</w:t>
      </w:r>
      <w:r w:rsidR="00545D1B" w:rsidRPr="00742A04">
        <w:t xml:space="preserve">. </w:t>
      </w:r>
      <w:r w:rsidR="00E574AD" w:rsidRPr="00742A04">
        <w:t>Con arreglo</w:t>
      </w:r>
      <w:r w:rsidR="00DF79E5" w:rsidRPr="00742A04">
        <w:t xml:space="preserve"> a l</w:t>
      </w:r>
      <w:r w:rsidR="001E30D6" w:rsidRPr="00742A04">
        <w:t xml:space="preserve">a </w:t>
      </w:r>
      <w:r w:rsidR="00E574AD" w:rsidRPr="00742A04">
        <w:t>Ley</w:t>
      </w:r>
      <w:r w:rsidR="00963214" w:rsidRPr="00742A04">
        <w:t xml:space="preserve"> </w:t>
      </w:r>
      <w:r w:rsidR="00AF398C" w:rsidRPr="00742A04">
        <w:t>sobre el Ambiente de Trabajo</w:t>
      </w:r>
      <w:r w:rsidR="00545D1B" w:rsidRPr="00742A04">
        <w:t xml:space="preserve">, </w:t>
      </w:r>
      <w:r w:rsidR="00DF79E5" w:rsidRPr="00742A04">
        <w:t xml:space="preserve">se ha dictado un reglamento </w:t>
      </w:r>
      <w:r w:rsidR="00545D1B" w:rsidRPr="00742A04">
        <w:t xml:space="preserve">general </w:t>
      </w:r>
      <w:r w:rsidR="00DF79E5" w:rsidRPr="00742A04">
        <w:t>relativo</w:t>
      </w:r>
      <w:r w:rsidR="00EA6AC2" w:rsidRPr="00742A04">
        <w:t xml:space="preserve"> a</w:t>
      </w:r>
      <w:r w:rsidR="00545D1B" w:rsidRPr="00742A04">
        <w:t xml:space="preserve"> </w:t>
      </w:r>
      <w:r w:rsidR="00DF79E5" w:rsidRPr="00742A04">
        <w:t xml:space="preserve">las lesiones </w:t>
      </w:r>
      <w:r w:rsidR="00545D1B" w:rsidRPr="00742A04">
        <w:t>reproductiv</w:t>
      </w:r>
      <w:r w:rsidR="00DF79E5" w:rsidRPr="00742A04">
        <w:t>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F79E5" w:rsidRPr="00742A04">
        <w:t xml:space="preserve">el </w:t>
      </w:r>
      <w:r w:rsidR="00837D84" w:rsidRPr="00742A04">
        <w:t>ambiente de trabajo</w:t>
      </w:r>
      <w:r w:rsidR="00545D1B" w:rsidRPr="00742A04">
        <w:t xml:space="preserve"> (1995). </w:t>
      </w:r>
      <w:r w:rsidR="00DB2F4E" w:rsidRPr="00742A04">
        <w:t>El</w:t>
      </w:r>
      <w:r w:rsidR="00545D1B" w:rsidRPr="00742A04">
        <w:t xml:space="preserve"> r</w:t>
      </w:r>
      <w:r w:rsidR="00545D1B" w:rsidRPr="00742A04">
        <w:t>e</w:t>
      </w:r>
      <w:r w:rsidR="00545D1B" w:rsidRPr="00742A04">
        <w:t>gla</w:t>
      </w:r>
      <w:r w:rsidR="00DB2F4E" w:rsidRPr="00742A04">
        <w:t>mento</w:t>
      </w:r>
      <w:r w:rsidR="00545D1B" w:rsidRPr="00742A04">
        <w:t xml:space="preserve"> </w:t>
      </w:r>
      <w:r w:rsidR="00DB2F4E" w:rsidRPr="00742A04">
        <w:t xml:space="preserve">está </w:t>
      </w:r>
      <w:r w:rsidR="00545D1B" w:rsidRPr="00742A04">
        <w:t>formula</w:t>
      </w:r>
      <w:r w:rsidR="00DB2F4E" w:rsidRPr="00742A04">
        <w:t>do de manera</w:t>
      </w:r>
      <w:r w:rsidR="00545D1B" w:rsidRPr="00742A04">
        <w:t xml:space="preserve"> </w:t>
      </w:r>
      <w:r w:rsidR="00502E16" w:rsidRPr="00742A04">
        <w:t>tal</w:t>
      </w:r>
      <w:r w:rsidR="00545D1B" w:rsidRPr="00742A04">
        <w:t xml:space="preserve"> </w:t>
      </w:r>
      <w:r w:rsidR="00024DBC" w:rsidRPr="00742A04">
        <w:t>que</w:t>
      </w:r>
      <w:r w:rsidR="009D1A12" w:rsidRPr="00742A04">
        <w:t xml:space="preserve"> todos los </w:t>
      </w:r>
      <w:r w:rsidR="00657260" w:rsidRPr="00742A04">
        <w:t>factores</w:t>
      </w:r>
      <w:r w:rsidR="00545D1B" w:rsidRPr="00742A04">
        <w:t xml:space="preserve"> </w:t>
      </w:r>
      <w:r w:rsidR="00DB2F4E" w:rsidRPr="00742A04">
        <w:t>del</w:t>
      </w:r>
      <w:r w:rsidR="00545D1B" w:rsidRPr="00742A04">
        <w:t xml:space="preserve"> </w:t>
      </w:r>
      <w:r w:rsidR="00837D84" w:rsidRPr="00742A04">
        <w:t>ambiente de trab</w:t>
      </w:r>
      <w:r w:rsidR="00837D84" w:rsidRPr="00742A04">
        <w:t>a</w:t>
      </w:r>
      <w:r w:rsidR="00837D84" w:rsidRPr="00742A04">
        <w:t>jo</w:t>
      </w:r>
      <w:r w:rsidR="00545D1B" w:rsidRPr="00742A04">
        <w:t xml:space="preserve"> </w:t>
      </w:r>
      <w:r w:rsidR="00DB2F4E" w:rsidRPr="00742A04">
        <w:t>que puedan plantear un</w:t>
      </w:r>
      <w:r w:rsidR="00545D1B" w:rsidRPr="00742A04">
        <w:t xml:space="preserve"> </w:t>
      </w:r>
      <w:r w:rsidR="00DB2F4E" w:rsidRPr="00742A04">
        <w:t>riesgo</w:t>
      </w:r>
      <w:r w:rsidR="00545D1B" w:rsidRPr="00742A04">
        <w:t xml:space="preserve"> </w:t>
      </w:r>
      <w:r w:rsidR="00DB2F4E" w:rsidRPr="00742A04">
        <w:t>par</w:t>
      </w:r>
      <w:r w:rsidR="0030626A" w:rsidRPr="00742A04">
        <w:t>a</w:t>
      </w:r>
      <w:r w:rsidR="00545D1B" w:rsidRPr="00742A04">
        <w:t xml:space="preserve"> </w:t>
      </w:r>
      <w:r w:rsidR="00DB2F4E" w:rsidRPr="00742A04">
        <w:t>la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4A0730" w:rsidRPr="00742A04">
        <w:t>de</w:t>
      </w:r>
      <w:r w:rsidR="00DB2F4E" w:rsidRPr="00742A04">
        <w:t>l</w:t>
      </w:r>
      <w:r w:rsidR="00545D1B" w:rsidRPr="00742A04">
        <w:t xml:space="preserve"> fet</w:t>
      </w:r>
      <w:r w:rsidR="00DB2F4E" w:rsidRPr="00742A04">
        <w:t>o</w:t>
      </w:r>
      <w:r w:rsidR="00545D1B" w:rsidRPr="00742A04">
        <w:t xml:space="preserve"> </w:t>
      </w:r>
      <w:r w:rsidR="00DB2F4E" w:rsidRPr="00742A04">
        <w:t>constituyen</w:t>
      </w:r>
      <w:r w:rsidR="00545D1B" w:rsidRPr="00742A04">
        <w:t xml:space="preserve"> </w:t>
      </w:r>
      <w:r w:rsidR="006137EC" w:rsidRPr="00742A04">
        <w:t xml:space="preserve">fundamentos </w:t>
      </w:r>
      <w:r w:rsidR="00DB2F4E" w:rsidRPr="00742A04">
        <w:t>para la</w:t>
      </w:r>
      <w:r w:rsidR="00545D1B" w:rsidRPr="00742A04">
        <w:t xml:space="preserve"> re</w:t>
      </w:r>
      <w:r w:rsidR="00DB2F4E" w:rsidRPr="00742A04">
        <w:t>ubi</w:t>
      </w:r>
      <w:r w:rsidR="00545D1B" w:rsidRPr="00742A04">
        <w:t>ca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E574AD" w:rsidRPr="00742A04">
        <w:t>Con arreglo</w:t>
      </w:r>
      <w:r w:rsidR="001C0C03" w:rsidRPr="00742A04">
        <w:t xml:space="preserve"> a l</w:t>
      </w:r>
      <w:r w:rsidR="001E30D6" w:rsidRPr="00742A04">
        <w:t xml:space="preserve">a </w:t>
      </w:r>
      <w:r w:rsidR="00E574AD" w:rsidRPr="00742A04">
        <w:t>Ley</w:t>
      </w:r>
      <w:r w:rsidR="00963214" w:rsidRPr="00742A04">
        <w:t xml:space="preserve"> </w:t>
      </w:r>
      <w:r w:rsidR="00AF398C" w:rsidRPr="00742A04">
        <w:t>sobre el Ambiente de Trabajo</w:t>
      </w:r>
      <w:r w:rsidR="00545D1B" w:rsidRPr="00742A04">
        <w:t xml:space="preserve">, </w:t>
      </w:r>
      <w:r w:rsidR="0030626A" w:rsidRPr="00742A04">
        <w:t>también</w:t>
      </w:r>
      <w:r w:rsidR="001C0C03" w:rsidRPr="00742A04">
        <w:t xml:space="preserve"> hay</w:t>
      </w:r>
      <w:r w:rsidR="00545D1B" w:rsidRPr="00742A04">
        <w:t xml:space="preserve"> r</w:t>
      </w:r>
      <w:r w:rsidR="00545D1B" w:rsidRPr="00742A04">
        <w:t>e</w:t>
      </w:r>
      <w:r w:rsidR="00545D1B" w:rsidRPr="00742A04">
        <w:t>gla</w:t>
      </w:r>
      <w:r w:rsidR="001C0C03" w:rsidRPr="00742A04">
        <w:t>mentos</w:t>
      </w:r>
      <w:r w:rsidR="00545D1B" w:rsidRPr="00742A04">
        <w:t xml:space="preserve"> </w:t>
      </w:r>
      <w:r w:rsidR="00EA6AC2" w:rsidRPr="00742A04">
        <w:t>relativos</w:t>
      </w:r>
      <w:r w:rsidR="00CF2F77" w:rsidRPr="00742A04">
        <w:t xml:space="preserve"> a</w:t>
      </w:r>
      <w:r w:rsidR="001C0C03" w:rsidRPr="00742A04">
        <w:t>l</w:t>
      </w:r>
      <w:r w:rsidR="00CF2F77" w:rsidRPr="00742A04">
        <w:t xml:space="preserve"> trabaj</w:t>
      </w:r>
      <w:r w:rsidR="001C0C03" w:rsidRPr="00742A04">
        <w:t>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radia</w:t>
      </w:r>
      <w:r w:rsidR="00935A90" w:rsidRPr="00742A04">
        <w:t>ci</w:t>
      </w:r>
      <w:r w:rsidR="001C0C03" w:rsidRPr="00742A04">
        <w:t>ones ionizantes</w:t>
      </w:r>
      <w:r w:rsidR="00935A90" w:rsidRPr="00742A04">
        <w:t>,</w:t>
      </w:r>
      <w:r w:rsidR="00545D1B" w:rsidRPr="00742A04">
        <w:t xml:space="preserve"> c</w:t>
      </w:r>
      <w:r w:rsidR="001C0C03" w:rsidRPr="00742A04">
        <w:t>itostáticos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gases</w:t>
      </w:r>
      <w:r w:rsidR="001C0C03" w:rsidRPr="00742A04">
        <w:t xml:space="preserve"> narc</w:t>
      </w:r>
      <w:r w:rsidR="001C0C03" w:rsidRPr="00742A04">
        <w:t>ó</w:t>
      </w:r>
      <w:r w:rsidR="001C0C03" w:rsidRPr="00742A04">
        <w:t>ticos</w:t>
      </w:r>
      <w:r w:rsidR="00545D1B" w:rsidRPr="00742A04">
        <w:t xml:space="preserve">. </w:t>
      </w:r>
      <w:r w:rsidRPr="00742A04">
        <w:t>También hay reglamentos especiales para las mujeres</w:t>
      </w:r>
      <w:r>
        <w:t xml:space="preserve"> que trabajan</w:t>
      </w:r>
      <w:r w:rsidRPr="00742A04">
        <w:t xml:space="preserve"> en el mar, en el aire o en la industria del petróleo.</w:t>
      </w:r>
    </w:p>
    <w:p w:rsidR="00AA16E7" w:rsidRPr="00742A04" w:rsidRDefault="00AA16E7" w:rsidP="00AA16E7">
      <w:pPr>
        <w:pStyle w:val="H23"/>
        <w:spacing w:line="120" w:lineRule="exact"/>
        <w:ind w:left="1267"/>
        <w:rPr>
          <w:bCs/>
          <w:sz w:val="10"/>
        </w:rPr>
      </w:pPr>
      <w:bookmarkStart w:id="61" w:name="_Toc147129476"/>
    </w:p>
    <w:p w:rsidR="00AA16E7" w:rsidRPr="00742A04" w:rsidRDefault="00814B5D" w:rsidP="00AA607E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AA16E7" w:rsidRPr="00742A04">
        <w:rPr>
          <w:bCs/>
        </w:rPr>
        <w:t xml:space="preserve"> 11.2</w:t>
      </w:r>
      <w:r w:rsidR="00AA607E" w:rsidRPr="00742A04">
        <w:rPr>
          <w:bCs/>
        </w:rPr>
        <w:t xml:space="preserve"> </w:t>
      </w:r>
      <w:r w:rsidR="00AA16E7" w:rsidRPr="00742A04">
        <w:rPr>
          <w:bCs/>
          <w:i/>
        </w:rPr>
        <w:t>b</w:t>
      </w:r>
    </w:p>
    <w:p w:rsidR="00545D1B" w:rsidRPr="00742A04" w:rsidRDefault="00B83FEB" w:rsidP="00AA607E">
      <w:pPr>
        <w:pStyle w:val="H23"/>
        <w:ind w:left="1267"/>
        <w:rPr>
          <w:bCs/>
        </w:rPr>
      </w:pPr>
      <w:r w:rsidRPr="00742A04">
        <w:rPr>
          <w:bCs/>
        </w:rPr>
        <w:t>Licencia por embarazo y parto</w:t>
      </w:r>
      <w:bookmarkEnd w:id="61"/>
    </w:p>
    <w:p w:rsidR="00AA16E7" w:rsidRPr="00742A04" w:rsidRDefault="00AA16E7" w:rsidP="00AA16E7">
      <w:pPr>
        <w:pStyle w:val="SingleTxt"/>
        <w:spacing w:after="0" w:line="120" w:lineRule="exact"/>
        <w:rPr>
          <w:sz w:val="10"/>
        </w:rPr>
      </w:pPr>
    </w:p>
    <w:p w:rsidR="000A08D8" w:rsidRPr="00742A04" w:rsidRDefault="004A0730" w:rsidP="00D574C4">
      <w:pPr>
        <w:pStyle w:val="SingleTxt"/>
        <w:ind w:firstLine="475"/>
      </w:pPr>
      <w:r w:rsidRPr="00742A04">
        <w:t>En</w:t>
      </w:r>
      <w:r w:rsidR="00545D1B" w:rsidRPr="00742A04">
        <w:t xml:space="preserve"> 2001, </w:t>
      </w:r>
      <w:r w:rsidR="001C0C03" w:rsidRPr="00742A04">
        <w:t>nacieron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1C0C03" w:rsidRPr="00742A04">
        <w:t xml:space="preserve">56.951 niños </w:t>
      </w:r>
      <w:r w:rsidR="00877AA0" w:rsidRPr="00742A04">
        <w:t>y</w:t>
      </w:r>
      <w:r w:rsidR="00545D1B" w:rsidRPr="00742A04">
        <w:t xml:space="preserve"> </w:t>
      </w:r>
      <w:r w:rsidR="001C0C03" w:rsidRPr="00742A04">
        <w:t>la tasa de fecundidad</w:t>
      </w:r>
      <w:r w:rsidR="00545D1B" w:rsidRPr="00742A04">
        <w:t xml:space="preserve"> </w:t>
      </w:r>
      <w:r w:rsidR="001C0C03" w:rsidRPr="00742A04">
        <w:t>fue de 1,</w:t>
      </w:r>
      <w:r w:rsidR="00545D1B" w:rsidRPr="00742A04">
        <w:t xml:space="preserve">83. </w:t>
      </w:r>
      <w:r w:rsidRPr="00742A04">
        <w:t>En</w:t>
      </w:r>
      <w:r w:rsidR="00545D1B" w:rsidRPr="00742A04">
        <w:t xml:space="preserve"> 2005 </w:t>
      </w:r>
      <w:r w:rsidR="001C0C03" w:rsidRPr="00742A04">
        <w:t>la tasa de fecundidad</w:t>
      </w:r>
      <w:r w:rsidR="00545D1B" w:rsidRPr="00742A04">
        <w:t xml:space="preserve"> </w:t>
      </w:r>
      <w:r w:rsidR="001C0C03" w:rsidRPr="00742A04">
        <w:t>fue de 1,</w:t>
      </w:r>
      <w:r w:rsidR="00545D1B" w:rsidRPr="00742A04">
        <w:t xml:space="preserve">84. </w:t>
      </w:r>
      <w:r w:rsidR="001C0C03" w:rsidRPr="00742A04">
        <w:t xml:space="preserve">El </w:t>
      </w:r>
      <w:r w:rsidR="00545D1B" w:rsidRPr="00742A04">
        <w:t>75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1C0C03" w:rsidRPr="00742A04">
        <w:t>hij</w:t>
      </w:r>
      <w:r w:rsidR="002F3238" w:rsidRPr="00742A04">
        <w:t>os</w:t>
      </w:r>
      <w:r w:rsidR="00545D1B" w:rsidRPr="00742A04">
        <w:t xml:space="preserve"> </w:t>
      </w:r>
      <w:r w:rsidR="001C0C03" w:rsidRPr="00742A04">
        <w:t>de uno a dos años de edad</w:t>
      </w:r>
      <w:r w:rsidR="00545D1B" w:rsidRPr="00742A04">
        <w:t xml:space="preserve"> </w:t>
      </w:r>
      <w:r w:rsidR="001A2831" w:rsidRPr="00742A04">
        <w:t>esta</w:t>
      </w:r>
      <w:r w:rsidR="001C0C03" w:rsidRPr="00742A04">
        <w:t>ban empleada</w:t>
      </w:r>
      <w:r w:rsidR="001A2831" w:rsidRPr="00742A04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C0C03" w:rsidRPr="00742A04">
        <w:t xml:space="preserve">el </w:t>
      </w:r>
      <w:r w:rsidR="00545D1B" w:rsidRPr="00742A04">
        <w:t>41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1C0C03" w:rsidRPr="00742A04">
        <w:t>ella</w:t>
      </w:r>
      <w:r w:rsidR="00E83B7A" w:rsidRPr="00742A04">
        <w:t>s</w:t>
      </w:r>
      <w:r w:rsidR="00545D1B" w:rsidRPr="00742A04">
        <w:t xml:space="preserve"> </w:t>
      </w:r>
      <w:r w:rsidR="00E73E8E" w:rsidRPr="00742A04">
        <w:t>e</w:t>
      </w:r>
      <w:r w:rsidR="001C0C03" w:rsidRPr="00742A04">
        <w:t>stab</w:t>
      </w:r>
      <w:r w:rsidR="00E73E8E" w:rsidRPr="00742A04">
        <w:t>an</w:t>
      </w:r>
      <w:r w:rsidR="00545D1B" w:rsidRPr="00742A04">
        <w:t xml:space="preserve"> </w:t>
      </w:r>
      <w:r w:rsidR="002232C2" w:rsidRPr="00742A04">
        <w:t>trabajan</w:t>
      </w:r>
      <w:r w:rsidR="001C0C03" w:rsidRPr="00742A04">
        <w:t>do</w:t>
      </w:r>
      <w:r w:rsidR="00545D1B" w:rsidRPr="00742A04">
        <w:t xml:space="preserve"> </w:t>
      </w:r>
      <w:r w:rsidR="001633F4" w:rsidRPr="00742A04">
        <w:t>a tiempo parcial</w:t>
      </w:r>
      <w:r w:rsidR="00545D1B" w:rsidRPr="00742A04">
        <w:t xml:space="preserve">. </w:t>
      </w:r>
      <w:r w:rsidR="008B638E" w:rsidRPr="00742A04">
        <w:t xml:space="preserve">El derecho </w:t>
      </w:r>
      <w:r w:rsidR="0030626A" w:rsidRPr="00742A04">
        <w:t>a</w:t>
      </w:r>
      <w:r w:rsidR="00545D1B" w:rsidRPr="00742A04">
        <w:t xml:space="preserve"> </w:t>
      </w:r>
      <w:r w:rsidR="00C01C28" w:rsidRPr="00742A04">
        <w:t>licencia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C6742" w:rsidRPr="00742A04">
        <w:t xml:space="preserve">el derecho </w:t>
      </w:r>
      <w:r w:rsidR="0030626A" w:rsidRPr="00742A04">
        <w:t>a</w:t>
      </w:r>
      <w:r w:rsidR="00545D1B" w:rsidRPr="00742A04">
        <w:t xml:space="preserve"> </w:t>
      </w:r>
      <w:r w:rsidR="00C01C28" w:rsidRPr="00742A04">
        <w:t>licencia remunerada</w:t>
      </w:r>
      <w:r w:rsidR="00545D1B" w:rsidRPr="00742A04">
        <w:t xml:space="preserve"> (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7B45F5" w:rsidRPr="00742A04">
        <w:t>el nacimiento</w:t>
      </w:r>
      <w:r w:rsidR="00545D1B" w:rsidRPr="00742A04">
        <w:t xml:space="preserve"> </w:t>
      </w:r>
      <w:r w:rsidR="00877AA0" w:rsidRPr="00742A04">
        <w:t>y</w:t>
      </w:r>
      <w:r w:rsidR="00C01C28" w:rsidRPr="00742A04">
        <w:t xml:space="preserve"> la</w:t>
      </w:r>
      <w:r w:rsidR="00545D1B" w:rsidRPr="00742A04">
        <w:t xml:space="preserve"> </w:t>
      </w:r>
      <w:r w:rsidR="00C01C28" w:rsidRPr="00742A04">
        <w:t>adopción</w:t>
      </w:r>
      <w:r w:rsidR="00545D1B" w:rsidRPr="00742A04">
        <w:t xml:space="preserve">) </w:t>
      </w:r>
      <w:r w:rsidR="006137EC" w:rsidRPr="00742A04">
        <w:t>son</w:t>
      </w:r>
      <w:r w:rsidR="00545D1B" w:rsidRPr="00742A04">
        <w:t xml:space="preserve"> </w:t>
      </w:r>
      <w:r w:rsidR="00C01C28" w:rsidRPr="00742A04">
        <w:t>fundamentales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C01C28" w:rsidRPr="00742A04">
        <w:t>dar a los padres y madres</w:t>
      </w:r>
      <w:r w:rsidR="00545D1B" w:rsidRPr="00742A04">
        <w:t xml:space="preserve"> </w:t>
      </w:r>
      <w:r w:rsidR="00C01C28" w:rsidRPr="00742A04">
        <w:t>l</w:t>
      </w:r>
      <w:r w:rsidR="0030626A" w:rsidRPr="00742A04">
        <w:t>a</w:t>
      </w:r>
      <w:r w:rsidR="00C01C28" w:rsidRPr="00742A04">
        <w:t xml:space="preserve"> posibilidad de</w:t>
      </w:r>
      <w:r w:rsidR="00545D1B" w:rsidRPr="00742A04">
        <w:t xml:space="preserve"> combin</w:t>
      </w:r>
      <w:r w:rsidR="00C01C28" w:rsidRPr="00742A04">
        <w:t>ar</w:t>
      </w:r>
      <w:r w:rsidR="00545D1B" w:rsidRPr="00742A04">
        <w:t xml:space="preserve"> </w:t>
      </w:r>
      <w:r w:rsidR="00116976" w:rsidRPr="00742A04">
        <w:t>el trabajo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C01C28" w:rsidRPr="00742A04">
        <w:t>el cuidado de los hijos pequeños</w:t>
      </w:r>
      <w:r w:rsidR="000A08D8" w:rsidRPr="00742A04">
        <w:t>.</w:t>
      </w:r>
    </w:p>
    <w:p w:rsidR="000A08D8" w:rsidRPr="00742A04" w:rsidRDefault="00C01C28" w:rsidP="00D574C4">
      <w:pPr>
        <w:pStyle w:val="SingleTxt"/>
        <w:ind w:firstLine="475"/>
      </w:pPr>
      <w:r w:rsidRPr="00742A04">
        <w:t>Con arreglo a la Ley sobre el Ambiente</w:t>
      </w:r>
      <w:r w:rsidR="00AF398C" w:rsidRPr="00742A04">
        <w:t xml:space="preserve"> de Trabajo</w:t>
      </w:r>
      <w:r w:rsidR="00545D1B" w:rsidRPr="00742A04">
        <w:t xml:space="preserve">, </w:t>
      </w:r>
      <w:r w:rsidRPr="00742A04">
        <w:t>el padre y la madre tienen</w:t>
      </w:r>
      <w:r w:rsidR="00545D1B" w:rsidRPr="00742A04">
        <w:t xml:space="preserve"> </w:t>
      </w:r>
      <w:r w:rsidR="006E0918" w:rsidRPr="00742A04">
        <w:t>el mismo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licencia hasta por</w:t>
      </w:r>
      <w:r w:rsidR="00545D1B" w:rsidRPr="00742A04">
        <w:t xml:space="preserve"> </w:t>
      </w:r>
      <w:r w:rsidRPr="00742A04">
        <w:t>un año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7B45F5" w:rsidRPr="00742A04">
        <w:t>el nacimiento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a</w:t>
      </w:r>
      <w:r w:rsidR="00545D1B" w:rsidRPr="00742A04">
        <w:t>dop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7D4688" w:rsidRPr="00742A04">
        <w:t>Cada</w:t>
      </w:r>
      <w:r w:rsidR="00545D1B" w:rsidRPr="00742A04">
        <w:t xml:space="preserve"> </w:t>
      </w:r>
      <w:r w:rsidRPr="00742A04">
        <w:t>uno de ellos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Pr="00742A04">
        <w:t>tiene</w:t>
      </w:r>
      <w:r w:rsidR="001C6742" w:rsidRPr="00742A04">
        <w:t xml:space="preserve"> derecho </w:t>
      </w:r>
      <w:r w:rsidR="0030626A" w:rsidRPr="00742A04">
        <w:t>a</w:t>
      </w:r>
      <w:r w:rsidR="00545D1B" w:rsidRPr="00742A04">
        <w:t xml:space="preserve"> </w:t>
      </w:r>
      <w:r w:rsidR="00BC2FBE" w:rsidRPr="00742A04">
        <w:t>otro</w:t>
      </w:r>
      <w:r w:rsidR="00935A90" w:rsidRPr="00742A04">
        <w:t xml:space="preserve"> </w:t>
      </w:r>
      <w:r w:rsidR="004D313C" w:rsidRPr="00742A04">
        <w:t>año</w:t>
      </w:r>
      <w:r w:rsidRPr="00742A04">
        <w:t xml:space="preserve"> de licencia por </w:t>
      </w:r>
      <w:r w:rsidR="007D4688" w:rsidRPr="00742A04">
        <w:t>cada</w:t>
      </w:r>
      <w:r w:rsidR="00545D1B" w:rsidRPr="00742A04">
        <w:t xml:space="preserve"> </w:t>
      </w:r>
      <w:r w:rsidRPr="00742A04">
        <w:t>nacimiento</w:t>
      </w:r>
      <w:r w:rsidR="00545D1B" w:rsidRPr="00742A04">
        <w:t xml:space="preserve"> </w:t>
      </w:r>
      <w:r w:rsidRPr="00742A04">
        <w:t>h</w:t>
      </w:r>
      <w:r w:rsidR="00194AB3" w:rsidRPr="00742A04">
        <w:t>asta</w:t>
      </w:r>
      <w:r w:rsidR="00545D1B" w:rsidRPr="00742A04">
        <w:t xml:space="preserve"> </w:t>
      </w:r>
      <w:r w:rsidRPr="00742A04">
        <w:t>que el hijo cumpla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Pr="00742A04">
        <w:t>de edad</w:t>
      </w:r>
      <w:r w:rsidR="00545D1B" w:rsidRPr="00742A04">
        <w:t xml:space="preserve">. </w:t>
      </w:r>
      <w:r w:rsidR="003315C7" w:rsidRPr="00742A04">
        <w:t>Des</w:t>
      </w:r>
      <w:r w:rsidR="00893DBB" w:rsidRPr="00742A04">
        <w:t>d</w:t>
      </w:r>
      <w:r w:rsidRPr="00742A04">
        <w:t xml:space="preserve">e </w:t>
      </w:r>
      <w:r w:rsidR="00893DBB" w:rsidRPr="00742A04">
        <w:t xml:space="preserve">el </w:t>
      </w:r>
      <w:r w:rsidR="003315C7" w:rsidRPr="00742A04">
        <w:t>1°</w:t>
      </w:r>
      <w:r w:rsidR="00834309" w:rsidRPr="00742A04">
        <w:t xml:space="preserve"> de julio de 2</w:t>
      </w:r>
      <w:r w:rsidR="00545D1B" w:rsidRPr="00742A04">
        <w:t xml:space="preserve">005 </w:t>
      </w:r>
      <w:r w:rsidR="00A836A1" w:rsidRPr="00742A04">
        <w:t>el período</w:t>
      </w:r>
      <w:r w:rsidR="00545D1B" w:rsidRPr="00742A04">
        <w:t xml:space="preserve"> </w:t>
      </w:r>
      <w:r w:rsidRPr="00742A04">
        <w:t>durante el cual se reciben</w:t>
      </w:r>
      <w:r w:rsidR="00545D1B" w:rsidRPr="00742A04">
        <w:t xml:space="preserve"> </w:t>
      </w:r>
      <w:r w:rsidR="003315C7" w:rsidRPr="00742A04">
        <w:t>prestaci</w:t>
      </w:r>
      <w:r w:rsidRPr="00742A04">
        <w:t>ones</w:t>
      </w:r>
      <w:r w:rsidR="003315C7" w:rsidRPr="00742A04">
        <w:t xml:space="preserve"> por </w:t>
      </w:r>
      <w:r w:rsidRPr="00742A04">
        <w:t xml:space="preserve">maternidad o </w:t>
      </w:r>
      <w:r w:rsidR="003315C7" w:rsidRPr="00742A04">
        <w:t>paternidad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de 43 </w:t>
      </w:r>
      <w:r w:rsidR="00311327" w:rsidRPr="00742A04">
        <w:t>semana</w:t>
      </w:r>
      <w:r w:rsidR="00545D1B" w:rsidRPr="00742A04">
        <w:t xml:space="preserve">s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una </w:t>
      </w:r>
      <w:r w:rsidR="00545D1B" w:rsidRPr="00742A04">
        <w:t>compensa</w:t>
      </w:r>
      <w:r w:rsidR="00C14BFF" w:rsidRPr="00742A04">
        <w:t xml:space="preserve">ción </w:t>
      </w:r>
      <w:r w:rsidRPr="00742A04">
        <w:t xml:space="preserve">del 100% de los ingresos </w:t>
      </w:r>
      <w:r w:rsidR="008E5EBF" w:rsidRPr="00742A04">
        <w:t>o</w:t>
      </w:r>
      <w:r w:rsidR="00545D1B" w:rsidRPr="00742A04">
        <w:t xml:space="preserve"> 53 </w:t>
      </w:r>
      <w:r w:rsidR="00311327" w:rsidRPr="00742A04">
        <w:t>semana</w:t>
      </w:r>
      <w:r w:rsidR="00545D1B" w:rsidRPr="00742A04">
        <w:t xml:space="preserve">s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una compensación del </w:t>
      </w:r>
      <w:r w:rsidR="00545D1B" w:rsidRPr="00742A04">
        <w:t>80</w:t>
      </w:r>
      <w:r w:rsidR="001167D2" w:rsidRPr="00742A04">
        <w:t>%</w:t>
      </w:r>
      <w:r w:rsidR="00545D1B" w:rsidRPr="00742A04">
        <w:t xml:space="preserve"> </w:t>
      </w:r>
      <w:r w:rsidRPr="00742A04">
        <w:t xml:space="preserve">de </w:t>
      </w:r>
      <w:r w:rsidR="005E2D7A" w:rsidRPr="00742A04">
        <w:t>los ingresos</w:t>
      </w:r>
      <w:r w:rsidR="00C27C42" w:rsidRPr="00742A04">
        <w:t>.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</w:t>
      </w:r>
      <w:r w:rsidR="009E3199" w:rsidRPr="00742A04">
        <w:t>de pago de las</w:t>
      </w:r>
      <w:r w:rsidR="00545D1B" w:rsidRPr="00742A04">
        <w:t xml:space="preserve"> </w:t>
      </w:r>
      <w:r w:rsidR="009E3199" w:rsidRPr="00742A04">
        <w:t>prestaciones por maternidad o paternidad</w:t>
      </w:r>
      <w:r w:rsidR="00545D1B" w:rsidRPr="00742A04">
        <w:t xml:space="preserve"> </w:t>
      </w:r>
      <w:r w:rsidR="009E3199" w:rsidRPr="00742A04">
        <w:t>se inicia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s </w:t>
      </w:r>
      <w:r w:rsidR="00A826CB" w:rsidRPr="00742A04">
        <w:t xml:space="preserve">antes </w:t>
      </w:r>
      <w:r w:rsidR="009E3199" w:rsidRPr="00742A04">
        <w:t>del parto</w:t>
      </w:r>
      <w:r w:rsidR="00545D1B" w:rsidRPr="00742A04">
        <w:t xml:space="preserve">. </w:t>
      </w:r>
      <w:r w:rsidR="00A836A1" w:rsidRPr="00742A04">
        <w:t>El período</w:t>
      </w:r>
      <w:r w:rsidR="00545D1B" w:rsidRPr="00742A04">
        <w:t xml:space="preserve"> </w:t>
      </w:r>
      <w:r w:rsidR="009E3199" w:rsidRPr="00742A04">
        <w:t>de pago de</w:t>
      </w:r>
      <w:r w:rsidR="00545D1B" w:rsidRPr="00742A04">
        <w:t xml:space="preserve"> </w:t>
      </w:r>
      <w:r w:rsidR="009E3199" w:rsidRPr="00742A04">
        <w:t xml:space="preserve">las </w:t>
      </w:r>
      <w:r w:rsidR="003D75F0" w:rsidRPr="00742A04">
        <w:t>prestaciones</w:t>
      </w:r>
      <w:r w:rsidR="00545D1B" w:rsidRPr="00742A04">
        <w:t xml:space="preserve"> </w:t>
      </w:r>
      <w:r w:rsidR="009E3199" w:rsidRPr="00742A04">
        <w:t xml:space="preserve">por adopción </w:t>
      </w:r>
      <w:r w:rsidR="00BB4DB1" w:rsidRPr="00742A04">
        <w:t>es</w:t>
      </w:r>
      <w:r w:rsidR="00545D1B" w:rsidRPr="00742A04">
        <w:t xml:space="preserve"> </w:t>
      </w:r>
      <w:r w:rsidR="009E3199" w:rsidRPr="00742A04">
        <w:t xml:space="preserve">de </w:t>
      </w:r>
      <w:r w:rsidR="00545D1B" w:rsidRPr="00742A04">
        <w:t xml:space="preserve">40 </w:t>
      </w:r>
      <w:r w:rsidR="00877AA0" w:rsidRPr="00742A04">
        <w:t>y</w:t>
      </w:r>
      <w:r w:rsidR="00545D1B" w:rsidRPr="00742A04">
        <w:t xml:space="preserve"> 50 </w:t>
      </w:r>
      <w:r w:rsidR="00311327" w:rsidRPr="00742A04">
        <w:t>semana</w:t>
      </w:r>
      <w:r w:rsidR="00545D1B" w:rsidRPr="00742A04">
        <w:t>s</w:t>
      </w:r>
      <w:r w:rsidR="009E3199" w:rsidRPr="00742A04">
        <w:t>,</w:t>
      </w:r>
      <w:r w:rsidR="00545D1B" w:rsidRPr="00742A04">
        <w:t xml:space="preserve"> </w:t>
      </w:r>
      <w:r w:rsidR="00E73E8E" w:rsidRPr="00742A04">
        <w:t>respectivamente</w:t>
      </w:r>
      <w:r w:rsidR="00545D1B" w:rsidRPr="00742A04">
        <w:t xml:space="preserve">. </w:t>
      </w:r>
      <w:r w:rsidR="009E3199" w:rsidRPr="00742A04">
        <w:t>Se oto</w:t>
      </w:r>
      <w:r w:rsidR="009E3199" w:rsidRPr="00742A04">
        <w:t>r</w:t>
      </w:r>
      <w:r w:rsidR="009E3199" w:rsidRPr="00742A04">
        <w:t xml:space="preserve">gan prestaciones por </w:t>
      </w:r>
      <w:r w:rsidR="003F7371">
        <w:t>maternidad/paternidad</w:t>
      </w:r>
      <w:r w:rsidR="009E3199" w:rsidRPr="00742A04">
        <w:t xml:space="preserve"> </w:t>
      </w:r>
      <w:r w:rsidR="008D28E3">
        <w:t>o</w:t>
      </w:r>
      <w:r w:rsidR="009E3199" w:rsidRPr="00742A04">
        <w:t xml:space="preserve"> adopción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E2D7A" w:rsidRPr="00742A04">
        <w:t xml:space="preserve">los </w:t>
      </w:r>
      <w:r w:rsidR="009E3199" w:rsidRPr="00742A04">
        <w:t>ingresos</w:t>
      </w:r>
      <w:r w:rsidR="00545D1B" w:rsidRPr="00742A04">
        <w:t xml:space="preserve"> </w:t>
      </w:r>
      <w:r w:rsidR="009E3199" w:rsidRPr="00742A04">
        <w:t>de hasta</w:t>
      </w:r>
      <w:r w:rsidR="00545D1B" w:rsidRPr="00742A04">
        <w:t xml:space="preserve"> 6 </w:t>
      </w:r>
      <w:r w:rsidR="009E3199" w:rsidRPr="00742A04">
        <w:t>vec</w:t>
      </w:r>
      <w:r w:rsidR="00545D1B" w:rsidRPr="00742A04">
        <w:t xml:space="preserve">es </w:t>
      </w:r>
      <w:r w:rsidR="009E3199" w:rsidRPr="00742A04">
        <w:t>la cuantía</w:t>
      </w:r>
      <w:r w:rsidR="00545D1B" w:rsidRPr="00742A04">
        <w:t xml:space="preserve"> </w:t>
      </w:r>
      <w:r w:rsidR="008A3C01" w:rsidRPr="00742A04">
        <w:t>básica</w:t>
      </w:r>
      <w:r w:rsidR="00545D1B" w:rsidRPr="00742A04">
        <w:t xml:space="preserve"> (G) (364</w:t>
      </w:r>
      <w:r w:rsidR="00E575DB" w:rsidRPr="00742A04">
        <w:t>.000</w:t>
      </w:r>
      <w:r w:rsidR="00545D1B" w:rsidRPr="00742A04">
        <w:t xml:space="preserve"> </w:t>
      </w:r>
      <w:r w:rsidR="009E3199" w:rsidRPr="00742A04">
        <w:t xml:space="preserve">coronas noruegas </w:t>
      </w:r>
      <w:r w:rsidR="00C14BFF" w:rsidRPr="00742A04">
        <w:t>en</w:t>
      </w:r>
      <w:r w:rsidR="00545D1B" w:rsidRPr="00742A04">
        <w:t xml:space="preserve"> 2005). </w:t>
      </w:r>
      <w:r w:rsidR="009E3199" w:rsidRPr="00742A04">
        <w:t>Para t</w:t>
      </w:r>
      <w:r w:rsidR="009E3199" w:rsidRPr="00742A04">
        <w:t>e</w:t>
      </w:r>
      <w:r w:rsidR="009E3199" w:rsidRPr="00742A04">
        <w:t>ner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9E3199" w:rsidRPr="00742A04">
        <w:t xml:space="preserve">prestaciones por </w:t>
      </w:r>
      <w:r w:rsidR="008D28E3">
        <w:t>maternidad/paternidad</w:t>
      </w:r>
      <w:r w:rsidR="009E3199" w:rsidRPr="00742A04">
        <w:t xml:space="preserve"> </w:t>
      </w:r>
      <w:r w:rsidR="008D28E3">
        <w:t>o</w:t>
      </w:r>
      <w:r w:rsidR="009E3199" w:rsidRPr="00742A04">
        <w:t xml:space="preserve"> adopción</w:t>
      </w:r>
      <w:r w:rsidR="00545D1B" w:rsidRPr="00742A04">
        <w:t xml:space="preserve">, </w:t>
      </w:r>
      <w:r w:rsidR="00D3378F" w:rsidRPr="00742A04">
        <w:t xml:space="preserve">la persona </w:t>
      </w:r>
      <w:r w:rsidR="007D4688" w:rsidRPr="00742A04">
        <w:t>debe</w:t>
      </w:r>
      <w:r w:rsidR="00545D1B" w:rsidRPr="00742A04">
        <w:t xml:space="preserve"> </w:t>
      </w:r>
      <w:r w:rsidR="009E3199" w:rsidRPr="00742A04">
        <w:t>haber estado</w:t>
      </w:r>
      <w:r w:rsidR="00545D1B" w:rsidRPr="00742A04">
        <w:t xml:space="preserve"> empl</w:t>
      </w:r>
      <w:r w:rsidR="009E3199" w:rsidRPr="00742A04">
        <w:t>eada durante</w:t>
      </w:r>
      <w:r w:rsidR="00545D1B" w:rsidRPr="00742A04">
        <w:t xml:space="preserve"> </w:t>
      </w:r>
      <w:r w:rsidR="00657260" w:rsidRPr="00742A04">
        <w:t>por lo menos</w:t>
      </w:r>
      <w:r w:rsidR="00545D1B" w:rsidRPr="00742A04">
        <w:t xml:space="preserve"> </w:t>
      </w:r>
      <w:r w:rsidR="00DD41C2" w:rsidRPr="00742A04">
        <w:t>seis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E3199" w:rsidRPr="00742A04">
        <w:t>los</w:t>
      </w:r>
      <w:r w:rsidR="00545D1B" w:rsidRPr="00742A04">
        <w:t xml:space="preserve"> </w:t>
      </w:r>
      <w:r w:rsidR="001C54BB" w:rsidRPr="00742A04">
        <w:t>diez</w:t>
      </w:r>
      <w:r w:rsidR="009E3199" w:rsidRPr="00742A04">
        <w:t xml:space="preserve"> últimos</w:t>
      </w:r>
      <w:r w:rsidR="00545D1B" w:rsidRPr="00742A04">
        <w:t xml:space="preserve"> </w:t>
      </w:r>
      <w:r w:rsidR="00AD5494" w:rsidRPr="00742A04">
        <w:t>meses</w:t>
      </w:r>
      <w:r w:rsidR="00545D1B" w:rsidRPr="00742A04">
        <w:t xml:space="preserve"> </w:t>
      </w:r>
      <w:r w:rsidR="00A826CB" w:rsidRPr="00742A04">
        <w:t>ante</w:t>
      </w:r>
      <w:r w:rsidR="009E3199" w:rsidRPr="00742A04">
        <w:t>riore</w:t>
      </w:r>
      <w:r w:rsidR="00A826CB" w:rsidRPr="00742A04">
        <w:t xml:space="preserve">s </w:t>
      </w:r>
      <w:r w:rsidR="009E3199" w:rsidRPr="00742A04">
        <w:t>a la inici</w:t>
      </w:r>
      <w:r w:rsidR="009E3199" w:rsidRPr="00742A04">
        <w:t>a</w:t>
      </w:r>
      <w:r w:rsidR="009E3199" w:rsidRPr="00742A04">
        <w:t>ción del</w:t>
      </w:r>
      <w:r w:rsidR="00545D1B" w:rsidRPr="00742A04">
        <w:t xml:space="preserve"> </w:t>
      </w:r>
      <w:r w:rsidR="009E3199" w:rsidRPr="00742A04">
        <w:t>período de prestaciones</w:t>
      </w:r>
      <w:r w:rsidR="00BD7DD0" w:rsidRPr="00742A04">
        <w:t xml:space="preserve">. Las mujeres </w:t>
      </w:r>
      <w:r w:rsidR="003E5775" w:rsidRPr="00742A04">
        <w:t>que</w:t>
      </w:r>
      <w:r w:rsidR="00545D1B" w:rsidRPr="00742A04">
        <w:t xml:space="preserve"> </w:t>
      </w:r>
      <w:r w:rsidR="00CE5A7F" w:rsidRPr="00742A04">
        <w:t xml:space="preserve">no </w:t>
      </w:r>
      <w:r w:rsidR="009E3199" w:rsidRPr="00742A04">
        <w:t>tengan d</w:t>
      </w:r>
      <w:r w:rsidR="009E3199" w:rsidRPr="00742A04">
        <w:t>e</w:t>
      </w:r>
      <w:r w:rsidR="009E3199" w:rsidRPr="00742A04">
        <w:t>recho a</w:t>
      </w:r>
      <w:r w:rsidR="00545D1B" w:rsidRPr="00742A04">
        <w:t xml:space="preserve"> </w:t>
      </w:r>
      <w:r w:rsidR="009E3199" w:rsidRPr="00742A04">
        <w:t>prestaciones por maternidad o adopción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9E3199" w:rsidRPr="00742A04">
        <w:t>l pago de una cantidad fija</w:t>
      </w:r>
      <w:r w:rsidR="00545D1B" w:rsidRPr="00742A04">
        <w:t xml:space="preserve">. </w:t>
      </w:r>
      <w:r w:rsidR="00A836A1" w:rsidRPr="00742A04">
        <w:t>Aproxim</w:t>
      </w:r>
      <w:r w:rsidR="00A836A1" w:rsidRPr="00742A04">
        <w:t>a</w:t>
      </w:r>
      <w:r w:rsidR="00A836A1" w:rsidRPr="00742A04">
        <w:t>damente</w:t>
      </w:r>
      <w:r w:rsidR="009E3199" w:rsidRPr="00742A04">
        <w:t xml:space="preserve"> el</w:t>
      </w:r>
      <w:r w:rsidR="00545D1B" w:rsidRPr="00742A04">
        <w:t xml:space="preserve"> 78</w:t>
      </w:r>
      <w:r w:rsidR="001167D2" w:rsidRPr="00742A04">
        <w:t>%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9E3199" w:rsidRPr="00742A04">
        <w:t>tienen</w:t>
      </w:r>
      <w:r w:rsidR="002F3238" w:rsidRPr="00742A04">
        <w:t xml:space="preserve"> </w:t>
      </w:r>
      <w:r w:rsidR="00894371" w:rsidRPr="00742A04">
        <w:t>hijos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9E3199" w:rsidRPr="00742A04">
        <w:t>prestaciones por maternidad</w:t>
      </w:r>
      <w:r w:rsidR="00545D1B" w:rsidRPr="00742A04">
        <w:t xml:space="preserve"> (2004). </w:t>
      </w:r>
      <w:r w:rsidR="009E3199" w:rsidRPr="00742A04">
        <w:t>Del</w:t>
      </w:r>
      <w:r w:rsidR="00545D1B" w:rsidRPr="00742A04">
        <w:t xml:space="preserve"> </w:t>
      </w:r>
      <w:r w:rsidR="009E3199" w:rsidRPr="00742A04">
        <w:t>período de prestaciones</w:t>
      </w:r>
      <w:r w:rsidR="00545D1B" w:rsidRPr="00742A04">
        <w:t xml:space="preserve">, </w:t>
      </w:r>
      <w:r w:rsidR="009E3199" w:rsidRPr="00742A04">
        <w:t>las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s </w:t>
      </w:r>
      <w:r w:rsidR="009E3199" w:rsidRPr="00742A04">
        <w:t>anteri</w:t>
      </w:r>
      <w:r w:rsidR="009E3199" w:rsidRPr="00742A04">
        <w:t>o</w:t>
      </w:r>
      <w:r w:rsidR="009E3199" w:rsidRPr="00742A04">
        <w:t>res al parto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E3199" w:rsidRPr="00742A04">
        <w:t>las primeras</w:t>
      </w:r>
      <w:r w:rsidR="00545D1B" w:rsidRPr="00742A04">
        <w:t xml:space="preserve"> </w:t>
      </w:r>
      <w:r w:rsidR="00FF39FE" w:rsidRPr="00742A04">
        <w:t>seis semanas</w:t>
      </w:r>
      <w:r w:rsidR="00545D1B" w:rsidRPr="00742A04">
        <w:t xml:space="preserve"> </w:t>
      </w:r>
      <w:r w:rsidR="009E3199" w:rsidRPr="00742A04">
        <w:t>posteriores al parto</w:t>
      </w:r>
      <w:r w:rsidR="00545D1B" w:rsidRPr="00742A04">
        <w:t xml:space="preserve"> </w:t>
      </w:r>
      <w:r w:rsidR="009E3199" w:rsidRPr="00742A04">
        <w:t>está</w:t>
      </w:r>
      <w:r w:rsidR="006137EC" w:rsidRPr="00742A04">
        <w:t>n</w:t>
      </w:r>
      <w:r w:rsidR="00545D1B" w:rsidRPr="00742A04">
        <w:t xml:space="preserve"> </w:t>
      </w:r>
      <w:r w:rsidR="00894371" w:rsidRPr="00742A04">
        <w:t>re</w:t>
      </w:r>
      <w:r w:rsidR="00894371">
        <w:t>servadas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A7CCF" w:rsidRPr="00742A04">
        <w:t>la madre</w:t>
      </w:r>
      <w:r w:rsidR="00545D1B" w:rsidRPr="00742A04">
        <w:t xml:space="preserve"> </w:t>
      </w:r>
      <w:r w:rsidR="00EB67BB" w:rsidRPr="00742A04">
        <w:t>por razones de salud</w:t>
      </w:r>
      <w:r w:rsidR="00545D1B" w:rsidRPr="00742A04">
        <w:t xml:space="preserve">. </w:t>
      </w:r>
      <w:r w:rsidR="00AE29D3" w:rsidRPr="00742A04">
        <w:t>Cinco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s </w:t>
      </w:r>
      <w:r w:rsidR="004A0730" w:rsidRPr="00742A04">
        <w:t>de</w:t>
      </w:r>
      <w:r w:rsidR="009E3199" w:rsidRPr="00742A04">
        <w:t>l</w:t>
      </w:r>
      <w:r w:rsidR="00545D1B" w:rsidRPr="00742A04">
        <w:t xml:space="preserve"> </w:t>
      </w:r>
      <w:r w:rsidR="009E3199" w:rsidRPr="00742A04">
        <w:t>período de prestaciones</w:t>
      </w:r>
      <w:r w:rsidR="00545D1B" w:rsidRPr="00742A04">
        <w:t xml:space="preserve"> </w:t>
      </w:r>
      <w:r w:rsidR="009E3199" w:rsidRPr="00742A04">
        <w:t>está</w:t>
      </w:r>
      <w:r w:rsidR="006137EC" w:rsidRPr="00742A04">
        <w:t>n</w:t>
      </w:r>
      <w:r w:rsidR="00545D1B" w:rsidRPr="00742A04">
        <w:t xml:space="preserve"> reserv</w:t>
      </w:r>
      <w:r w:rsidR="009E3199" w:rsidRPr="00742A04">
        <w:t>adas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7B45F5" w:rsidRPr="00742A04">
        <w:t>el padre</w:t>
      </w:r>
      <w:r w:rsidR="00545D1B" w:rsidRPr="00742A04">
        <w:t xml:space="preserve"> (</w:t>
      </w:r>
      <w:r w:rsidR="008D28E3">
        <w:t>“</w:t>
      </w:r>
      <w:r w:rsidR="00436CEE" w:rsidRPr="00742A04">
        <w:t>cuota paterna</w:t>
      </w:r>
      <w:r w:rsidR="008D28E3">
        <w:t>”</w:t>
      </w:r>
      <w:r w:rsidR="00545D1B" w:rsidRPr="00742A04">
        <w:t xml:space="preserve">). </w:t>
      </w:r>
      <w:r w:rsidR="009E3199" w:rsidRPr="00742A04">
        <w:t>Esta cuota se ha aumentado a</w:t>
      </w:r>
      <w:r w:rsidR="00FD7D4E" w:rsidRPr="00742A04">
        <w:t xml:space="preserve"> </w:t>
      </w:r>
      <w:r w:rsidR="00545D1B" w:rsidRPr="00742A04">
        <w:t xml:space="preserve">6 </w:t>
      </w:r>
      <w:r w:rsidR="00311327" w:rsidRPr="00742A04">
        <w:t>semana</w:t>
      </w:r>
      <w:r w:rsidR="00545D1B" w:rsidRPr="00742A04">
        <w:t xml:space="preserve">s </w:t>
      </w:r>
      <w:r w:rsidR="009E3199" w:rsidRPr="00742A04">
        <w:t>a partir del</w:t>
      </w:r>
      <w:r w:rsidR="00834309" w:rsidRPr="00742A04">
        <w:t xml:space="preserve"> 1° de julio de 2</w:t>
      </w:r>
      <w:r w:rsidR="00545D1B" w:rsidRPr="00742A04">
        <w:t xml:space="preserve">006. </w:t>
      </w:r>
      <w:r w:rsidR="009E3199" w:rsidRPr="00742A04">
        <w:t>Esas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s </w:t>
      </w:r>
      <w:r w:rsidR="0056679F" w:rsidRPr="00742A04">
        <w:t>normalmente</w:t>
      </w:r>
      <w:r w:rsidR="00545D1B" w:rsidRPr="00742A04">
        <w:t xml:space="preserve"> </w:t>
      </w:r>
      <w:r w:rsidR="009E3199" w:rsidRPr="00742A04">
        <w:t>se pierden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7B45F5" w:rsidRPr="00742A04">
        <w:t>el padre</w:t>
      </w:r>
      <w:r w:rsidR="00545D1B" w:rsidRPr="00742A04">
        <w:t xml:space="preserve"> </w:t>
      </w:r>
      <w:r w:rsidR="00673B5D" w:rsidRPr="00742A04">
        <w:t xml:space="preserve">no </w:t>
      </w:r>
      <w:r w:rsidR="009E3199" w:rsidRPr="00742A04">
        <w:t>hace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E3199" w:rsidRPr="00742A04">
        <w:t>ella</w:t>
      </w:r>
      <w:r w:rsidR="00E83B7A" w:rsidRPr="00742A04">
        <w:t>s</w:t>
      </w:r>
      <w:r w:rsidR="00545D1B" w:rsidRPr="00742A04">
        <w:t xml:space="preserve">. </w:t>
      </w:r>
      <w:r w:rsidR="009E3199" w:rsidRPr="00742A04">
        <w:t>Con sujeción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46C55" w:rsidRPr="00742A04">
        <w:t>cier</w:t>
      </w:r>
      <w:r w:rsidR="009E3199" w:rsidRPr="00742A04">
        <w:t>tas</w:t>
      </w:r>
      <w:r w:rsidR="00545D1B" w:rsidRPr="00742A04">
        <w:t xml:space="preserve"> condi</w:t>
      </w:r>
      <w:r w:rsidR="008907B8" w:rsidRPr="00742A04">
        <w:t>ciones</w:t>
      </w:r>
      <w:r w:rsidR="00545D1B" w:rsidRPr="00742A04">
        <w:t xml:space="preserve">, </w:t>
      </w:r>
      <w:r w:rsidR="009E3199" w:rsidRPr="00742A04">
        <w:t>ambos progenitores pueden</w:t>
      </w:r>
      <w:r w:rsidR="00545D1B" w:rsidRPr="00742A04">
        <w:t xml:space="preserve"> </w:t>
      </w:r>
      <w:r w:rsidR="009E3199" w:rsidRPr="00742A04">
        <w:t>repartirse las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s </w:t>
      </w:r>
      <w:r w:rsidR="009E3199" w:rsidRPr="00742A04">
        <w:t>restantes</w:t>
      </w:r>
      <w:r w:rsidR="000A08D8" w:rsidRPr="00742A04">
        <w:t>.</w:t>
      </w:r>
    </w:p>
    <w:p w:rsidR="00545D1B" w:rsidRPr="00742A04" w:rsidRDefault="004A0730" w:rsidP="00D574C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4D313C" w:rsidRPr="00742A04">
        <w:t>los últimos años</w:t>
      </w:r>
      <w:r w:rsidR="00545D1B" w:rsidRPr="00742A04">
        <w:t xml:space="preserve"> </w:t>
      </w:r>
      <w:r w:rsidR="00894371" w:rsidRPr="00742A04">
        <w:t>ha</w:t>
      </w:r>
      <w:r w:rsidR="00436CEE" w:rsidRPr="00742A04">
        <w:t xml:space="preserve"> habido</w:t>
      </w:r>
      <w:r w:rsidR="00545D1B" w:rsidRPr="00742A04">
        <w:t xml:space="preserve"> </w:t>
      </w:r>
      <w:r w:rsidR="00CE7870" w:rsidRPr="00742A04">
        <w:t>muchos</w:t>
      </w:r>
      <w:r w:rsidR="00545D1B" w:rsidRPr="00742A04">
        <w:t xml:space="preserve"> </w:t>
      </w:r>
      <w:r w:rsidR="00935A90" w:rsidRPr="00742A04">
        <w:t>cambios</w:t>
      </w:r>
      <w:r w:rsidR="002E5047" w:rsidRPr="00742A04">
        <w:t xml:space="preserve"> </w:t>
      </w:r>
      <w:r w:rsidR="00436CEE" w:rsidRPr="00742A04">
        <w:t>y</w:t>
      </w:r>
      <w:r w:rsidR="002E5047" w:rsidRPr="00742A04">
        <w:t xml:space="preserve"> </w:t>
      </w:r>
      <w:r w:rsidR="00C82671" w:rsidRPr="00742A04">
        <w:t>mejoras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36CEE" w:rsidRPr="00742A04">
        <w:t xml:space="preserve">las </w:t>
      </w:r>
      <w:r w:rsidR="009E3199" w:rsidRPr="00742A04">
        <w:t xml:space="preserve">prestaciones por </w:t>
      </w:r>
      <w:r w:rsidR="008D28E3">
        <w:t>maternidad/paternidad</w:t>
      </w:r>
      <w:r w:rsidR="009E3199" w:rsidRPr="00742A04">
        <w:t xml:space="preserve"> en caso de adopción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36CEE" w:rsidRPr="00742A04">
        <w:t>el sentido</w:t>
      </w:r>
      <w:r w:rsidR="00C14BFF" w:rsidRPr="00742A04">
        <w:t xml:space="preserve"> </w:t>
      </w:r>
      <w:r w:rsidRPr="00742A04">
        <w:t>de</w:t>
      </w:r>
      <w:r w:rsidR="00545D1B" w:rsidRPr="00742A04">
        <w:t xml:space="preserve"> </w:t>
      </w:r>
      <w:r w:rsidR="00982243" w:rsidRPr="00742A04">
        <w:t>un mayor grado de</w:t>
      </w:r>
      <w:r w:rsidR="00545D1B" w:rsidRPr="00742A04">
        <w:t xml:space="preserve"> </w:t>
      </w:r>
      <w:r w:rsidR="00502E16" w:rsidRPr="00742A04">
        <w:t>igualdad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2A7CCF" w:rsidRPr="00742A04">
        <w:t>la madre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B45F5" w:rsidRPr="00742A04">
        <w:t>el padre</w:t>
      </w:r>
      <w:r w:rsidR="00545D1B" w:rsidRPr="00742A04">
        <w:t xml:space="preserve">. </w:t>
      </w:r>
      <w:r w:rsidR="007B45F5" w:rsidRPr="00742A04">
        <w:t xml:space="preserve">La </w:t>
      </w:r>
      <w:r w:rsidR="00436CEE" w:rsidRPr="00742A04">
        <w:t>cuota paterna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436CEE" w:rsidRPr="00742A04">
        <w:t>se implantó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1993, </w:t>
      </w:r>
      <w:r w:rsidR="00436CEE" w:rsidRPr="00742A04">
        <w:t>ha demostrado ser</w:t>
      </w:r>
      <w:r w:rsidR="00545D1B" w:rsidRPr="00742A04">
        <w:t xml:space="preserve"> </w:t>
      </w:r>
      <w:r w:rsidR="00436CEE" w:rsidRPr="00742A04">
        <w:t>un medio sumamente eficaz para</w:t>
      </w:r>
      <w:r w:rsidR="00C07ED9" w:rsidRPr="00742A04">
        <w:t xml:space="preserve"> </w:t>
      </w:r>
      <w:r w:rsidR="00E542AA" w:rsidRPr="00742A04">
        <w:t>increment</w:t>
      </w:r>
      <w:r w:rsidR="00436CEE" w:rsidRPr="00742A04">
        <w:t>ar el</w:t>
      </w:r>
      <w:r w:rsidR="008C4612" w:rsidRPr="00742A04">
        <w:t xml:space="preserve"> </w:t>
      </w:r>
      <w:r w:rsidR="00436CEE" w:rsidRPr="00742A04">
        <w:t>uso de las prest</w:t>
      </w:r>
      <w:r w:rsidR="00436CEE" w:rsidRPr="00742A04">
        <w:t>a</w:t>
      </w:r>
      <w:r w:rsidR="00436CEE" w:rsidRPr="00742A04">
        <w:t xml:space="preserve">ciones por paternidad por parte </w:t>
      </w:r>
      <w:r w:rsidR="008C4612" w:rsidRPr="00742A04">
        <w:t xml:space="preserve">de </w:t>
      </w:r>
      <w:r w:rsidR="00C076F2" w:rsidRPr="00742A04">
        <w:t xml:space="preserve">los </w:t>
      </w:r>
      <w:r w:rsidR="009451E4" w:rsidRPr="00742A04">
        <w:t>padres</w:t>
      </w:r>
      <w:r w:rsidR="00545D1B" w:rsidRPr="00742A04">
        <w:t xml:space="preserve">. </w:t>
      </w:r>
      <w:r w:rsidRPr="00742A04">
        <w:t>En</w:t>
      </w:r>
      <w:r w:rsidR="00545D1B" w:rsidRPr="00742A04">
        <w:t xml:space="preserve"> 2004 </w:t>
      </w:r>
      <w:r w:rsidR="003C25BF" w:rsidRPr="00742A04">
        <w:t>casi</w:t>
      </w:r>
      <w:r w:rsidR="00545D1B" w:rsidRPr="00742A04">
        <w:t xml:space="preserve"> </w:t>
      </w:r>
      <w:r w:rsidR="00436CEE" w:rsidRPr="00742A04">
        <w:t xml:space="preserve">el </w:t>
      </w:r>
      <w:r w:rsidR="00545D1B" w:rsidRPr="00742A04">
        <w:t>90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5E2D7A" w:rsidRPr="00742A04">
        <w:t>padres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436CEE" w:rsidRPr="00742A04">
        <w:t>tenían derecho a l</w:t>
      </w:r>
      <w:r w:rsidR="001E30D6" w:rsidRPr="00742A04">
        <w:t xml:space="preserve">a </w:t>
      </w:r>
      <w:r w:rsidR="00436CEE" w:rsidRPr="00742A04">
        <w:t>cuota paterna</w:t>
      </w:r>
      <w:r w:rsidR="00545D1B" w:rsidRPr="00742A04">
        <w:t xml:space="preserve"> </w:t>
      </w:r>
      <w:r w:rsidR="00436CEE" w:rsidRPr="00742A04">
        <w:t>la utilizaron</w:t>
      </w:r>
      <w:r w:rsidR="00545D1B" w:rsidRPr="00742A04">
        <w:t xml:space="preserve">. </w:t>
      </w:r>
      <w:r w:rsidR="00436CEE" w:rsidRPr="00742A04">
        <w:t>Después</w:t>
      </w:r>
      <w:r w:rsidR="00C07ED9" w:rsidRPr="00742A04">
        <w:t xml:space="preserve"> del </w:t>
      </w:r>
      <w:r w:rsidR="00552048" w:rsidRPr="00742A04">
        <w:t>sexto informe periódico de Noruega</w:t>
      </w:r>
      <w:r w:rsidR="00545D1B" w:rsidRPr="00742A04">
        <w:t xml:space="preserve">, </w:t>
      </w:r>
      <w:r w:rsidR="007B45F5" w:rsidRPr="00742A04">
        <w:t xml:space="preserve">la </w:t>
      </w:r>
      <w:r w:rsidR="00436CEE" w:rsidRPr="00742A04">
        <w:t>cuota paterna</w:t>
      </w:r>
      <w:r w:rsidR="00545D1B" w:rsidRPr="00742A04">
        <w:t xml:space="preserve"> </w:t>
      </w:r>
      <w:r w:rsidR="00436CEE" w:rsidRPr="00742A04">
        <w:t>se</w:t>
      </w:r>
      <w:r w:rsidR="00545D1B" w:rsidRPr="00742A04">
        <w:t xml:space="preserve"> </w:t>
      </w:r>
      <w:r w:rsidR="008D28E3">
        <w:t>incrementó</w:t>
      </w:r>
      <w:r w:rsidR="008C4612" w:rsidRPr="00742A04">
        <w:t xml:space="preserve"> de </w:t>
      </w:r>
      <w:r w:rsidR="00A60159" w:rsidRPr="00742A04">
        <w:t>cuatro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5364F" w:rsidRPr="00742A04">
        <w:t>cinco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s, </w:t>
      </w:r>
      <w:r w:rsidR="00436CEE" w:rsidRPr="00742A04">
        <w:t>a partir del</w:t>
      </w:r>
      <w:r w:rsidR="00834309" w:rsidRPr="00742A04">
        <w:t xml:space="preserve"> 1° de julio de 2</w:t>
      </w:r>
      <w:r w:rsidR="00545D1B" w:rsidRPr="00742A04">
        <w:t>005</w:t>
      </w:r>
      <w:r w:rsidR="00436CEE" w:rsidRPr="00742A04">
        <w:t>,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36CEE" w:rsidRPr="00742A04">
        <w:t>se ha aprobado un</w:t>
      </w:r>
      <w:r w:rsidR="00545D1B" w:rsidRPr="00742A04">
        <w:t>a resolu</w:t>
      </w:r>
      <w:r w:rsidR="00C14BFF" w:rsidRPr="00742A04">
        <w:t xml:space="preserve">ción </w:t>
      </w:r>
      <w:r w:rsidR="00436CEE" w:rsidRPr="00742A04">
        <w:t xml:space="preserve">con arreglo a la cual </w:t>
      </w:r>
      <w:r w:rsidR="007B45F5" w:rsidRPr="00742A04">
        <w:t xml:space="preserve">la </w:t>
      </w:r>
      <w:r w:rsidR="00436CEE" w:rsidRPr="00742A04">
        <w:t>cuota paterna</w:t>
      </w:r>
      <w:r w:rsidR="00545D1B" w:rsidRPr="00742A04">
        <w:t xml:space="preserve"> </w:t>
      </w:r>
      <w:r w:rsidR="00436CEE" w:rsidRPr="00742A04">
        <w:t>se incrementará en una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 </w:t>
      </w:r>
      <w:r w:rsidR="00436CEE" w:rsidRPr="00742A04">
        <w:t>más, hast</w:t>
      </w:r>
      <w:r w:rsidR="0030626A" w:rsidRPr="00742A04">
        <w:t>a</w:t>
      </w:r>
      <w:r w:rsidR="00436CEE" w:rsidRPr="00742A04">
        <w:t xml:space="preserve"> llegar a</w:t>
      </w:r>
      <w:r w:rsidR="00545D1B" w:rsidRPr="00742A04">
        <w:t xml:space="preserve"> </w:t>
      </w:r>
      <w:r w:rsidR="00FF39FE" w:rsidRPr="00742A04">
        <w:t>seis semanas</w:t>
      </w:r>
      <w:r w:rsidR="00436CEE" w:rsidRPr="00742A04">
        <w:t xml:space="preserve">, a partir </w:t>
      </w:r>
      <w:r w:rsidR="008F0C8E" w:rsidRPr="00742A04">
        <w:t>de</w:t>
      </w:r>
      <w:r w:rsidR="00436CEE" w:rsidRPr="00742A04">
        <w:t>l</w:t>
      </w:r>
      <w:r w:rsidR="00834309" w:rsidRPr="00742A04">
        <w:t xml:space="preserve"> 1° de julio de 2</w:t>
      </w:r>
      <w:r w:rsidR="00545D1B" w:rsidRPr="00742A04">
        <w:t xml:space="preserve">006. </w:t>
      </w:r>
      <w:r w:rsidR="00894371" w:rsidRPr="00742A04">
        <w:t>Esta</w:t>
      </w:r>
      <w:r w:rsidR="00436CEE" w:rsidRPr="00742A04">
        <w:t xml:space="preserve"> ampliación se llevará a cabo prolongando el</w:t>
      </w:r>
      <w:r w:rsidR="00545D1B" w:rsidRPr="00742A04">
        <w:t xml:space="preserve"> </w:t>
      </w:r>
      <w:r w:rsidR="009E3199" w:rsidRPr="00742A04">
        <w:t xml:space="preserve">período </w:t>
      </w:r>
      <w:r w:rsidR="00436CEE" w:rsidRPr="00742A04">
        <w:t xml:space="preserve">total </w:t>
      </w:r>
      <w:r w:rsidR="009E3199" w:rsidRPr="00742A04">
        <w:t>de prestaciones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604011" w:rsidRPr="00742A04">
        <w:t>será</w:t>
      </w:r>
      <w:r w:rsidR="00545D1B" w:rsidRPr="00742A04">
        <w:t xml:space="preserve"> </w:t>
      </w:r>
      <w:r w:rsidR="00436CEE" w:rsidRPr="00742A04">
        <w:t xml:space="preserve">de </w:t>
      </w:r>
      <w:r w:rsidR="00545D1B" w:rsidRPr="00742A04">
        <w:t xml:space="preserve">54/44 </w:t>
      </w:r>
      <w:r w:rsidR="00311327" w:rsidRPr="00742A04">
        <w:t>semana</w:t>
      </w:r>
      <w:r w:rsidR="00545D1B" w:rsidRPr="00742A04">
        <w:t xml:space="preserve">s </w:t>
      </w:r>
      <w:r w:rsidR="00436CEE" w:rsidRPr="00742A04">
        <w:t xml:space="preserve">a partir del </w:t>
      </w:r>
      <w:r w:rsidR="00834309" w:rsidRPr="00742A04">
        <w:t>1° de julio de 2</w:t>
      </w:r>
      <w:r w:rsidR="00545D1B" w:rsidRPr="00742A04">
        <w:t xml:space="preserve">006. </w:t>
      </w:r>
      <w:r w:rsidRPr="00742A04">
        <w:t>En</w:t>
      </w:r>
      <w:r w:rsidR="00545D1B" w:rsidRPr="00742A04">
        <w:t xml:space="preserve"> 2005</w:t>
      </w:r>
      <w:r w:rsidR="00436CEE" w:rsidRPr="00742A04">
        <w:t>, los</w:t>
      </w:r>
      <w:r w:rsidR="00545D1B" w:rsidRPr="00742A04">
        <w:t xml:space="preserve"> </w:t>
      </w:r>
      <w:r w:rsidR="00436CEE" w:rsidRPr="00742A04">
        <w:t>derechos d</w:t>
      </w:r>
      <w:r w:rsidR="007B45F5" w:rsidRPr="00742A04">
        <w:t>el padre</w:t>
      </w:r>
      <w:r w:rsidR="00545D1B" w:rsidRPr="00742A04">
        <w:t xml:space="preserve"> </w:t>
      </w:r>
      <w:r w:rsidR="00436CEE" w:rsidRPr="00742A04">
        <w:t>con arreglo a</w:t>
      </w:r>
      <w:r w:rsidR="00545D1B" w:rsidRPr="00742A04">
        <w:t xml:space="preserve"> </w:t>
      </w:r>
      <w:r w:rsidR="007B45F5" w:rsidRPr="00742A04">
        <w:t xml:space="preserve">la </w:t>
      </w:r>
      <w:r w:rsidR="00436CEE" w:rsidRPr="00742A04">
        <w:t>cuota paterna</w:t>
      </w:r>
      <w:r w:rsidR="00545D1B" w:rsidRPr="00742A04">
        <w:t xml:space="preserve"> </w:t>
      </w:r>
      <w:r w:rsidR="00436CEE" w:rsidRPr="00742A04">
        <w:t>se viero</w:t>
      </w:r>
      <w:r w:rsidR="00E73E8E" w:rsidRPr="00742A04">
        <w:t>n</w:t>
      </w:r>
      <w:r w:rsidR="00545D1B" w:rsidRPr="00742A04">
        <w:t xml:space="preserve"> </w:t>
      </w:r>
      <w:r w:rsidR="006137EC" w:rsidRPr="00742A04">
        <w:t>fortalec</w:t>
      </w:r>
      <w:r w:rsidR="00436CEE" w:rsidRPr="00742A04">
        <w:t xml:space="preserve">idos, porque la compensación de </w:t>
      </w:r>
      <w:r w:rsidR="005E2D7A" w:rsidRPr="00742A04">
        <w:t>los ingresos</w:t>
      </w:r>
      <w:r w:rsidR="00545D1B" w:rsidRPr="00742A04">
        <w:t xml:space="preserve"> </w:t>
      </w:r>
      <w:r w:rsidR="00436CEE" w:rsidRPr="00742A04">
        <w:t>del padre ya</w:t>
      </w:r>
      <w:r w:rsidR="00545D1B" w:rsidRPr="00742A04">
        <w:t xml:space="preserve"> no </w:t>
      </w:r>
      <w:r w:rsidR="00436CEE" w:rsidRPr="00742A04">
        <w:t>se</w:t>
      </w:r>
      <w:r w:rsidR="00545D1B" w:rsidRPr="00742A04">
        <w:t xml:space="preserve"> re</w:t>
      </w:r>
      <w:r w:rsidR="00436CEE" w:rsidRPr="00742A04">
        <w:t>duce</w:t>
      </w:r>
      <w:r w:rsidR="00545D1B" w:rsidRPr="00742A04">
        <w:t xml:space="preserve"> </w:t>
      </w:r>
      <w:r w:rsidR="008D28E3">
        <w:t xml:space="preserve">en caso de </w:t>
      </w:r>
      <w:r w:rsidR="00357761">
        <w:t xml:space="preserve">que </w:t>
      </w:r>
      <w:r w:rsidR="00357761" w:rsidRPr="00742A04">
        <w:t>la</w:t>
      </w:r>
      <w:r w:rsidR="002A7CCF" w:rsidRPr="00742A04">
        <w:t xml:space="preserve"> madre</w:t>
      </w:r>
      <w:r w:rsidR="00545D1B" w:rsidRPr="00742A04">
        <w:t xml:space="preserve"> </w:t>
      </w:r>
      <w:r w:rsidR="00116976" w:rsidRPr="00742A04">
        <w:t>trabaj</w:t>
      </w:r>
      <w:r w:rsidR="008D28E3">
        <w:t>e</w:t>
      </w:r>
      <w:r w:rsidR="00545D1B" w:rsidRPr="00742A04">
        <w:t xml:space="preserve"> </w:t>
      </w:r>
      <w:r w:rsidR="001633F4" w:rsidRPr="00742A04">
        <w:t>a tiempo parcial</w:t>
      </w:r>
      <w:r w:rsidR="00545D1B" w:rsidRPr="00742A04">
        <w:t xml:space="preserve"> (50-75</w:t>
      </w:r>
      <w:r w:rsidR="001167D2" w:rsidRPr="00742A04">
        <w:t>%</w:t>
      </w:r>
      <w:r w:rsidR="00545D1B" w:rsidRPr="00742A04">
        <w:t xml:space="preserve">) </w:t>
      </w:r>
      <w:r w:rsidR="002A7CCF" w:rsidRPr="00742A04">
        <w:t>antes del parto</w:t>
      </w:r>
      <w:r w:rsidR="00545D1B" w:rsidRPr="00742A04">
        <w:t xml:space="preserve">. </w:t>
      </w:r>
      <w:r w:rsidR="00041F24" w:rsidRPr="00742A04">
        <w:t>Anteriormente</w:t>
      </w:r>
      <w:r w:rsidR="00436CEE" w:rsidRPr="00742A04">
        <w:t>,</w:t>
      </w:r>
      <w:r w:rsidR="00545D1B" w:rsidRPr="00742A04">
        <w:t xml:space="preserve"> </w:t>
      </w:r>
      <w:r w:rsidR="00436CEE" w:rsidRPr="00742A04">
        <w:t>en tales casos a</w:t>
      </w:r>
      <w:r w:rsidR="007B45F5" w:rsidRPr="00742A04">
        <w:t>l padre</w:t>
      </w:r>
      <w:r w:rsidR="00545D1B" w:rsidRPr="00742A04">
        <w:t xml:space="preserve"> </w:t>
      </w:r>
      <w:r w:rsidR="00436CEE" w:rsidRPr="00742A04">
        <w:t>se le pagaba</w:t>
      </w:r>
      <w:r w:rsidR="00545D1B" w:rsidRPr="00742A04">
        <w:t xml:space="preserve"> </w:t>
      </w:r>
      <w:r w:rsidR="00436CEE" w:rsidRPr="00742A04">
        <w:t xml:space="preserve">en proporción a la </w:t>
      </w:r>
      <w:r w:rsidR="00545D1B" w:rsidRPr="00742A04">
        <w:t>frac</w:t>
      </w:r>
      <w:r w:rsidR="00C14BFF" w:rsidRPr="00742A04">
        <w:t>ción</w:t>
      </w:r>
      <w:r w:rsidR="00FD7D4E" w:rsidRPr="00742A04">
        <w:t xml:space="preserve"> de </w:t>
      </w:r>
      <w:r w:rsidR="00436CEE" w:rsidRPr="00742A04">
        <w:t>un empleo de tiempo completo que represe</w:t>
      </w:r>
      <w:r w:rsidR="00436CEE" w:rsidRPr="00742A04">
        <w:t>n</w:t>
      </w:r>
      <w:r w:rsidR="00436CEE" w:rsidRPr="00742A04">
        <w:t>tara el trabajo de la madre</w:t>
      </w:r>
      <w:r w:rsidR="00545D1B" w:rsidRPr="00742A04">
        <w:t>.</w:t>
      </w:r>
    </w:p>
    <w:p w:rsidR="00545D1B" w:rsidRPr="00742A04" w:rsidRDefault="00D677B0" w:rsidP="00D574C4">
      <w:pPr>
        <w:pStyle w:val="SingleTxt"/>
        <w:ind w:firstLine="475"/>
      </w:pPr>
      <w:r w:rsidRPr="00742A04">
        <w:t>Después</w:t>
      </w:r>
      <w:r w:rsidR="00BD7DD0" w:rsidRPr="00742A04">
        <w:t xml:space="preserve"> del informe anterior</w:t>
      </w:r>
      <w:r w:rsidR="00545D1B" w:rsidRPr="00742A04">
        <w:t>,</w:t>
      </w:r>
      <w:r w:rsidRPr="00742A04">
        <w:t xml:space="preserve"> se</w:t>
      </w:r>
      <w:r w:rsidR="00545D1B" w:rsidRPr="00742A04">
        <w:t xml:space="preserve"> </w:t>
      </w:r>
      <w:r w:rsidRPr="00742A04">
        <w:t xml:space="preserve">ha incrementado </w:t>
      </w:r>
      <w:r w:rsidR="00E73E8E" w:rsidRPr="00742A04">
        <w:t>la proporción</w:t>
      </w:r>
      <w:r w:rsidR="00C14BFF" w:rsidRPr="00742A04">
        <w:t xml:space="preserve"> </w:t>
      </w:r>
      <w:r w:rsidR="00C076F2" w:rsidRPr="00742A04">
        <w:t xml:space="preserve">de </w:t>
      </w:r>
      <w:r w:rsidR="005E2D7A" w:rsidRPr="00742A04">
        <w:t>padres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E32F2A" w:rsidRPr="00742A04">
        <w:t>toma</w:t>
      </w:r>
      <w:r w:rsidR="007D406D" w:rsidRPr="00742A04">
        <w:t>n licencia por un tiempo mayor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7B45F5" w:rsidRPr="00742A04">
        <w:t xml:space="preserve">la </w:t>
      </w:r>
      <w:r w:rsidR="00436CEE" w:rsidRPr="00742A04">
        <w:t>cuota paterna</w:t>
      </w:r>
      <w:r w:rsidR="00545D1B" w:rsidRPr="00742A04">
        <w:t xml:space="preserve">. </w:t>
      </w:r>
      <w:r w:rsidR="00E73E8E" w:rsidRPr="00742A04">
        <w:t>La proporción</w:t>
      </w:r>
      <w:r w:rsidR="00C14BFF" w:rsidRPr="00742A04">
        <w:t xml:space="preserve"> </w:t>
      </w:r>
      <w:r w:rsidR="007D406D" w:rsidRPr="00742A04">
        <w:t>fue</w:t>
      </w:r>
      <w:r w:rsidR="00545D1B" w:rsidRPr="00742A04">
        <w:t xml:space="preserve"> </w:t>
      </w:r>
      <w:r w:rsidR="007D406D" w:rsidRPr="00742A04">
        <w:t>de e</w:t>
      </w:r>
      <w:r w:rsidR="007D406D" w:rsidRPr="00742A04">
        <w:t>n</w:t>
      </w:r>
      <w:r w:rsidR="007D406D" w:rsidRPr="00742A04">
        <w:t xml:space="preserve">tre el16% y el 17% en </w:t>
      </w:r>
      <w:r w:rsidR="00545D1B" w:rsidRPr="00742A04">
        <w:t xml:space="preserve">2004, </w:t>
      </w:r>
      <w:r w:rsidR="00E73E8E" w:rsidRPr="00742A04">
        <w:t>en comparación con</w:t>
      </w:r>
      <w:r w:rsidR="00545D1B" w:rsidRPr="00742A04">
        <w:t xml:space="preserve"> </w:t>
      </w:r>
      <w:r w:rsidR="007D406D" w:rsidRPr="00742A04">
        <w:t xml:space="preserve">el </w:t>
      </w:r>
      <w:r w:rsidR="00545D1B" w:rsidRPr="00742A04">
        <w:t>6</w:t>
      </w:r>
      <w:r w:rsidR="00E270D5" w:rsidRPr="00742A04">
        <w:t>,7%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2000. </w:t>
      </w:r>
      <w:r w:rsidR="007D406D" w:rsidRPr="00742A04">
        <w:t>Sigue siendo un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7D406D" w:rsidRPr="00742A04">
        <w:t>objetivo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7D406D" w:rsidRPr="00742A04">
        <w:t xml:space="preserve">el uso de la cuota por parte </w:t>
      </w:r>
      <w:r w:rsidR="00C076F2" w:rsidRPr="00742A04">
        <w:t xml:space="preserve">de los </w:t>
      </w:r>
      <w:r w:rsidR="009451E4" w:rsidRPr="00742A04">
        <w:t>padres</w:t>
      </w:r>
      <w:r w:rsidR="00545D1B" w:rsidRPr="00742A04">
        <w:t xml:space="preserve">, </w:t>
      </w:r>
      <w:r w:rsidR="00877AA0" w:rsidRPr="00742A04">
        <w:t>y</w:t>
      </w:r>
      <w:r w:rsidR="007D406D" w:rsidRPr="00742A04">
        <w:t xml:space="preserve"> los</w:t>
      </w:r>
      <w:r w:rsidR="00545D1B" w:rsidRPr="00742A04">
        <w:t xml:space="preserve"> </w:t>
      </w:r>
      <w:r w:rsidR="007D406D" w:rsidRPr="00742A04">
        <w:t>pl</w:t>
      </w:r>
      <w:r w:rsidR="007D406D" w:rsidRPr="00742A04">
        <w:t>a</w:t>
      </w:r>
      <w:r w:rsidR="007D406D" w:rsidRPr="00742A04">
        <w:t>nes de prestaciones por</w:t>
      </w:r>
      <w:r w:rsidR="00545D1B" w:rsidRPr="00742A04">
        <w:t xml:space="preserve"> </w:t>
      </w:r>
      <w:r w:rsidR="008D28E3">
        <w:t>maternidad/paternidad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adop</w:t>
      </w:r>
      <w:r w:rsidR="00C14BFF" w:rsidRPr="00742A04">
        <w:t xml:space="preserve">ción </w:t>
      </w:r>
      <w:r w:rsidR="007D406D" w:rsidRPr="00742A04">
        <w:t>tienen un gran</w:t>
      </w:r>
      <w:r w:rsidR="00545D1B" w:rsidRPr="00742A04">
        <w:t xml:space="preserve"> </w:t>
      </w:r>
      <w:r w:rsidR="005D2D07" w:rsidRPr="00742A04">
        <w:t>potencial</w:t>
      </w:r>
      <w:r w:rsidR="00545D1B" w:rsidRPr="00742A04">
        <w:t xml:space="preserve"> </w:t>
      </w:r>
      <w:r w:rsidR="00F43124" w:rsidRPr="00742A04">
        <w:t>par</w:t>
      </w:r>
      <w:r w:rsidR="00B31D97" w:rsidRPr="00742A04">
        <w:t>a mejorar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D406D" w:rsidRPr="00742A04">
        <w:t xml:space="preserve">el sentido de </w:t>
      </w:r>
      <w:r w:rsidR="00545D1B" w:rsidRPr="00742A04">
        <w:t>regla</w:t>
      </w:r>
      <w:r w:rsidR="007D406D" w:rsidRPr="00742A04">
        <w:t>menta</w:t>
      </w:r>
      <w:r w:rsidR="008907B8" w:rsidRPr="00742A04">
        <w:t>ciones</w:t>
      </w:r>
      <w:r w:rsidR="00545D1B" w:rsidRPr="00742A04">
        <w:t xml:space="preserve"> </w:t>
      </w:r>
      <w:r w:rsidR="007D406D" w:rsidRPr="00742A04">
        <w:t xml:space="preserve">más igualitarias </w:t>
      </w:r>
      <w:r w:rsidR="00F43124" w:rsidRPr="00742A04">
        <w:t>para</w:t>
      </w:r>
      <w:r w:rsidR="00545D1B" w:rsidRPr="00742A04">
        <w:t xml:space="preserve"> </w:t>
      </w:r>
      <w:r w:rsidR="005E2D7A" w:rsidRPr="00742A04">
        <w:t>los padres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>las madres</w:t>
      </w:r>
      <w:r w:rsidR="00545D1B" w:rsidRPr="00742A04">
        <w:t>.</w:t>
      </w:r>
    </w:p>
    <w:p w:rsidR="000A08D8" w:rsidRPr="00742A04" w:rsidRDefault="004A0730" w:rsidP="00D574C4">
      <w:pPr>
        <w:pStyle w:val="SingleTxt"/>
        <w:ind w:firstLine="475"/>
      </w:pPr>
      <w:r w:rsidRPr="00742A04">
        <w:t>En</w:t>
      </w:r>
      <w:r w:rsidR="00545D1B" w:rsidRPr="00742A04">
        <w:t xml:space="preserve"> 2005 </w:t>
      </w:r>
      <w:r w:rsidR="007D406D" w:rsidRPr="00742A04">
        <w:t>se presentó un</w:t>
      </w:r>
      <w:r w:rsidR="00545D1B" w:rsidRPr="00742A04">
        <w:t xml:space="preserve">a </w:t>
      </w:r>
      <w:r w:rsidR="003C25BF" w:rsidRPr="00742A04">
        <w:t>propuesta</w:t>
      </w:r>
      <w:r w:rsidR="00545D1B" w:rsidRPr="00742A04">
        <w:t xml:space="preserve"> </w:t>
      </w:r>
      <w:r w:rsidR="007D406D" w:rsidRPr="00742A04">
        <w:t>par</w:t>
      </w:r>
      <w:r w:rsidR="0030626A" w:rsidRPr="00742A04">
        <w:t>a</w:t>
      </w:r>
      <w:r w:rsidR="007D406D" w:rsidRPr="00742A04">
        <w:t xml:space="preserve"> simplificar</w:t>
      </w:r>
      <w:r w:rsidR="00545D1B" w:rsidRPr="00742A04">
        <w:t xml:space="preserve"> </w:t>
      </w:r>
      <w:r w:rsidR="00130F7F" w:rsidRPr="00742A04">
        <w:t>las normas</w:t>
      </w:r>
      <w:r w:rsidR="00545D1B" w:rsidRPr="00742A04">
        <w:t xml:space="preserve"> </w:t>
      </w:r>
      <w:r w:rsidR="007D406D" w:rsidRPr="00742A04">
        <w:t xml:space="preserve">relativas a las </w:t>
      </w:r>
      <w:r w:rsidR="003D75F0" w:rsidRPr="00742A04">
        <w:t>prestaciones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7D406D" w:rsidRPr="00742A04">
        <w:t xml:space="preserve">el </w:t>
      </w:r>
      <w:r w:rsidR="002E5047" w:rsidRPr="00742A04">
        <w:t>embarazo</w:t>
      </w:r>
      <w:r w:rsidR="00545D1B" w:rsidRPr="00742A04">
        <w:t xml:space="preserve">, </w:t>
      </w:r>
      <w:r w:rsidR="007B45F5" w:rsidRPr="00742A04">
        <w:t>el nacimiento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D406D" w:rsidRPr="00742A04">
        <w:t xml:space="preserve">la </w:t>
      </w:r>
      <w:r w:rsidR="00545D1B" w:rsidRPr="00742A04">
        <w:t>adop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837D84" w:rsidRPr="00742A04">
        <w:t>El objetivo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8094F" w:rsidRPr="00742A04">
        <w:t>lograr</w:t>
      </w:r>
      <w:r w:rsidR="00545D1B" w:rsidRPr="00742A04">
        <w:t xml:space="preserve"> </w:t>
      </w:r>
      <w:r w:rsidR="007D406D" w:rsidRPr="00742A04">
        <w:t xml:space="preserve">una </w:t>
      </w:r>
      <w:r w:rsidR="00545D1B" w:rsidRPr="00742A04">
        <w:t>simplifica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982243" w:rsidRPr="00742A04">
        <w:t>un mayor grado de</w:t>
      </w:r>
      <w:r w:rsidR="00545D1B" w:rsidRPr="00742A04">
        <w:t xml:space="preserve"> flexib</w:t>
      </w:r>
      <w:r w:rsidR="00502E16" w:rsidRPr="00742A04">
        <w:t>ilidad</w:t>
      </w:r>
      <w:r w:rsidR="00545D1B" w:rsidRPr="00742A04">
        <w:t xml:space="preserve">. </w:t>
      </w:r>
      <w:r w:rsidR="007D406D" w:rsidRPr="00742A04">
        <w:t>La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 xml:space="preserve"> </w:t>
      </w:r>
      <w:r w:rsidR="007D406D" w:rsidRPr="00742A04">
        <w:t>co</w:t>
      </w:r>
      <w:r w:rsidR="007D406D" w:rsidRPr="00742A04">
        <w:t>m</w:t>
      </w:r>
      <w:r w:rsidR="007D406D" w:rsidRPr="00742A04">
        <w:t>prende una mejora de</w:t>
      </w:r>
      <w:r w:rsidR="00545D1B" w:rsidRPr="00742A04">
        <w:t xml:space="preserve"> </w:t>
      </w:r>
      <w:r w:rsidR="000472FC" w:rsidRPr="00742A04">
        <w:t>la situación</w:t>
      </w:r>
      <w:r w:rsidR="00C14BFF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7D406D" w:rsidRPr="00742A04">
        <w:t>los padres y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7D406D" w:rsidRPr="00742A04">
        <w:t>deseen</w:t>
      </w:r>
      <w:r w:rsidR="00545D1B" w:rsidRPr="00742A04">
        <w:t xml:space="preserve"> combin</w:t>
      </w:r>
      <w:r w:rsidR="007D406D" w:rsidRPr="00742A04">
        <w:t>ar</w:t>
      </w:r>
      <w:r w:rsidR="00545D1B" w:rsidRPr="00742A04">
        <w:t xml:space="preserve"> </w:t>
      </w:r>
      <w:r w:rsidR="009E3199" w:rsidRPr="00742A04">
        <w:t xml:space="preserve">prestaciones </w:t>
      </w:r>
      <w:r w:rsidR="007D406D" w:rsidRPr="00742A04">
        <w:t xml:space="preserve">parciales </w:t>
      </w:r>
      <w:r w:rsidR="009E3199" w:rsidRPr="00742A04">
        <w:t>por maternidad o paternidad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A31FF2" w:rsidRPr="00742A04">
        <w:t>el trabajo a tiempo parcial</w:t>
      </w:r>
      <w:r w:rsidR="00545D1B" w:rsidRPr="00742A04">
        <w:t xml:space="preserve">, </w:t>
      </w:r>
      <w:r w:rsidR="00C938AE" w:rsidRPr="00742A04">
        <w:t>reducir</w:t>
      </w:r>
      <w:r w:rsidR="00545D1B" w:rsidRPr="00742A04">
        <w:t xml:space="preserve"> </w:t>
      </w:r>
      <w:r w:rsidR="004B1620" w:rsidRPr="00742A04">
        <w:t>las posibilidades</w:t>
      </w:r>
      <w:r w:rsidR="00545D1B" w:rsidRPr="00742A04">
        <w:t xml:space="preserve"> </w:t>
      </w:r>
      <w:r w:rsidR="007D406D" w:rsidRPr="00742A04">
        <w:t>de la</w:t>
      </w:r>
      <w:r w:rsidR="00545D1B" w:rsidRPr="00742A04">
        <w:t xml:space="preserve"> exe</w:t>
      </w:r>
      <w:r w:rsidR="007D406D" w:rsidRPr="00742A04">
        <w:t>n</w:t>
      </w:r>
      <w:r w:rsidR="00C14BFF" w:rsidRPr="00742A04">
        <w:t xml:space="preserve">ción </w:t>
      </w:r>
      <w:r w:rsidR="008F0C8E" w:rsidRPr="00742A04">
        <w:t>de</w:t>
      </w:r>
      <w:r w:rsidR="007D406D" w:rsidRPr="00742A04">
        <w:t>l uso de</w:t>
      </w:r>
      <w:r w:rsidR="00545D1B" w:rsidRPr="00742A04">
        <w:t xml:space="preserve"> </w:t>
      </w:r>
      <w:r w:rsidR="007B45F5" w:rsidRPr="00742A04">
        <w:t xml:space="preserve">la </w:t>
      </w:r>
      <w:r w:rsidR="00436CEE" w:rsidRPr="00742A04">
        <w:t>cuota paterna</w:t>
      </w:r>
      <w:r w:rsidR="007D406D" w:rsidRPr="00742A04">
        <w:t xml:space="preserve"> e</w:t>
      </w:r>
      <w:r w:rsidR="00545D1B" w:rsidRPr="00742A04">
        <w:t xml:space="preserve"> intro</w:t>
      </w:r>
      <w:r w:rsidR="007D406D" w:rsidRPr="00742A04">
        <w:t>ducir</w:t>
      </w:r>
      <w:r w:rsidR="00545D1B" w:rsidRPr="00742A04">
        <w:t xml:space="preserve"> </w:t>
      </w:r>
      <w:r w:rsidR="00802868" w:rsidRPr="00742A04">
        <w:t>normas</w:t>
      </w:r>
      <w:r w:rsidR="00545D1B" w:rsidRPr="00742A04">
        <w:t xml:space="preserve"> </w:t>
      </w:r>
      <w:r w:rsidR="007D406D" w:rsidRPr="00742A04">
        <w:t xml:space="preserve">más flexibles </w:t>
      </w:r>
      <w:r w:rsidR="00F43124" w:rsidRPr="00742A04">
        <w:t>para</w:t>
      </w:r>
      <w:r w:rsidR="007D406D" w:rsidRPr="00742A04">
        <w:t xml:space="preserve"> el</w:t>
      </w:r>
      <w:r w:rsidR="00545D1B" w:rsidRPr="00742A04">
        <w:t xml:space="preserve"> </w:t>
      </w:r>
      <w:r w:rsidR="00242371" w:rsidRPr="00742A04">
        <w:t>uso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B45F5" w:rsidRPr="00742A04">
        <w:t xml:space="preserve">la </w:t>
      </w:r>
      <w:r w:rsidR="00436CEE" w:rsidRPr="00742A04">
        <w:t>cuota paterna</w:t>
      </w:r>
      <w:r w:rsidR="00545D1B" w:rsidRPr="00742A04">
        <w:t xml:space="preserve">. </w:t>
      </w:r>
      <w:r w:rsidR="007D406D" w:rsidRPr="00742A04">
        <w:t>La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sug</w:t>
      </w:r>
      <w:r w:rsidR="007D406D" w:rsidRPr="00742A04">
        <w:t>iere que se cambie el nombre de la prestación por la prestación por</w:t>
      </w:r>
      <w:r w:rsidR="00545D1B" w:rsidRPr="00742A04">
        <w:t xml:space="preserve"> matern</w:t>
      </w:r>
      <w:r w:rsidR="00502E16" w:rsidRPr="00742A04">
        <w:t>idad</w:t>
      </w:r>
      <w:r w:rsidR="007D406D" w:rsidRPr="00742A04">
        <w:t xml:space="preserve"> o </w:t>
      </w:r>
      <w:r w:rsidR="00545D1B" w:rsidRPr="00742A04">
        <w:t>pate</w:t>
      </w:r>
      <w:r w:rsidR="00545D1B" w:rsidRPr="00742A04">
        <w:t>r</w:t>
      </w:r>
      <w:r w:rsidR="00545D1B" w:rsidRPr="00742A04">
        <w:t>n</w:t>
      </w:r>
      <w:r w:rsidR="00502E16" w:rsidRPr="00742A04">
        <w:t>idad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7D406D" w:rsidRPr="00742A04">
        <w:t xml:space="preserve">la prestación por </w:t>
      </w:r>
      <w:r w:rsidR="00545D1B" w:rsidRPr="00742A04">
        <w:t>adop</w:t>
      </w:r>
      <w:r w:rsidR="00C14BFF" w:rsidRPr="00742A04">
        <w:t>ción</w:t>
      </w:r>
      <w:r w:rsidR="00350E03" w:rsidRPr="00742A04">
        <w:t>, que pasarían a denominarse</w:t>
      </w:r>
      <w:r w:rsidR="00C14BFF" w:rsidRPr="00742A04">
        <w:t xml:space="preserve"> </w:t>
      </w:r>
      <w:r w:rsidR="00350E03" w:rsidRPr="00742A04">
        <w:t>prestación</w:t>
      </w:r>
      <w:r w:rsidR="00545D1B" w:rsidRPr="00742A04">
        <w:t xml:space="preserve"> parental, </w:t>
      </w:r>
      <w:r w:rsidR="00232DF9" w:rsidRPr="00742A04">
        <w:t>entre otras cosas</w:t>
      </w:r>
      <w:r w:rsidR="00545D1B" w:rsidRPr="00742A04">
        <w:t xml:space="preserve"> </w:t>
      </w:r>
      <w:r w:rsidR="00350E03" w:rsidRPr="00742A04">
        <w:t>para poner de relieve</w:t>
      </w:r>
      <w:r w:rsidR="00BD47D3" w:rsidRPr="00742A04">
        <w:t xml:space="preserve"> que</w:t>
      </w:r>
      <w:r w:rsidR="00545D1B" w:rsidRPr="00742A04">
        <w:t xml:space="preserve"> </w:t>
      </w:r>
      <w:r w:rsidR="00350E03" w:rsidRPr="00742A04">
        <w:t>la finalidad del</w:t>
      </w:r>
      <w:r w:rsidR="00545D1B" w:rsidRPr="00742A04">
        <w:t xml:space="preserve"> </w:t>
      </w:r>
      <w:r w:rsidR="0063400A" w:rsidRPr="00742A04">
        <w:t>plan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350E03" w:rsidRPr="00742A04">
        <w:t>abarcar tanto a las</w:t>
      </w:r>
      <w:r w:rsidR="005E2D7A" w:rsidRPr="00742A04">
        <w:t xml:space="preserve"> madres</w:t>
      </w:r>
      <w:r w:rsidR="00545D1B" w:rsidRPr="00742A04">
        <w:t xml:space="preserve"> </w:t>
      </w:r>
      <w:r w:rsidR="00350E03" w:rsidRPr="00742A04">
        <w:t>como a</w:t>
      </w:r>
      <w:r w:rsidR="00545D1B" w:rsidRPr="00742A04">
        <w:t xml:space="preserve"> </w:t>
      </w:r>
      <w:r w:rsidR="005E2D7A" w:rsidRPr="00742A04">
        <w:t>los padres</w:t>
      </w:r>
      <w:r w:rsidR="00545D1B" w:rsidRPr="00742A04">
        <w:t xml:space="preserve">. </w:t>
      </w:r>
      <w:r w:rsidR="00350E03" w:rsidRPr="00742A04">
        <w:t>Esas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 xml:space="preserve">s </w:t>
      </w:r>
      <w:r w:rsidR="00350E03" w:rsidRPr="00742A04">
        <w:t>ya han sido aprobadas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50E03" w:rsidRPr="00742A04">
        <w:t>entrarán en v</w:t>
      </w:r>
      <w:r w:rsidR="00350E03" w:rsidRPr="00742A04">
        <w:t>i</w:t>
      </w:r>
      <w:r w:rsidR="00350E03" w:rsidRPr="00742A04">
        <w:t>gor</w:t>
      </w:r>
      <w:r w:rsidR="00545D1B" w:rsidRPr="00742A04">
        <w:t xml:space="preserve"> </w:t>
      </w:r>
      <w:r w:rsidR="00C076F2" w:rsidRPr="00742A04">
        <w:t>el 1°</w:t>
      </w:r>
      <w:r w:rsidR="00194AB3" w:rsidRPr="00742A04">
        <w:t xml:space="preserve"> de enero</w:t>
      </w:r>
      <w:r w:rsidRPr="00742A04">
        <w:t xml:space="preserve"> de</w:t>
      </w:r>
      <w:r w:rsidR="00545D1B" w:rsidRPr="00742A04">
        <w:t xml:space="preserve"> 2007</w:t>
      </w:r>
      <w:r w:rsidR="000A08D8" w:rsidRPr="00742A04">
        <w:t>.</w:t>
      </w:r>
    </w:p>
    <w:p w:rsidR="00545D1B" w:rsidRPr="00742A04" w:rsidRDefault="008F0C8E" w:rsidP="00D574C4">
      <w:pPr>
        <w:pStyle w:val="SingleTxt"/>
        <w:ind w:firstLine="475"/>
      </w:pPr>
      <w:r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BB4DB1" w:rsidRPr="00742A04">
        <w:t>es</w:t>
      </w:r>
      <w:r w:rsidR="00350E03" w:rsidRPr="00742A04">
        <w:t>tá</w:t>
      </w:r>
      <w:r w:rsidR="002232C2" w:rsidRPr="00742A04">
        <w:t xml:space="preserve"> trabajan</w:t>
      </w:r>
      <w:r w:rsidR="00350E03" w:rsidRPr="00742A04">
        <w:t>do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4D313C" w:rsidRPr="00742A04">
        <w:t>varios</w:t>
      </w:r>
      <w:r w:rsidR="00545D1B" w:rsidRPr="00742A04">
        <w:t xml:space="preserve"> </w:t>
      </w:r>
      <w:r w:rsidR="00E8085E" w:rsidRPr="00742A04">
        <w:t>otros m</w:t>
      </w:r>
      <w:r w:rsidR="00E8085E" w:rsidRPr="00742A04">
        <w:t>i</w:t>
      </w:r>
      <w:r w:rsidR="00E8085E" w:rsidRPr="00742A04">
        <w:t>nisterios</w:t>
      </w:r>
      <w:r w:rsidR="00545D1B" w:rsidRPr="00742A04">
        <w:t xml:space="preserve"> </w:t>
      </w:r>
      <w:r w:rsidR="00350E03" w:rsidRPr="00742A04">
        <w:t>par</w:t>
      </w:r>
      <w:r w:rsidR="0030626A" w:rsidRPr="00742A04">
        <w:t>a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50E03" w:rsidRPr="00742A04">
        <w:t>las personas que trabajan por cuenta propia</w:t>
      </w:r>
      <w:r w:rsidR="00545D1B" w:rsidRPr="00742A04">
        <w:t xml:space="preserve"> </w:t>
      </w:r>
      <w:r w:rsidR="00350E03" w:rsidRPr="00742A04">
        <w:t>de modo que</w:t>
      </w:r>
      <w:r w:rsidR="00545D1B" w:rsidRPr="00742A04">
        <w:t xml:space="preserve"> </w:t>
      </w:r>
      <w:r w:rsidR="00350E03" w:rsidRPr="00742A04">
        <w:t>es</w:t>
      </w:r>
      <w:r w:rsidR="00116976" w:rsidRPr="00742A04">
        <w:t>e grupo</w:t>
      </w:r>
      <w:r w:rsidR="00545D1B" w:rsidRPr="00742A04">
        <w:t xml:space="preserve"> </w:t>
      </w:r>
      <w:r w:rsidR="007D66F2" w:rsidRPr="00742A04">
        <w:t>ten</w:t>
      </w:r>
      <w:r w:rsidR="00350E03" w:rsidRPr="00742A04">
        <w:t>ga los</w:t>
      </w:r>
      <w:r w:rsidR="006E0918" w:rsidRPr="00742A04">
        <w:t xml:space="preserve"> mismo</w:t>
      </w:r>
      <w:r w:rsidR="00350E03" w:rsidRPr="00742A04">
        <w:t>s</w:t>
      </w:r>
      <w:r w:rsidR="006E0918" w:rsidRPr="00742A04">
        <w:t xml:space="preserve"> derecho</w:t>
      </w:r>
      <w:r w:rsidR="00545D1B" w:rsidRPr="00742A04">
        <w:t xml:space="preserve">s </w:t>
      </w:r>
      <w:r w:rsidR="00350E03" w:rsidRPr="00742A04">
        <w:t>que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. </w:t>
      </w:r>
      <w:r w:rsidR="00350E03" w:rsidRPr="00742A04">
        <w:t>Actualmente</w:t>
      </w:r>
      <w:r w:rsidR="00545D1B" w:rsidRPr="00742A04">
        <w:t xml:space="preserve">, </w:t>
      </w:r>
      <w:r w:rsidR="00350E03" w:rsidRPr="00742A04">
        <w:t>las personas que trabajan por cuenta propia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63079C" w:rsidRPr="00742A04">
        <w:t xml:space="preserve">una compensación del </w:t>
      </w:r>
      <w:r w:rsidR="00545D1B" w:rsidRPr="00742A04">
        <w:t>65</w:t>
      </w:r>
      <w:r w:rsidR="001167D2" w:rsidRPr="00742A04">
        <w:t>%</w:t>
      </w:r>
      <w:r w:rsidR="00545D1B" w:rsidRPr="00742A04">
        <w:t xml:space="preserve"> </w:t>
      </w:r>
      <w:r w:rsidR="0063079C" w:rsidRPr="00742A04">
        <w:t xml:space="preserve">de </w:t>
      </w:r>
      <w:r w:rsidR="005E2D7A" w:rsidRPr="00742A04">
        <w:t>los ingresos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D4688" w:rsidRPr="00742A04">
        <w:t>debe</w:t>
      </w:r>
      <w:r w:rsidR="0063079C" w:rsidRPr="00742A04">
        <w:t>n tener un seguro ad</w:t>
      </w:r>
      <w:r w:rsidR="00545D1B" w:rsidRPr="00742A04">
        <w:t>i</w:t>
      </w:r>
      <w:r w:rsidR="0063079C" w:rsidRPr="00742A04">
        <w:t>c</w:t>
      </w:r>
      <w:r w:rsidR="00545D1B" w:rsidRPr="00742A04">
        <w:t xml:space="preserve">ional </w:t>
      </w:r>
      <w:r w:rsidR="0063079C" w:rsidRPr="00742A04">
        <w:t>par</w:t>
      </w:r>
      <w:r w:rsidR="0030626A" w:rsidRPr="00742A04">
        <w:t>a</w:t>
      </w:r>
      <w:r w:rsidR="00545D1B" w:rsidRPr="00742A04">
        <w:t xml:space="preserve"> </w:t>
      </w:r>
      <w:r w:rsidR="0058094F" w:rsidRPr="00742A04">
        <w:t>lograr</w:t>
      </w:r>
      <w:r w:rsidR="0063079C" w:rsidRPr="00742A04">
        <w:t xml:space="preserve"> una cobertura del</w:t>
      </w:r>
      <w:r w:rsidR="00545D1B" w:rsidRPr="00742A04">
        <w:t xml:space="preserve"> 100</w:t>
      </w:r>
      <w:r w:rsidR="001167D2" w:rsidRPr="00742A04">
        <w:t>%</w:t>
      </w:r>
      <w:r w:rsidR="00545D1B" w:rsidRPr="00742A04">
        <w:t xml:space="preserve">. </w:t>
      </w:r>
      <w:r w:rsidR="00837D84" w:rsidRPr="00742A04">
        <w:t>El objetivo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63079C" w:rsidRPr="00742A04">
        <w:t>que</w:t>
      </w:r>
      <w:r w:rsidR="00545D1B" w:rsidRPr="00742A04">
        <w:t xml:space="preserve"> </w:t>
      </w:r>
      <w:r w:rsidR="00350E03" w:rsidRPr="00742A04">
        <w:t>las personas que trabajan por cuenta propia</w:t>
      </w:r>
      <w:r w:rsidR="00545D1B" w:rsidRPr="00742A04">
        <w:t xml:space="preserve"> </w:t>
      </w:r>
      <w:r w:rsidR="009E3199" w:rsidRPr="00742A04">
        <w:t>ten</w:t>
      </w:r>
      <w:r w:rsidR="0063079C" w:rsidRPr="00742A04">
        <w:t>gan</w:t>
      </w:r>
      <w:r w:rsidR="009E3199" w:rsidRPr="00742A04">
        <w:t xml:space="preserve"> d</w:t>
      </w:r>
      <w:r w:rsidR="009E3199" w:rsidRPr="00742A04">
        <w:t>e</w:t>
      </w:r>
      <w:r w:rsidR="009E3199" w:rsidRPr="00742A04">
        <w:t>recho</w:t>
      </w:r>
      <w:r w:rsidR="00545D1B" w:rsidRPr="00742A04">
        <w:t xml:space="preserve"> </w:t>
      </w:r>
      <w:r w:rsidR="0063079C" w:rsidRPr="00742A04">
        <w:t>a una compensación del 100% de los ingresos</w:t>
      </w:r>
      <w:r w:rsidR="00935A90" w:rsidRPr="00742A04">
        <w:t>,</w:t>
      </w:r>
      <w:r w:rsidR="00545D1B" w:rsidRPr="00742A04">
        <w:t xml:space="preserve"> </w:t>
      </w:r>
      <w:r w:rsidR="00877086" w:rsidRPr="00742A04">
        <w:t>independientemente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63079C" w:rsidRPr="00742A04">
        <w:t>tienen un seguro adicional</w:t>
      </w:r>
      <w:r w:rsidR="00545D1B" w:rsidRPr="00742A04">
        <w:t xml:space="preserve">. </w:t>
      </w:r>
      <w:r w:rsidR="00894371" w:rsidRPr="00742A04">
        <w:t xml:space="preserve">El fortalecimiento de los derechos de las personas que trabajan por cuenta propia </w:t>
      </w:r>
      <w:r w:rsidR="00894371">
        <w:t>mejora</w:t>
      </w:r>
      <w:r w:rsidR="00894371" w:rsidRPr="00742A04">
        <w:t>rá las oportunidades para que las mujeres y los hombres</w:t>
      </w:r>
      <w:r w:rsidR="00894371">
        <w:t xml:space="preserve"> que</w:t>
      </w:r>
      <w:r w:rsidR="00894371" w:rsidRPr="00742A04">
        <w:t xml:space="preserve"> trabajan por cuenta propi</w:t>
      </w:r>
      <w:r w:rsidR="00894371">
        <w:t xml:space="preserve">a </w:t>
      </w:r>
      <w:r w:rsidR="00894371" w:rsidRPr="00742A04">
        <w:t>combin</w:t>
      </w:r>
      <w:r w:rsidR="00894371">
        <w:t>en</w:t>
      </w:r>
      <w:r w:rsidR="00894371" w:rsidRPr="00742A04">
        <w:t xml:space="preserve"> sus actividades empresariales con las respo</w:t>
      </w:r>
      <w:r w:rsidR="00894371" w:rsidRPr="00742A04">
        <w:t>n</w:t>
      </w:r>
      <w:r w:rsidR="00894371" w:rsidRPr="00742A04">
        <w:t>sabilidades en materia de cuidado.</w:t>
      </w:r>
    </w:p>
    <w:p w:rsidR="00F53AEF" w:rsidRPr="00742A04" w:rsidRDefault="00F53AEF" w:rsidP="00F53AEF">
      <w:pPr>
        <w:pStyle w:val="H23"/>
        <w:spacing w:line="120" w:lineRule="exact"/>
        <w:ind w:left="1267"/>
        <w:rPr>
          <w:bCs/>
          <w:sz w:val="10"/>
        </w:rPr>
      </w:pPr>
      <w:bookmarkStart w:id="62" w:name="_Toc147129477"/>
    </w:p>
    <w:p w:rsidR="00F53AEF" w:rsidRPr="00742A04" w:rsidRDefault="00814B5D" w:rsidP="004173B8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F53AEF" w:rsidRPr="00742A04">
        <w:rPr>
          <w:bCs/>
        </w:rPr>
        <w:t xml:space="preserve"> 11.2</w:t>
      </w:r>
      <w:r w:rsidR="004173B8" w:rsidRPr="00742A04">
        <w:rPr>
          <w:bCs/>
        </w:rPr>
        <w:t xml:space="preserve"> </w:t>
      </w:r>
      <w:r w:rsidR="00F53AEF" w:rsidRPr="00742A04">
        <w:rPr>
          <w:bCs/>
          <w:i/>
        </w:rPr>
        <w:t>c</w:t>
      </w:r>
    </w:p>
    <w:p w:rsidR="00545D1B" w:rsidRPr="00742A04" w:rsidRDefault="00B83FEB" w:rsidP="004173B8">
      <w:pPr>
        <w:pStyle w:val="H23"/>
        <w:ind w:left="1267"/>
        <w:rPr>
          <w:bCs/>
        </w:rPr>
      </w:pPr>
      <w:r w:rsidRPr="00742A04">
        <w:rPr>
          <w:bCs/>
        </w:rPr>
        <w:t>Guarderías</w:t>
      </w:r>
      <w:r w:rsidR="00545D1B" w:rsidRPr="00742A04">
        <w:rPr>
          <w:bCs/>
        </w:rPr>
        <w:t>, etc.</w:t>
      </w:r>
      <w:bookmarkEnd w:id="62"/>
    </w:p>
    <w:p w:rsidR="00F53AEF" w:rsidRPr="00742A04" w:rsidRDefault="00F53AEF" w:rsidP="00F53AEF">
      <w:pPr>
        <w:pStyle w:val="SingleTxt"/>
        <w:spacing w:after="0" w:line="120" w:lineRule="exact"/>
        <w:rPr>
          <w:i/>
          <w:sz w:val="10"/>
        </w:rPr>
      </w:pPr>
    </w:p>
    <w:p w:rsidR="00545D1B" w:rsidRPr="00742A04" w:rsidRDefault="00B83FEB" w:rsidP="002C4922">
      <w:pPr>
        <w:pStyle w:val="SingleTxt"/>
        <w:rPr>
          <w:i/>
        </w:rPr>
      </w:pPr>
      <w:r w:rsidRPr="00742A04">
        <w:rPr>
          <w:i/>
        </w:rPr>
        <w:t>Guarderías</w:t>
      </w:r>
    </w:p>
    <w:p w:rsidR="00545D1B" w:rsidRPr="00742A04" w:rsidRDefault="0063079C" w:rsidP="001633F4">
      <w:pPr>
        <w:pStyle w:val="SingleTxt"/>
        <w:ind w:firstLine="475"/>
      </w:pPr>
      <w:r w:rsidRPr="00742A04">
        <w:t>El cuidado durante todo el día es un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7D4688" w:rsidRPr="00742A04">
        <w:t>instrumento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242371" w:rsidRPr="00742A04">
        <w:t>incrementar</w:t>
      </w:r>
      <w:r w:rsidR="00545D1B" w:rsidRPr="00742A04">
        <w:t xml:space="preserve"> </w:t>
      </w:r>
      <w:r w:rsidRPr="00742A04">
        <w:t xml:space="preserve">la </w:t>
      </w:r>
      <w:r w:rsidR="00502E16" w:rsidRPr="00742A04">
        <w:t>igualdad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. </w:t>
      </w:r>
      <w:r w:rsidRPr="00742A04">
        <w:t>Las g</w:t>
      </w:r>
      <w:r w:rsidR="00B83FEB" w:rsidRPr="00742A04">
        <w:t>uarderías</w:t>
      </w:r>
      <w:r w:rsidR="00545D1B" w:rsidRPr="00742A04">
        <w:t xml:space="preserve"> </w:t>
      </w:r>
      <w:r w:rsidRPr="00742A04">
        <w:t xml:space="preserve">u </w:t>
      </w:r>
      <w:r w:rsidR="00894371" w:rsidRPr="00742A04">
        <w:t>otros servicios educacionales pertinentes</w:t>
      </w:r>
      <w:r w:rsidR="00B31D97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Pr="00742A04">
        <w:t>un elemento necesario para que los padres y las madres puedan</w:t>
      </w:r>
      <w:r w:rsidR="00545D1B" w:rsidRPr="00742A04">
        <w:t xml:space="preserve"> </w:t>
      </w:r>
      <w:r w:rsidRPr="00742A04">
        <w:t>combinar el cuidado</w:t>
      </w:r>
      <w:r w:rsidR="00545D1B" w:rsidRPr="00742A04">
        <w:t xml:space="preserve"> </w:t>
      </w:r>
      <w:r w:rsidR="00C076F2" w:rsidRPr="00742A04">
        <w:t xml:space="preserve">de los </w:t>
      </w:r>
      <w:r w:rsidRPr="00742A04">
        <w:t>hij</w:t>
      </w:r>
      <w:r w:rsidR="002F3238" w:rsidRPr="00742A04">
        <w:t>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16976" w:rsidRPr="00742A04">
        <w:t>el trabajo</w:t>
      </w:r>
      <w:r w:rsidR="00545D1B" w:rsidRPr="00742A04">
        <w:t xml:space="preserve"> </w:t>
      </w:r>
      <w:r w:rsidR="003E4840" w:rsidRPr="00742A04">
        <w:t>después de</w:t>
      </w:r>
      <w:r w:rsidR="00545D1B" w:rsidRPr="00742A04">
        <w:t xml:space="preserve"> </w:t>
      </w:r>
      <w:r w:rsidRPr="00742A04">
        <w:t xml:space="preserve">la finalización de </w:t>
      </w:r>
      <w:r w:rsidR="00F97F41" w:rsidRPr="00742A04">
        <w:t>su</w:t>
      </w:r>
      <w:r w:rsidR="00545D1B" w:rsidRPr="00742A04">
        <w:t xml:space="preserve"> </w:t>
      </w:r>
      <w:r w:rsidR="00072261" w:rsidRPr="00742A04">
        <w:t>período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l</w:t>
      </w:r>
      <w:r w:rsidRPr="00742A04">
        <w:t>icencia</w:t>
      </w:r>
      <w:r w:rsidR="00545D1B" w:rsidRPr="00742A04">
        <w:t xml:space="preserve">. </w:t>
      </w:r>
      <w:r w:rsidR="00894371" w:rsidRPr="00742A04">
        <w:t>Los arreglos en materia de horarios de trabajo flexibles o reducidos y la posibilidad de quedarse en casa con l</w:t>
      </w:r>
      <w:r w:rsidR="00894371" w:rsidRPr="00742A04">
        <w:t>i</w:t>
      </w:r>
      <w:r w:rsidR="00894371" w:rsidRPr="00742A04">
        <w:t>cencia rem</w:t>
      </w:r>
      <w:r w:rsidR="00894371" w:rsidRPr="00742A04">
        <w:t>u</w:t>
      </w:r>
      <w:r w:rsidR="00894371" w:rsidRPr="00742A04">
        <w:t>nerada si un hijo está enfermo también son vitalmente importantes para los padres y madres</w:t>
      </w:r>
      <w:r w:rsidR="00894371">
        <w:t xml:space="preserve"> que trabajan</w:t>
      </w:r>
      <w:r w:rsidR="00894371" w:rsidRPr="00742A04">
        <w:t xml:space="preserve"> y tienen hijos pequeños.</w:t>
      </w:r>
    </w:p>
    <w:p w:rsidR="000A08D8" w:rsidRPr="00742A04" w:rsidRDefault="0063079C" w:rsidP="001633F4">
      <w:pPr>
        <w:pStyle w:val="SingleTxt"/>
        <w:ind w:firstLine="475"/>
      </w:pPr>
      <w:r w:rsidRPr="00742A04">
        <w:t>Las g</w:t>
      </w:r>
      <w:r w:rsidR="00B83FEB" w:rsidRPr="00742A04">
        <w:t>uarderías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E7B93" w:rsidRPr="00742A04">
        <w:t>importante</w:t>
      </w:r>
      <w:r w:rsidR="00232DF9" w:rsidRPr="00742A04">
        <w:t>s</w:t>
      </w:r>
      <w:r w:rsidRPr="00742A04">
        <w:t xml:space="preserve"> para que</w:t>
      </w:r>
      <w:r w:rsidR="00545D1B" w:rsidRPr="00742A04">
        <w:t xml:space="preserve"> </w:t>
      </w:r>
      <w:r w:rsidRPr="00742A04">
        <w:t>los padres y las madres</w:t>
      </w:r>
      <w:r w:rsidR="00545D1B" w:rsidRPr="00742A04">
        <w:t xml:space="preserve"> </w:t>
      </w:r>
      <w:r w:rsidRPr="00742A04">
        <w:t>puedan co</w:t>
      </w:r>
      <w:r w:rsidRPr="00742A04">
        <w:t>m</w:t>
      </w:r>
      <w:r w:rsidRPr="00742A04">
        <w:t>binar</w:t>
      </w:r>
      <w:r w:rsidR="00545D1B" w:rsidRPr="00742A04">
        <w:t xml:space="preserve"> </w:t>
      </w:r>
      <w:r w:rsidRPr="00742A04">
        <w:t>las obligaciones familiares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participa</w:t>
      </w:r>
      <w:r w:rsidR="00C14BFF" w:rsidRPr="00742A04">
        <w:t>ción en</w:t>
      </w:r>
      <w:r w:rsidR="00545D1B" w:rsidRPr="00742A04">
        <w:t xml:space="preserve"> </w:t>
      </w:r>
      <w:r w:rsidR="00AD0883" w:rsidRPr="00742A04">
        <w:t>la vida laboral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, </w:t>
      </w:r>
      <w:r w:rsidR="00242371" w:rsidRPr="00742A04">
        <w:t>las guarderías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E83B7A" w:rsidRPr="00742A04">
        <w:t>instituciones educacionales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benefi</w:t>
      </w:r>
      <w:r w:rsidRPr="00742A04">
        <w:t>cio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los 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 </w:t>
      </w:r>
      <w:r w:rsidR="006137EC" w:rsidRPr="00742A04">
        <w:t>son</w:t>
      </w:r>
      <w:r w:rsidR="00545D1B" w:rsidRPr="00742A04">
        <w:t xml:space="preserve"> </w:t>
      </w:r>
      <w:r w:rsidR="001633F4" w:rsidRPr="00742A04">
        <w:t>una parte importante</w:t>
      </w:r>
      <w:r w:rsidR="00545D1B" w:rsidRPr="00742A04">
        <w:t xml:space="preserve"> </w:t>
      </w:r>
      <w:r w:rsidR="00893DBB" w:rsidRPr="00742A04">
        <w:t xml:space="preserve">del </w:t>
      </w:r>
      <w:r w:rsidR="00B62650" w:rsidRPr="00742A04">
        <w:t>proceso de aprendizaje</w:t>
      </w:r>
      <w:r w:rsidR="00545D1B" w:rsidRPr="00742A04">
        <w:t xml:space="preserve">. </w:t>
      </w:r>
      <w:r w:rsidRPr="00742A04">
        <w:t>El</w:t>
      </w:r>
      <w:r w:rsidR="00545D1B" w:rsidRPr="00742A04">
        <w:t xml:space="preserve"> sector </w:t>
      </w:r>
      <w:r w:rsidRPr="00742A04">
        <w:t xml:space="preserve">de las guarderías se </w:t>
      </w:r>
      <w:r w:rsidR="006D7D2F" w:rsidRPr="00742A04">
        <w:t xml:space="preserve">ha </w:t>
      </w:r>
      <w:r w:rsidRPr="00742A04">
        <w:t>a</w:t>
      </w:r>
      <w:r w:rsidRPr="00742A04">
        <w:t>m</w:t>
      </w:r>
      <w:r w:rsidRPr="00742A04">
        <w:t>plia</w:t>
      </w:r>
      <w:r w:rsidR="006D7D2F" w:rsidRPr="00742A04">
        <w:t>do</w:t>
      </w:r>
      <w:r w:rsidR="00545D1B" w:rsidRPr="00742A04">
        <w:t xml:space="preserve"> </w:t>
      </w:r>
      <w:r w:rsidR="005D2D07" w:rsidRPr="00742A04">
        <w:t>significativamente</w:t>
      </w:r>
      <w:r w:rsidR="00545D1B" w:rsidRPr="00742A04">
        <w:t xml:space="preserve"> </w:t>
      </w:r>
      <w:r w:rsidRPr="00742A04">
        <w:t>en los últimos</w:t>
      </w:r>
      <w:r w:rsidR="00545D1B" w:rsidRPr="00742A04">
        <w:t xml:space="preserve"> 25 </w:t>
      </w:r>
      <w:r w:rsidR="004D313C" w:rsidRPr="00742A04">
        <w:t>años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Pr="00742A04">
        <w:t>aún no ha logrado satisfacer las</w:t>
      </w:r>
      <w:r w:rsidR="00545D1B" w:rsidRPr="00742A04">
        <w:t xml:space="preserve"> demand</w:t>
      </w:r>
      <w:r w:rsidRPr="00742A04">
        <w:t>a</w:t>
      </w:r>
      <w:r w:rsidR="00545D1B" w:rsidRPr="00742A04">
        <w:t xml:space="preserve">s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las </w:t>
      </w:r>
      <w:r w:rsidR="003E5775" w:rsidRPr="00742A04">
        <w:t>familias</w:t>
      </w:r>
      <w:r w:rsidR="00545D1B" w:rsidRPr="00742A04">
        <w:t xml:space="preserve">. </w:t>
      </w:r>
      <w:r w:rsidR="009F37AE" w:rsidRPr="00742A04">
        <w:t>En N</w:t>
      </w:r>
      <w:r w:rsidR="009F37AE" w:rsidRPr="00742A04">
        <w:t>o</w:t>
      </w:r>
      <w:r w:rsidR="009F37AE" w:rsidRPr="00742A04">
        <w:t xml:space="preserve">ruega </w:t>
      </w:r>
      <w:r w:rsidR="00FF5C49" w:rsidRPr="00742A04">
        <w:t>S</w:t>
      </w:r>
      <w:r w:rsidR="00A836A1" w:rsidRPr="00742A04">
        <w:t>ólo</w:t>
      </w:r>
      <w:r w:rsidR="00545D1B" w:rsidRPr="00742A04">
        <w:t xml:space="preserve"> </w:t>
      </w:r>
      <w:r w:rsidR="00FF5C49" w:rsidRPr="00742A04">
        <w:t>hay un mercado pequeño y en vías de disminución para</w:t>
      </w:r>
      <w:r w:rsidR="00545D1B" w:rsidRPr="00742A04">
        <w:t xml:space="preserve"> </w:t>
      </w:r>
      <w:r w:rsidR="00844FDB" w:rsidRPr="00742A04">
        <w:t xml:space="preserve">el cuidado </w:t>
      </w:r>
      <w:r w:rsidR="00FF5C49" w:rsidRPr="00742A04">
        <w:t xml:space="preserve">remunerado </w:t>
      </w:r>
      <w:r w:rsidR="00C076F2" w:rsidRPr="00742A04">
        <w:t xml:space="preserve">de los </w:t>
      </w:r>
      <w:r w:rsidR="00844FDB" w:rsidRPr="00742A04">
        <w:t>niños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F5C49" w:rsidRPr="00742A04">
        <w:t>el</w:t>
      </w:r>
      <w:r w:rsidR="00545D1B" w:rsidRPr="00742A04">
        <w:t xml:space="preserve"> </w:t>
      </w:r>
      <w:r w:rsidR="00B86412" w:rsidRPr="00742A04">
        <w:t>hogar</w:t>
      </w:r>
      <w:r w:rsidR="000A08D8" w:rsidRPr="00742A04">
        <w:t>.</w:t>
      </w:r>
    </w:p>
    <w:p w:rsidR="000A08D8" w:rsidRPr="00742A04" w:rsidRDefault="004A0730" w:rsidP="001633F4">
      <w:pPr>
        <w:pStyle w:val="SingleTxt"/>
        <w:ind w:firstLine="475"/>
      </w:pPr>
      <w:r w:rsidRPr="00742A04">
        <w:t>En</w:t>
      </w:r>
      <w:r w:rsidR="007C268A" w:rsidRPr="00742A04">
        <w:t xml:space="preserve"> 2002, en las guarderías </w:t>
      </w:r>
      <w:r w:rsidR="00545D1B" w:rsidRPr="00742A04">
        <w:t>ha</w:t>
      </w:r>
      <w:r w:rsidR="007C268A" w:rsidRPr="00742A04">
        <w:t>bía</w:t>
      </w:r>
      <w:r w:rsidR="00545D1B" w:rsidRPr="00742A04">
        <w:t xml:space="preserve"> </w:t>
      </w:r>
      <w:r w:rsidR="007C268A" w:rsidRPr="00742A04">
        <w:t>lugare</w:t>
      </w:r>
      <w:r w:rsidR="00537384" w:rsidRPr="00742A04">
        <w:t>s</w:t>
      </w:r>
      <w:r w:rsidR="007C268A" w:rsidRPr="00742A04">
        <w:t xml:space="preserve"> para 198.262 niños</w:t>
      </w:r>
      <w:r w:rsidR="00545D1B" w:rsidRPr="00742A04">
        <w:t xml:space="preserve">. </w:t>
      </w:r>
      <w:r w:rsidR="007C268A" w:rsidRPr="00742A04">
        <w:t>La cobertura n</w:t>
      </w:r>
      <w:r w:rsidR="00545D1B" w:rsidRPr="00742A04">
        <w:t>a</w:t>
      </w:r>
      <w:r w:rsidR="007C268A" w:rsidRPr="00742A04">
        <w:t>c</w:t>
      </w:r>
      <w:r w:rsidR="00545D1B" w:rsidRPr="00742A04">
        <w:t xml:space="preserve">ional </w:t>
      </w:r>
      <w:r w:rsidR="007C268A" w:rsidRPr="00742A04">
        <w:t>de guarderías</w:t>
      </w:r>
      <w:r w:rsidR="00545D1B" w:rsidRPr="00742A04">
        <w:t xml:space="preserve"> </w:t>
      </w:r>
      <w:r w:rsidR="009D1A12" w:rsidRPr="00742A04">
        <w:t>era</w:t>
      </w:r>
      <w:r w:rsidR="007C268A" w:rsidRPr="00742A04">
        <w:t xml:space="preserve"> del</w:t>
      </w:r>
      <w:r w:rsidR="00545D1B" w:rsidRPr="00742A04">
        <w:t xml:space="preserve"> 66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D6667" w:rsidRPr="00742A04">
        <w:t>grupo de edades</w:t>
      </w:r>
      <w:r w:rsidR="00545D1B" w:rsidRPr="00742A04">
        <w:t xml:space="preserve"> </w:t>
      </w:r>
      <w:r w:rsidR="007C268A" w:rsidRPr="00742A04">
        <w:t xml:space="preserve">de 1 a 5 años </w:t>
      </w:r>
      <w:r w:rsidR="00545D1B" w:rsidRPr="00742A04">
        <w:t>(</w:t>
      </w:r>
      <w:r w:rsidR="002F3238" w:rsidRPr="00742A04">
        <w:t>los niños</w:t>
      </w:r>
      <w:r w:rsidR="00545D1B" w:rsidRPr="00742A04">
        <w:t xml:space="preserve"> </w:t>
      </w:r>
      <w:r w:rsidR="007C268A" w:rsidRPr="00742A04">
        <w:t>c</w:t>
      </w:r>
      <w:r w:rsidR="007C268A" w:rsidRPr="00742A04">
        <w:t>o</w:t>
      </w:r>
      <w:r w:rsidR="007C268A" w:rsidRPr="00742A04">
        <w:t>mienzan la escuela a los</w:t>
      </w:r>
      <w:r w:rsidR="00545D1B" w:rsidRPr="00742A04">
        <w:t xml:space="preserve"> 6 </w:t>
      </w:r>
      <w:r w:rsidR="004D313C" w:rsidRPr="00742A04">
        <w:t>años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). </w:t>
      </w:r>
      <w:r w:rsidR="008F0C8E" w:rsidRPr="00742A04">
        <w:t>De</w:t>
      </w:r>
      <w:r w:rsidR="00545D1B" w:rsidRPr="00742A04">
        <w:t xml:space="preserve"> 2002 </w:t>
      </w:r>
      <w:r w:rsidR="0030626A" w:rsidRPr="00742A04">
        <w:t>a</w:t>
      </w:r>
      <w:r w:rsidR="00545D1B" w:rsidRPr="00742A04">
        <w:t xml:space="preserve"> 2004</w:t>
      </w:r>
      <w:r w:rsidR="007C268A" w:rsidRPr="00742A04">
        <w:t>,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C076F2" w:rsidRPr="00742A04">
        <w:t xml:space="preserve">de </w:t>
      </w:r>
      <w:r w:rsidR="002F3238" w:rsidRPr="00742A04">
        <w:t>niños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42371" w:rsidRPr="00742A04">
        <w:t>las guarderías</w:t>
      </w:r>
      <w:r w:rsidR="00545D1B" w:rsidRPr="00742A04">
        <w:t xml:space="preserve"> </w:t>
      </w:r>
      <w:r w:rsidR="007C268A" w:rsidRPr="00742A04">
        <w:t xml:space="preserve">tuvo un </w:t>
      </w:r>
      <w:r w:rsidR="00AC1BF5" w:rsidRPr="00742A04">
        <w:t>incremento de</w:t>
      </w:r>
      <w:r w:rsidR="00545D1B" w:rsidRPr="00742A04">
        <w:t xml:space="preserve"> </w:t>
      </w:r>
      <w:r w:rsidR="007C268A" w:rsidRPr="00742A04">
        <w:t>14.</w:t>
      </w:r>
      <w:r w:rsidR="00545D1B" w:rsidRPr="00742A04">
        <w:t xml:space="preserve">680 </w:t>
      </w:r>
      <w:r w:rsidR="00877AA0" w:rsidRPr="00742A04">
        <w:t>y</w:t>
      </w:r>
      <w:r w:rsidR="00545D1B" w:rsidRPr="00742A04">
        <w:t xml:space="preserve"> a</w:t>
      </w:r>
      <w:r w:rsidR="007C268A" w:rsidRPr="00742A04">
        <w:t xml:space="preserve"> finales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2004 </w:t>
      </w:r>
      <w:r w:rsidR="007C268A" w:rsidRPr="00742A04">
        <w:t>la tasa de cobertura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7C268A" w:rsidRPr="00742A04">
        <w:t xml:space="preserve">del </w:t>
      </w:r>
      <w:r w:rsidR="00545D1B" w:rsidRPr="00742A04">
        <w:t>72</w:t>
      </w:r>
      <w:r w:rsidR="001167D2" w:rsidRPr="00742A04">
        <w:t>%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="009F37AE">
        <w:t xml:space="preserve">el </w:t>
      </w:r>
      <w:r w:rsidR="003D6667" w:rsidRPr="00742A04">
        <w:t>grupo de edades</w:t>
      </w:r>
      <w:r w:rsidR="00545D1B" w:rsidRPr="00742A04">
        <w:t xml:space="preserve"> </w:t>
      </w:r>
      <w:r w:rsidR="007C268A" w:rsidRPr="00742A04">
        <w:t>de 3 a 5 años la tasa de cobertura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7C268A" w:rsidRPr="00742A04">
        <w:t xml:space="preserve">del </w:t>
      </w:r>
      <w:r w:rsidR="00545D1B" w:rsidRPr="00742A04">
        <w:t>88</w:t>
      </w:r>
      <w:r w:rsidR="001167D2" w:rsidRPr="00742A04">
        <w:t>%</w:t>
      </w:r>
      <w:r w:rsidR="00545D1B" w:rsidRPr="00742A04">
        <w:t xml:space="preserve">. </w:t>
      </w:r>
      <w:r w:rsidR="00F43124" w:rsidRPr="00742A04">
        <w:t>Hay</w:t>
      </w:r>
      <w:r w:rsidR="00545D1B" w:rsidRPr="00742A04">
        <w:t xml:space="preserve"> </w:t>
      </w:r>
      <w:r w:rsidR="00982243" w:rsidRPr="00742A04">
        <w:t>raz</w:t>
      </w:r>
      <w:r w:rsidR="007C268A" w:rsidRPr="00742A04">
        <w:t>ones</w:t>
      </w:r>
      <w:r w:rsidR="00545D1B" w:rsidRPr="00742A04">
        <w:t xml:space="preserve"> </w:t>
      </w:r>
      <w:r w:rsidR="00982243" w:rsidRPr="00742A04">
        <w:t>para creer</w:t>
      </w:r>
      <w:r w:rsidR="00545D1B" w:rsidRPr="00742A04">
        <w:t xml:space="preserve"> </w:t>
      </w:r>
      <w:r w:rsidR="007C268A" w:rsidRPr="00742A04">
        <w:t xml:space="preserve">que hay guarderías </w:t>
      </w:r>
      <w:r w:rsidR="00F43124" w:rsidRPr="00742A04">
        <w:t>para</w:t>
      </w:r>
      <w:r w:rsidR="00545D1B" w:rsidRPr="00742A04">
        <w:t xml:space="preserve"> </w:t>
      </w:r>
      <w:r w:rsidR="007C268A" w:rsidRPr="00742A04">
        <w:t>la mayoría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63079C" w:rsidRPr="00742A04">
        <w:t>los p</w:t>
      </w:r>
      <w:r w:rsidR="0063079C" w:rsidRPr="00742A04">
        <w:t>a</w:t>
      </w:r>
      <w:r w:rsidR="0063079C" w:rsidRPr="00742A04">
        <w:t>dres y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9F37AE">
        <w:t>desee</w:t>
      </w:r>
      <w:r w:rsidR="007C268A" w:rsidRPr="00742A04">
        <w:t>n un lugar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7C268A" w:rsidRPr="00742A04">
        <w:t>un niño de más de 3 años 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7C268A" w:rsidRPr="00742A04">
        <w:t>menores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3</w:t>
      </w:r>
      <w:r w:rsidR="007C268A" w:rsidRPr="00742A04">
        <w:t xml:space="preserve"> años</w:t>
      </w:r>
      <w:r w:rsidR="00545D1B" w:rsidRPr="00742A04">
        <w:t xml:space="preserve">, </w:t>
      </w:r>
      <w:r w:rsidR="00CB0483" w:rsidRPr="00742A04">
        <w:t>sin embargo</w:t>
      </w:r>
      <w:r w:rsidR="00545D1B" w:rsidRPr="00742A04">
        <w:t xml:space="preserve">, </w:t>
      </w:r>
      <w:r w:rsidR="00021DB5" w:rsidRPr="00742A04">
        <w:t>hay</w:t>
      </w:r>
      <w:r w:rsidR="00545D1B" w:rsidRPr="00742A04">
        <w:t xml:space="preserve"> </w:t>
      </w:r>
      <w:r w:rsidR="007C268A" w:rsidRPr="00742A04">
        <w:t>listas de espera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E7870" w:rsidRPr="00742A04">
        <w:t>much</w:t>
      </w:r>
      <w:r w:rsidR="007C268A" w:rsidRPr="00742A04">
        <w:t>a</w:t>
      </w:r>
      <w:r w:rsidR="00CE7870" w:rsidRPr="00742A04">
        <w:t>s</w:t>
      </w:r>
      <w:r w:rsidR="00545D1B" w:rsidRPr="00742A04">
        <w:t xml:space="preserve"> </w:t>
      </w:r>
      <w:r w:rsidR="00893DBB" w:rsidRPr="00742A04">
        <w:t>partes</w:t>
      </w:r>
      <w:r w:rsidR="00545D1B" w:rsidRPr="00742A04">
        <w:t xml:space="preserve"> </w:t>
      </w:r>
      <w:r w:rsidRPr="00742A04">
        <w:t>de</w:t>
      </w:r>
      <w:r w:rsidR="007C268A" w:rsidRPr="00742A04">
        <w:t>l</w:t>
      </w:r>
      <w:r w:rsidR="00545D1B" w:rsidRPr="00742A04">
        <w:t xml:space="preserve"> </w:t>
      </w:r>
      <w:r w:rsidR="00893DF9" w:rsidRPr="00742A04">
        <w:t>p</w:t>
      </w:r>
      <w:r w:rsidR="00893DF9" w:rsidRPr="00742A04">
        <w:t>a</w:t>
      </w:r>
      <w:r w:rsidR="00893DF9" w:rsidRPr="00742A04">
        <w:t>ís</w:t>
      </w:r>
      <w:r w:rsidR="00545D1B" w:rsidRPr="00742A04">
        <w:t xml:space="preserve">. </w:t>
      </w:r>
      <w:r w:rsidR="00A836A1" w:rsidRPr="00742A04">
        <w:t>Aproximadamente</w:t>
      </w:r>
      <w:r w:rsidR="00545D1B" w:rsidRPr="00742A04">
        <w:t xml:space="preserve"> </w:t>
      </w:r>
      <w:r w:rsidR="007C268A" w:rsidRPr="00742A04">
        <w:t xml:space="preserve">el </w:t>
      </w:r>
      <w:r w:rsidR="00545D1B" w:rsidRPr="00742A04">
        <w:t>65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2F3238" w:rsidRPr="00742A04">
        <w:t>niños</w:t>
      </w:r>
      <w:r w:rsidR="00545D1B" w:rsidRPr="00742A04">
        <w:t xml:space="preserve"> </w:t>
      </w:r>
      <w:r w:rsidR="007C268A" w:rsidRPr="00742A04">
        <w:t>que asisten a</w:t>
      </w:r>
      <w:r w:rsidR="00242371" w:rsidRPr="00742A04">
        <w:t xml:space="preserve"> guarderías</w:t>
      </w:r>
      <w:r w:rsidR="00545D1B" w:rsidRPr="00742A04">
        <w:t xml:space="preserve"> </w:t>
      </w:r>
      <w:r w:rsidR="007C268A" w:rsidRPr="00742A04">
        <w:t>tienen un lugar de tiempo completo</w:t>
      </w:r>
      <w:r w:rsidR="00545D1B" w:rsidRPr="00742A04">
        <w:t xml:space="preserve"> (41 </w:t>
      </w:r>
      <w:r w:rsidR="0061771B" w:rsidRPr="00742A04">
        <w:t>horas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CC4794" w:rsidRPr="00742A04">
        <w:t>por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), </w:t>
      </w:r>
      <w:r w:rsidR="00E77E20" w:rsidRPr="00742A04">
        <w:t>pero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7C268A" w:rsidRPr="00742A04">
        <w:t>hay servicios de corto tiempo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C268A" w:rsidRPr="00742A04">
        <w:t>de</w:t>
      </w:r>
      <w:r w:rsidR="001633F4" w:rsidRPr="00742A04">
        <w:t xml:space="preserve"> tiempo parcial</w:t>
      </w:r>
      <w:r w:rsidR="00545D1B" w:rsidRPr="00742A04">
        <w:t xml:space="preserve">. </w:t>
      </w:r>
      <w:r w:rsidR="007C268A" w:rsidRPr="00742A04">
        <w:t>A finales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2004, </w:t>
      </w:r>
      <w:r w:rsidR="007C268A" w:rsidRPr="00742A04">
        <w:t xml:space="preserve">el </w:t>
      </w:r>
      <w:r w:rsidR="00545D1B" w:rsidRPr="00742A04">
        <w:t>52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242371" w:rsidRPr="00742A04">
        <w:t>las guarderías</w:t>
      </w:r>
      <w:r w:rsidR="00545D1B" w:rsidRPr="00742A04">
        <w:t xml:space="preserve"> </w:t>
      </w:r>
      <w:r w:rsidR="007C268A" w:rsidRPr="00742A04">
        <w:t>d</w:t>
      </w:r>
      <w:r w:rsidR="00C14BFF" w:rsidRPr="00742A04">
        <w:t>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7C268A" w:rsidRPr="00742A04">
        <w:t xml:space="preserve">de propiedad </w:t>
      </w:r>
      <w:r w:rsidR="00B86412" w:rsidRPr="00742A04">
        <w:t>privada</w:t>
      </w:r>
      <w:r w:rsidR="00545D1B" w:rsidRPr="00742A04">
        <w:t xml:space="preserve">. </w:t>
      </w:r>
      <w:r w:rsidR="004D2A67" w:rsidRPr="00742A04">
        <w:t>El porcentaje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242371" w:rsidRPr="00742A04">
        <w:t>guarderías</w:t>
      </w:r>
      <w:r w:rsidR="00545D1B" w:rsidRPr="00742A04">
        <w:t xml:space="preserve"> </w:t>
      </w:r>
      <w:r w:rsidR="00B815B8" w:rsidRPr="00742A04">
        <w:t>privadas se ha</w:t>
      </w:r>
      <w:r w:rsidR="00545D1B" w:rsidRPr="00742A04">
        <w:t xml:space="preserve"> </w:t>
      </w:r>
      <w:r w:rsidR="00AC1BF5" w:rsidRPr="00742A04">
        <w:t>increment</w:t>
      </w:r>
      <w:r w:rsidR="00B815B8" w:rsidRPr="00742A04">
        <w:t>ad</w:t>
      </w:r>
      <w:r w:rsidR="00AC1BF5" w:rsidRPr="00742A04">
        <w:t xml:space="preserve">o </w:t>
      </w:r>
      <w:r w:rsidR="005D2D07" w:rsidRPr="00742A04">
        <w:t>significativamente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D313C" w:rsidRPr="00742A04">
        <w:t>los ú</w:t>
      </w:r>
      <w:r w:rsidR="004D313C" w:rsidRPr="00742A04">
        <w:t>l</w:t>
      </w:r>
      <w:r w:rsidR="004D313C" w:rsidRPr="00742A04">
        <w:t>timos años</w:t>
      </w:r>
      <w:r w:rsidR="000A08D8" w:rsidRPr="00742A04">
        <w:t>.</w:t>
      </w:r>
    </w:p>
    <w:p w:rsidR="000A08D8" w:rsidRPr="00742A04" w:rsidRDefault="00B815B8" w:rsidP="001633F4">
      <w:pPr>
        <w:pStyle w:val="SingleTxt"/>
        <w:ind w:firstLine="475"/>
      </w:pPr>
      <w:r w:rsidRPr="00742A04">
        <w:t>Las g</w:t>
      </w:r>
      <w:r w:rsidR="00B83FEB" w:rsidRPr="00742A04">
        <w:t>uarderías</w:t>
      </w:r>
      <w:r w:rsidR="00545D1B" w:rsidRPr="00742A04">
        <w:t xml:space="preserve"> </w:t>
      </w:r>
      <w:r w:rsidRPr="00742A04">
        <w:t>está</w:t>
      </w:r>
      <w:r w:rsidR="006137EC" w:rsidRPr="00742A04">
        <w:t>n</w:t>
      </w:r>
      <w:r w:rsidR="00545D1B" w:rsidRPr="00742A04">
        <w:t xml:space="preserve"> financ</w:t>
      </w:r>
      <w:r w:rsidRPr="00742A04">
        <w:t>iadas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Pr="00742A04">
        <w:t>el Gobierno central</w:t>
      </w:r>
      <w:r w:rsidR="00545D1B" w:rsidRPr="00742A04">
        <w:t xml:space="preserve">, </w:t>
      </w:r>
      <w:r w:rsidRPr="00742A04">
        <w:t>las autoridades m</w:t>
      </w:r>
      <w:r w:rsidRPr="00742A04">
        <w:t>u</w:t>
      </w:r>
      <w:r w:rsidRPr="00742A04">
        <w:t>nicipales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3079C" w:rsidRPr="00742A04">
        <w:t>los padres y madres</w:t>
      </w:r>
      <w:r w:rsidR="00545D1B" w:rsidRPr="00742A04">
        <w:t xml:space="preserve">. </w:t>
      </w:r>
      <w:r w:rsidRPr="00742A04">
        <w:t xml:space="preserve">En 2004 </w:t>
      </w:r>
      <w:r w:rsidR="00EA26AB" w:rsidRPr="00742A04">
        <w:t>Noruega</w:t>
      </w:r>
      <w:r w:rsidR="00545D1B" w:rsidRPr="00742A04">
        <w:t xml:space="preserve"> </w:t>
      </w:r>
      <w:r w:rsidRPr="00742A04">
        <w:t>estableció</w:t>
      </w:r>
      <w:r w:rsidR="00545D1B" w:rsidRPr="00742A04">
        <w:t xml:space="preserve"> </w:t>
      </w:r>
      <w:r w:rsidRPr="00742A04">
        <w:t xml:space="preserve">un </w:t>
      </w:r>
      <w:r w:rsidR="00CE1CFC" w:rsidRPr="00742A04">
        <w:t>límite</w:t>
      </w:r>
      <w:r w:rsidR="00545D1B" w:rsidRPr="00742A04">
        <w:t xml:space="preserve"> </w:t>
      </w:r>
      <w:r w:rsidRPr="00742A04">
        <w:t xml:space="preserve">máximo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los pagos que deban hacer </w:t>
      </w:r>
      <w:r w:rsidR="0063079C" w:rsidRPr="00742A04">
        <w:t xml:space="preserve">los padres y </w:t>
      </w:r>
      <w:r w:rsidRPr="00742A04">
        <w:t xml:space="preserve">las </w:t>
      </w:r>
      <w:r w:rsidR="0063079C" w:rsidRPr="00742A04">
        <w:t>madres</w:t>
      </w:r>
      <w:r w:rsidR="00545D1B" w:rsidRPr="00742A04">
        <w:t xml:space="preserve">. </w:t>
      </w:r>
      <w:r w:rsidRPr="00742A04">
        <w:t xml:space="preserve">Desde el </w:t>
      </w:r>
      <w:r w:rsidR="003315C7" w:rsidRPr="00742A04">
        <w:t>1°</w:t>
      </w:r>
      <w:r w:rsidR="00194AB3" w:rsidRPr="00742A04">
        <w:t xml:space="preserve"> de enero</w:t>
      </w:r>
      <w:r w:rsidR="004A0730" w:rsidRPr="00742A04">
        <w:t xml:space="preserve"> de</w:t>
      </w:r>
      <w:r w:rsidR="00545D1B" w:rsidRPr="00742A04">
        <w:t xml:space="preserve"> 2005</w:t>
      </w:r>
      <w:r w:rsidRPr="00742A04">
        <w:t>, el</w:t>
      </w:r>
      <w:r w:rsidR="00545D1B" w:rsidRPr="00742A04">
        <w:t xml:space="preserve"> </w:t>
      </w:r>
      <w:r w:rsidRPr="00742A04">
        <w:t>precio má</w:t>
      </w:r>
      <w:r w:rsidR="00545D1B" w:rsidRPr="00742A04">
        <w:t>xim</w:t>
      </w:r>
      <w:r w:rsidRPr="00742A04">
        <w:t>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 xml:space="preserve">de </w:t>
      </w:r>
      <w:r w:rsidR="00F710ED" w:rsidRPr="00742A04">
        <w:t>2.</w:t>
      </w:r>
      <w:r w:rsidR="00545D1B" w:rsidRPr="00742A04">
        <w:t xml:space="preserve">250 </w:t>
      </w:r>
      <w:r w:rsidRPr="00742A04">
        <w:t xml:space="preserve">coronas noruegas </w:t>
      </w:r>
      <w:r w:rsidR="00F710ED" w:rsidRPr="00742A04">
        <w:t>por mes</w:t>
      </w:r>
      <w:r w:rsidR="00545D1B" w:rsidRPr="00742A04">
        <w:t xml:space="preserve">. </w:t>
      </w:r>
      <w:r w:rsidR="00F710ED" w:rsidRPr="00742A04">
        <w:t>Las f</w:t>
      </w:r>
      <w:r w:rsidR="003E5775" w:rsidRPr="00742A04">
        <w:t>amilias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</w:t>
      </w:r>
      <w:r w:rsidR="00A31FF2" w:rsidRPr="00742A04">
        <w:t>un hijo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710ED" w:rsidRPr="00742A04">
        <w:t>una guardería municipal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F710ED" w:rsidRPr="00742A04">
        <w:t>un descuento por hermano o he</w:t>
      </w:r>
      <w:r w:rsidR="00F710ED" w:rsidRPr="00742A04">
        <w:t>r</w:t>
      </w:r>
      <w:r w:rsidR="00F710ED" w:rsidRPr="00742A04">
        <w:t>man</w:t>
      </w:r>
      <w:r w:rsidR="00545D1B" w:rsidRPr="00742A04">
        <w:t xml:space="preserve">a. </w:t>
      </w:r>
      <w:r w:rsidR="00F710ED" w:rsidRPr="00742A04">
        <w:t>La</w:t>
      </w:r>
      <w:r w:rsidR="00545D1B" w:rsidRPr="00742A04">
        <w:t xml:space="preserve"> municipal</w:t>
      </w:r>
      <w:r w:rsidR="00502E16" w:rsidRPr="00742A04">
        <w:t>idad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F710ED" w:rsidRPr="00742A04">
        <w:t>debe tener</w:t>
      </w:r>
      <w:r w:rsidR="00545D1B" w:rsidRPr="00742A04">
        <w:t xml:space="preserve"> </w:t>
      </w:r>
      <w:r w:rsidR="0063400A" w:rsidRPr="00742A04">
        <w:t>planes</w:t>
      </w:r>
      <w:r w:rsidR="00F710ED" w:rsidRPr="00742A04">
        <w:t xml:space="preserve"> de descuento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F710ED" w:rsidRPr="00742A04">
        <w:t xml:space="preserve">las </w:t>
      </w:r>
      <w:r w:rsidR="003E5775" w:rsidRPr="00742A04">
        <w:t>familias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F710ED" w:rsidRPr="00742A04">
        <w:t>menor capac</w:t>
      </w:r>
      <w:r w:rsidR="00502E16" w:rsidRPr="00742A04">
        <w:t>idad</w:t>
      </w:r>
      <w:r w:rsidR="00545D1B" w:rsidRPr="00742A04">
        <w:t xml:space="preserve"> </w:t>
      </w:r>
      <w:r w:rsidR="00F710ED" w:rsidRPr="00742A04">
        <w:t>de pago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2004, </w:t>
      </w:r>
      <w:r w:rsidR="0063079C" w:rsidRPr="00742A04">
        <w:t>los</w:t>
      </w:r>
      <w:r w:rsidR="00F710ED" w:rsidRPr="00742A04">
        <w:t xml:space="preserve"> pagos hechos por los</w:t>
      </w:r>
      <w:r w:rsidR="0063079C" w:rsidRPr="00742A04">
        <w:t xml:space="preserve"> padres y madres</w:t>
      </w:r>
      <w:r w:rsidR="00F710ED" w:rsidRPr="00742A04">
        <w:t xml:space="preserve"> sufragaron el</w:t>
      </w:r>
      <w:r w:rsidR="00545D1B" w:rsidRPr="00742A04">
        <w:t xml:space="preserve"> 20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8081E" w:rsidRPr="00742A04">
        <w:t>los costos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710ED" w:rsidRPr="00742A04">
        <w:t>las guarderías municipales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710ED" w:rsidRPr="00742A04">
        <w:t xml:space="preserve">el </w:t>
      </w:r>
      <w:r w:rsidR="00545D1B" w:rsidRPr="00742A04">
        <w:t>31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8081E" w:rsidRPr="00742A04">
        <w:t>los co</w:t>
      </w:r>
      <w:r w:rsidR="0038081E" w:rsidRPr="00742A04">
        <w:t>s</w:t>
      </w:r>
      <w:r w:rsidR="0038081E" w:rsidRPr="00742A04">
        <w:t>tos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42371" w:rsidRPr="00742A04">
        <w:t>las guarderías</w:t>
      </w:r>
      <w:r w:rsidR="00F710ED" w:rsidRPr="00742A04">
        <w:t xml:space="preserve"> privadas</w:t>
      </w:r>
      <w:r w:rsidR="000A08D8" w:rsidRPr="00742A04">
        <w:t>.</w:t>
      </w:r>
    </w:p>
    <w:p w:rsidR="00545D1B" w:rsidRPr="00742A04" w:rsidRDefault="004A0730" w:rsidP="001633F4">
      <w:pPr>
        <w:pStyle w:val="SingleTxt"/>
        <w:ind w:firstLine="475"/>
      </w:pPr>
      <w:r w:rsidRPr="00742A04">
        <w:t>En</w:t>
      </w:r>
      <w:r w:rsidR="00545D1B" w:rsidRPr="00742A04">
        <w:t xml:space="preserve"> 2003 </w:t>
      </w:r>
      <w:r w:rsidR="004A3F50" w:rsidRPr="00742A04">
        <w:t>hubo</w:t>
      </w:r>
      <w:r w:rsidR="00545D1B" w:rsidRPr="00742A04">
        <w:t xml:space="preserve"> </w:t>
      </w:r>
      <w:r w:rsidR="002F5077" w:rsidRPr="00742A04">
        <w:t>un acuerdo</w:t>
      </w:r>
      <w:r w:rsidR="00545D1B" w:rsidRPr="00742A04">
        <w:t xml:space="preserve"> </w:t>
      </w:r>
      <w:r w:rsidR="006B65CD" w:rsidRPr="00742A04">
        <w:t>de amplia base</w:t>
      </w:r>
      <w:r w:rsidR="00545D1B" w:rsidRPr="00742A04">
        <w:t xml:space="preserve"> </w:t>
      </w:r>
      <w:r w:rsidR="005E2D7A" w:rsidRPr="00742A04">
        <w:t>política</w:t>
      </w:r>
      <w:r w:rsidR="00545D1B" w:rsidRPr="00742A04">
        <w:t xml:space="preserve"> </w:t>
      </w:r>
      <w:r w:rsidR="002F5077" w:rsidRPr="00742A04">
        <w:t>sobre el</w:t>
      </w:r>
      <w:r w:rsidR="00545D1B" w:rsidRPr="00742A04">
        <w:t xml:space="preserve"> </w:t>
      </w:r>
      <w:r w:rsidR="00B62650" w:rsidRPr="00742A04">
        <w:t>futuro</w:t>
      </w:r>
      <w:r w:rsidR="002F5077" w:rsidRPr="00742A04">
        <w:t xml:space="preserve"> </w:t>
      </w:r>
      <w:r w:rsidR="00B86412" w:rsidRPr="00742A04">
        <w:t>marco</w:t>
      </w:r>
      <w:r w:rsidR="00545D1B" w:rsidRPr="00742A04">
        <w:t xml:space="preserve"> </w:t>
      </w:r>
      <w:r w:rsidR="002F5077" w:rsidRPr="00742A04">
        <w:t xml:space="preserve">de </w:t>
      </w:r>
      <w:r w:rsidR="00545D1B" w:rsidRPr="00742A04">
        <w:t>condi</w:t>
      </w:r>
      <w:r w:rsidR="008907B8" w:rsidRPr="00742A04">
        <w:t>ciones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F5077" w:rsidRPr="00742A04">
        <w:t>el sector de las guarderías</w:t>
      </w:r>
      <w:r w:rsidR="00545D1B" w:rsidRPr="00742A04">
        <w:t xml:space="preserve">. </w:t>
      </w:r>
      <w:r w:rsidR="008D1651" w:rsidRPr="00742A04">
        <w:t>Los objetivos</w:t>
      </w:r>
      <w:r w:rsidR="008A0C75" w:rsidRPr="00742A04">
        <w:t xml:space="preserve"> principales</w:t>
      </w:r>
      <w:r w:rsidR="00545D1B" w:rsidRPr="00742A04">
        <w:t xml:space="preserve"> </w:t>
      </w:r>
      <w:r w:rsidRPr="00742A04">
        <w:t>de</w:t>
      </w:r>
      <w:r w:rsidR="002F5077" w:rsidRPr="00742A04">
        <w:t>l acuerdo</w:t>
      </w:r>
      <w:r w:rsidR="00545D1B" w:rsidRPr="00742A04">
        <w:t xml:space="preserve"> </w:t>
      </w:r>
      <w:r w:rsidR="002F5077" w:rsidRPr="00742A04">
        <w:t>fuero</w:t>
      </w:r>
      <w:r w:rsidR="00E73E8E" w:rsidRPr="00742A04">
        <w:t>n</w:t>
      </w:r>
      <w:r w:rsidR="00545D1B" w:rsidRPr="00742A04">
        <w:t xml:space="preserve"> </w:t>
      </w:r>
      <w:r w:rsidR="002F5077" w:rsidRPr="00742A04">
        <w:t>disminuir los pagos que deban hacer</w:t>
      </w:r>
      <w:r w:rsidR="00545D1B" w:rsidRPr="00742A04">
        <w:t xml:space="preserve"> </w:t>
      </w:r>
      <w:r w:rsidR="0063079C" w:rsidRPr="00742A04">
        <w:t xml:space="preserve">los padres y </w:t>
      </w:r>
      <w:r w:rsidR="002F5077" w:rsidRPr="00742A04">
        <w:t xml:space="preserve">las </w:t>
      </w:r>
      <w:r w:rsidR="0063079C" w:rsidRPr="00742A04">
        <w:t>madres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5077" w:rsidRPr="00742A04">
        <w:t>promover 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893DBB" w:rsidRPr="00742A04">
        <w:t xml:space="preserve">del </w:t>
      </w:r>
      <w:r w:rsidR="00A742D4" w:rsidRPr="00742A04">
        <w:t>sector</w:t>
      </w:r>
      <w:r w:rsidR="00545D1B" w:rsidRPr="00742A04">
        <w:t>.</w:t>
      </w:r>
      <w:r w:rsidR="001167D2" w:rsidRPr="00742A04">
        <w:t xml:space="preserve"> </w:t>
      </w:r>
      <w:r w:rsidR="002F5077" w:rsidRPr="00742A04">
        <w:t xml:space="preserve">El objetivo </w:t>
      </w:r>
      <w:r w:rsidR="004D313C" w:rsidRPr="00742A04">
        <w:t>del Gobierno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58094F" w:rsidRPr="00742A04">
        <w:t>lograr</w:t>
      </w:r>
      <w:r w:rsidR="00545D1B" w:rsidRPr="00742A04">
        <w:t xml:space="preserve"> </w:t>
      </w:r>
      <w:r w:rsidR="002F5077" w:rsidRPr="00742A04">
        <w:t>una cobertura completa m</w:t>
      </w:r>
      <w:r w:rsidR="002F5077" w:rsidRPr="00742A04">
        <w:t>e</w:t>
      </w:r>
      <w:r w:rsidR="002F5077" w:rsidRPr="00742A04">
        <w:t>diante guarderías</w:t>
      </w:r>
      <w:r w:rsidR="00545D1B" w:rsidRPr="00742A04">
        <w:t xml:space="preserve">, </w:t>
      </w:r>
      <w:r w:rsidR="002F5077" w:rsidRPr="00742A04">
        <w:t>una elevada</w:t>
      </w:r>
      <w:r w:rsidR="00545D1B" w:rsidRPr="00742A04">
        <w:t xml:space="preserve"> </w:t>
      </w:r>
      <w:r w:rsidR="004B0EC3" w:rsidRPr="00742A04">
        <w:t>cali</w:t>
      </w:r>
      <w:r w:rsidR="00502E16" w:rsidRPr="00742A04">
        <w:t>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F5077" w:rsidRPr="00742A04">
        <w:t>un precio</w:t>
      </w:r>
      <w:r w:rsidR="00545D1B" w:rsidRPr="00742A04">
        <w:t xml:space="preserve"> </w:t>
      </w:r>
      <w:r w:rsidR="0020526A" w:rsidRPr="00742A04">
        <w:t>bajo</w:t>
      </w:r>
      <w:r w:rsidR="00545D1B" w:rsidRPr="00742A04">
        <w:t>.</w:t>
      </w:r>
      <w:r w:rsidR="001167D2" w:rsidRPr="00742A04">
        <w:t xml:space="preserve"> </w:t>
      </w:r>
      <w:r w:rsidR="002F5077" w:rsidRPr="00742A04">
        <w:t>Cuando se haya logrado la cobertura total, e</w:t>
      </w:r>
      <w:r w:rsidR="001167D2" w:rsidRPr="00742A04">
        <w:t>l</w:t>
      </w:r>
      <w:r w:rsidR="002F5077" w:rsidRPr="00742A04">
        <w:t xml:space="preserve"> </w:t>
      </w:r>
      <w:r w:rsidR="008F0C8E" w:rsidRPr="00742A04">
        <w:t>Gobierno</w:t>
      </w:r>
      <w:r w:rsidR="00545D1B" w:rsidRPr="00742A04">
        <w:t xml:space="preserve"> </w:t>
      </w:r>
      <w:r w:rsidR="002F5077" w:rsidRPr="00742A04">
        <w:t xml:space="preserve">consagrará </w:t>
      </w:r>
      <w:r w:rsidR="00BD2982" w:rsidRPr="00742A04">
        <w:t>legal</w:t>
      </w:r>
      <w:r w:rsidR="00BD2982">
        <w:t>mente</w:t>
      </w:r>
      <w:r w:rsidR="00BD2982" w:rsidRPr="00742A04">
        <w:t xml:space="preserve"> </w:t>
      </w:r>
      <w:r w:rsidR="002F5077" w:rsidRPr="00742A04">
        <w:t>el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F5077" w:rsidRPr="00742A04">
        <w:t>un lugar en una gua</w:t>
      </w:r>
      <w:r w:rsidR="002F5077" w:rsidRPr="00742A04">
        <w:t>r</w:t>
      </w:r>
      <w:r w:rsidR="002F5077" w:rsidRPr="00742A04">
        <w:t>dería</w:t>
      </w:r>
      <w:r w:rsidR="00545D1B" w:rsidRPr="00742A04">
        <w:t>.</w:t>
      </w:r>
    </w:p>
    <w:p w:rsidR="00545D1B" w:rsidRPr="00742A04" w:rsidRDefault="0063079C" w:rsidP="001633F4">
      <w:pPr>
        <w:pStyle w:val="SingleTxt"/>
        <w:ind w:firstLine="475"/>
      </w:pPr>
      <w:r w:rsidRPr="00742A04">
        <w:t>Los</w:t>
      </w:r>
      <w:r w:rsidR="002F5077" w:rsidRPr="00742A04">
        <w:t xml:space="preserve"> gastos de los</w:t>
      </w:r>
      <w:r w:rsidRPr="00742A04">
        <w:t xml:space="preserve"> padres y madres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44FDB" w:rsidRPr="00742A04">
        <w:t xml:space="preserve">el cuidado </w:t>
      </w:r>
      <w:r w:rsidR="00C076F2" w:rsidRPr="00742A04">
        <w:t xml:space="preserve">de los </w:t>
      </w:r>
      <w:r w:rsidR="002F5077" w:rsidRPr="00742A04">
        <w:t>hij</w:t>
      </w:r>
      <w:r w:rsidR="00844FDB" w:rsidRPr="00742A04">
        <w:t>os</w:t>
      </w:r>
      <w:r w:rsidR="00545D1B" w:rsidRPr="00742A04">
        <w:t xml:space="preserve"> </w:t>
      </w:r>
      <w:r w:rsidR="002F5077" w:rsidRPr="00742A04">
        <w:t>menores de 12 años les dan derecho a una</w:t>
      </w:r>
      <w:r w:rsidR="00545D1B" w:rsidRPr="00742A04">
        <w:t xml:space="preserve"> deduc</w:t>
      </w:r>
      <w:r w:rsidR="00C14BFF" w:rsidRPr="00742A04">
        <w:t xml:space="preserve">ción </w:t>
      </w:r>
      <w:r w:rsidR="002F5077" w:rsidRPr="00742A04">
        <w:t xml:space="preserve">tributaria </w:t>
      </w:r>
      <w:r w:rsidR="00545D1B" w:rsidRPr="00742A04">
        <w:t>(</w:t>
      </w:r>
      <w:r w:rsidR="002F5077" w:rsidRPr="00742A04">
        <w:t>la</w:t>
      </w:r>
      <w:r w:rsidR="00545D1B" w:rsidRPr="00742A04">
        <w:t xml:space="preserve"> deduc</w:t>
      </w:r>
      <w:r w:rsidR="002F5077" w:rsidRPr="00742A04">
        <w:t>ció</w:t>
      </w:r>
      <w:r w:rsidR="00545D1B" w:rsidRPr="00742A04">
        <w:t>n</w:t>
      </w:r>
      <w:r w:rsidR="002F5077" w:rsidRPr="00742A04">
        <w:t xml:space="preserve"> parental</w:t>
      </w:r>
      <w:r w:rsidR="00545D1B" w:rsidRPr="00742A04">
        <w:t xml:space="preserve">). </w:t>
      </w:r>
      <w:r w:rsidR="006525C0" w:rsidRPr="00742A04">
        <w:t>Por co</w:t>
      </w:r>
      <w:r w:rsidR="006525C0" w:rsidRPr="00742A04">
        <w:t>n</w:t>
      </w:r>
      <w:r w:rsidR="006525C0" w:rsidRPr="00742A04">
        <w:t>siguiente, las sumas que pagan</w:t>
      </w:r>
      <w:r w:rsidR="00545D1B" w:rsidRPr="00742A04">
        <w:t xml:space="preserve"> </w:t>
      </w:r>
      <w:r w:rsidRPr="00742A04">
        <w:t>los padres y madres</w:t>
      </w:r>
      <w:r w:rsidR="00545D1B" w:rsidRPr="00742A04">
        <w:t xml:space="preserve"> </w:t>
      </w:r>
      <w:r w:rsidR="006525C0" w:rsidRPr="00742A04">
        <w:t>se</w:t>
      </w:r>
      <w:r w:rsidR="00545D1B" w:rsidRPr="00742A04">
        <w:t xml:space="preserve"> redu</w:t>
      </w:r>
      <w:r w:rsidR="006525C0" w:rsidRPr="00742A04">
        <w:t>cen al disminuir el i</w:t>
      </w:r>
      <w:r w:rsidR="006525C0" w:rsidRPr="00742A04">
        <w:t>m</w:t>
      </w:r>
      <w:r w:rsidR="006525C0" w:rsidRPr="00742A04">
        <w:t>puesto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2005</w:t>
      </w:r>
      <w:r w:rsidR="006525C0" w:rsidRPr="00742A04">
        <w:t>,</w:t>
      </w:r>
      <w:r w:rsidR="00545D1B" w:rsidRPr="00742A04">
        <w:t xml:space="preserve"> </w:t>
      </w:r>
      <w:r w:rsidR="006525C0" w:rsidRPr="00742A04">
        <w:t>el derecho a</w:t>
      </w:r>
      <w:r w:rsidR="00545D1B" w:rsidRPr="00742A04">
        <w:t xml:space="preserve"> deduc</w:t>
      </w:r>
      <w:r w:rsidR="00C14BFF" w:rsidRPr="00742A04">
        <w:t xml:space="preserve">ción </w:t>
      </w:r>
      <w:r w:rsidR="006525C0" w:rsidRPr="00742A04">
        <w:t>s</w:t>
      </w:r>
      <w:r w:rsidR="009D1A12" w:rsidRPr="00742A04">
        <w:t>e</w:t>
      </w:r>
      <w:r w:rsidR="00545D1B" w:rsidRPr="00742A04">
        <w:t xml:space="preserve"> </w:t>
      </w:r>
      <w:r w:rsidR="006525C0" w:rsidRPr="00742A04">
        <w:t>incrementó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los padres y madres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6525C0" w:rsidRPr="00742A04">
        <w:t>hij</w:t>
      </w:r>
      <w:r w:rsidR="002F3238" w:rsidRPr="00742A04">
        <w:t>os</w:t>
      </w:r>
      <w:r w:rsidR="00545D1B" w:rsidRPr="00742A04">
        <w:t xml:space="preserve">. </w:t>
      </w:r>
      <w:r w:rsidR="00895A66" w:rsidRPr="00742A04">
        <w:t>L</w:t>
      </w:r>
      <w:r w:rsidRPr="00742A04">
        <w:t>os padres y madres</w:t>
      </w:r>
      <w:r w:rsidR="00895A66" w:rsidRPr="00742A04">
        <w:t xml:space="preserve"> solos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E2D7A" w:rsidRPr="00742A04">
        <w:t>ingresos</w:t>
      </w:r>
      <w:r w:rsidR="00545D1B" w:rsidRPr="00742A04">
        <w:t xml:space="preserve"> </w:t>
      </w:r>
      <w:r w:rsidR="00895A66" w:rsidRPr="00742A04">
        <w:t>inferiores</w:t>
      </w:r>
      <w:r w:rsidR="00545D1B" w:rsidRPr="00742A04">
        <w:t xml:space="preserve"> a </w:t>
      </w:r>
      <w:r w:rsidR="00A46C55" w:rsidRPr="00742A04">
        <w:t>cierto</w:t>
      </w:r>
      <w:r w:rsidR="00545D1B" w:rsidRPr="00742A04">
        <w:t xml:space="preserve"> </w:t>
      </w:r>
      <w:r w:rsidR="00CE1CFC" w:rsidRPr="00742A04">
        <w:t>límite</w:t>
      </w:r>
      <w:r w:rsidR="00545D1B" w:rsidRPr="00742A04">
        <w:t xml:space="preserve"> </w:t>
      </w:r>
      <w:r w:rsidR="0093592B" w:rsidRPr="00742A04">
        <w:t>también tienen derecho</w:t>
      </w:r>
      <w:r w:rsidR="00545D1B" w:rsidRPr="00742A04">
        <w:t xml:space="preserve"> </w:t>
      </w:r>
      <w:r w:rsidR="0030626A" w:rsidRPr="00742A04">
        <w:t>a</w:t>
      </w:r>
      <w:r w:rsidR="00E575DB" w:rsidRPr="00742A04">
        <w:t xml:space="preserve"> </w:t>
      </w:r>
      <w:r w:rsidR="00895A66" w:rsidRPr="00742A04">
        <w:t>un subsidio para e</w:t>
      </w:r>
      <w:r w:rsidR="00E575DB" w:rsidRPr="00742A04">
        <w:t xml:space="preserve">l </w:t>
      </w:r>
      <w:r w:rsidR="00844FDB" w:rsidRPr="00742A04">
        <w:t xml:space="preserve">cuidado </w:t>
      </w:r>
      <w:r w:rsidR="00C076F2" w:rsidRPr="00742A04">
        <w:t xml:space="preserve">de los </w:t>
      </w:r>
      <w:r w:rsidR="001C473F">
        <w:t>hij</w:t>
      </w:r>
      <w:r w:rsidR="00844FDB" w:rsidRPr="00742A04">
        <w:t>os</w:t>
      </w:r>
      <w:r w:rsidR="00545D1B" w:rsidRPr="00742A04">
        <w:t xml:space="preserve">. </w:t>
      </w:r>
      <w:r w:rsidR="00895A66" w:rsidRPr="00742A04">
        <w:t>Ello</w:t>
      </w:r>
      <w:r w:rsidR="00545D1B" w:rsidRPr="00742A04">
        <w:t xml:space="preserve"> </w:t>
      </w:r>
      <w:r w:rsidR="00D3378F" w:rsidRPr="00742A04">
        <w:t>significa que</w:t>
      </w:r>
      <w:r w:rsidR="00545D1B" w:rsidRPr="00742A04">
        <w:t xml:space="preserve"> </w:t>
      </w:r>
      <w:r w:rsidR="00BB4DB1" w:rsidRPr="00742A04">
        <w:t>las autoridades</w:t>
      </w:r>
      <w:r w:rsidR="00545D1B" w:rsidRPr="00742A04">
        <w:t xml:space="preserve"> </w:t>
      </w:r>
      <w:r w:rsidR="00895A66" w:rsidRPr="00742A04">
        <w:t>sufragan un</w:t>
      </w:r>
      <w:r w:rsidR="00545D1B" w:rsidRPr="00742A04">
        <w:t>a propor</w:t>
      </w:r>
      <w:r w:rsidR="00C14BFF" w:rsidRPr="00742A04">
        <w:t xml:space="preserve">ción </w:t>
      </w:r>
      <w:r w:rsidR="00545D1B" w:rsidRPr="00742A04">
        <w:t>(</w:t>
      </w:r>
      <w:r w:rsidR="00895A66" w:rsidRPr="00742A04">
        <w:t xml:space="preserve">el </w:t>
      </w:r>
      <w:r w:rsidR="00545D1B" w:rsidRPr="00742A04">
        <w:t>66</w:t>
      </w:r>
      <w:r w:rsidR="001167D2" w:rsidRPr="00742A04">
        <w:t>%</w:t>
      </w:r>
      <w:r w:rsidR="00545D1B" w:rsidRPr="00742A04">
        <w:t xml:space="preserve">) </w:t>
      </w:r>
      <w:r w:rsidR="004A0730" w:rsidRPr="00742A04">
        <w:t>de</w:t>
      </w:r>
      <w:r w:rsidR="00545D1B" w:rsidRPr="00742A04">
        <w:t xml:space="preserve"> </w:t>
      </w:r>
      <w:r w:rsidR="00895A66" w:rsidRPr="00742A04">
        <w:t xml:space="preserve">los pagos </w:t>
      </w:r>
      <w:r w:rsidR="00545D1B" w:rsidRPr="00742A04">
        <w:t>parental</w:t>
      </w:r>
      <w:r w:rsidR="00895A66" w:rsidRPr="00742A04">
        <w:t>es hasta cie</w:t>
      </w:r>
      <w:r w:rsidR="00895A66" w:rsidRPr="00742A04">
        <w:t>r</w:t>
      </w:r>
      <w:r w:rsidR="00895A66" w:rsidRPr="00742A04">
        <w:t>to</w:t>
      </w:r>
      <w:r w:rsidR="00545D1B" w:rsidRPr="00742A04">
        <w:t xml:space="preserve"> </w:t>
      </w:r>
      <w:r w:rsidR="00CE1CFC" w:rsidRPr="00742A04">
        <w:t>límite</w:t>
      </w:r>
      <w:r w:rsidR="00545D1B" w:rsidRPr="00742A04">
        <w:t xml:space="preserve">. </w:t>
      </w:r>
      <w:r w:rsidR="00895A66" w:rsidRPr="00742A04">
        <w:t xml:space="preserve">Este arreglo es </w:t>
      </w:r>
      <w:r w:rsidR="00BC2FBE" w:rsidRPr="00742A04">
        <w:t>sumamente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los padres y madres</w:t>
      </w:r>
      <w:r w:rsidR="00895A66" w:rsidRPr="00742A04">
        <w:t xml:space="preserve"> solos</w:t>
      </w:r>
      <w:r w:rsidR="00545D1B" w:rsidRPr="00742A04">
        <w:t>.</w:t>
      </w:r>
    </w:p>
    <w:p w:rsidR="00545D1B" w:rsidRPr="00742A04" w:rsidRDefault="005F7B32" w:rsidP="002C4922">
      <w:pPr>
        <w:pStyle w:val="SingleTxt"/>
        <w:rPr>
          <w:i/>
        </w:rPr>
      </w:pPr>
      <w:r w:rsidRPr="00742A04">
        <w:rPr>
          <w:i/>
        </w:rPr>
        <w:t>Horarios de trabajo flexibles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</w:t>
      </w:r>
      <w:r w:rsidR="002E021A" w:rsidRPr="00742A04">
        <w:rPr>
          <w:i/>
        </w:rPr>
        <w:t>beneficios para</w:t>
      </w:r>
      <w:r w:rsidR="001F58E9" w:rsidRPr="00742A04">
        <w:rPr>
          <w:i/>
        </w:rPr>
        <w:t xml:space="preserve"> cuidado</w:t>
      </w:r>
    </w:p>
    <w:p w:rsidR="00545D1B" w:rsidRPr="00742A04" w:rsidRDefault="000B41AF" w:rsidP="001633F4">
      <w:pPr>
        <w:pStyle w:val="SingleTxt"/>
        <w:ind w:firstLine="475"/>
      </w:pPr>
      <w:r w:rsidRPr="00742A04">
        <w:t>La Ley</w:t>
      </w:r>
      <w:r w:rsidR="00AF398C" w:rsidRPr="00742A04">
        <w:t xml:space="preserve"> sobre el Ambiente de Trabajo</w:t>
      </w:r>
      <w:r w:rsidR="00545D1B" w:rsidRPr="00742A04">
        <w:t xml:space="preserve"> </w:t>
      </w:r>
      <w:r w:rsidR="001F58E9" w:rsidRPr="00742A04">
        <w:t>da derecho a</w:t>
      </w:r>
      <w:r w:rsidR="00545D1B" w:rsidRPr="00742A04">
        <w:t xml:space="preserve"> </w:t>
      </w:r>
      <w:r w:rsidR="002A7CCF" w:rsidRPr="00742A04">
        <w:t>la madre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F58E9" w:rsidRPr="00742A04">
        <w:t>a</w:t>
      </w:r>
      <w:r w:rsidR="007B45F5" w:rsidRPr="00742A04">
        <w:t>l padre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1F58E9" w:rsidRPr="00742A04">
        <w:t xml:space="preserve">tener </w:t>
      </w:r>
      <w:r w:rsidR="009739AE" w:rsidRPr="00742A04">
        <w:t>horarios de trabajo</w:t>
      </w:r>
      <w:r w:rsidR="00545D1B" w:rsidRPr="00742A04">
        <w:t xml:space="preserve"> </w:t>
      </w:r>
      <w:r w:rsidR="001F58E9" w:rsidRPr="00742A04">
        <w:t xml:space="preserve">reducidos </w:t>
      </w:r>
      <w:r w:rsidR="00877AA0" w:rsidRPr="00742A04">
        <w:t>y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1F58E9" w:rsidRPr="00742A04">
        <w:t>estar</w:t>
      </w:r>
      <w:r w:rsidR="00545D1B" w:rsidRPr="00742A04">
        <w:t xml:space="preserve"> exe</w:t>
      </w:r>
      <w:r w:rsidR="001F58E9" w:rsidRPr="00742A04">
        <w:t>n</w:t>
      </w:r>
      <w:r w:rsidR="00545D1B" w:rsidRPr="00742A04">
        <w:t>t</w:t>
      </w:r>
      <w:r w:rsidR="001F58E9" w:rsidRPr="00742A04">
        <w:t>os de trabajar horas extras</w:t>
      </w:r>
      <w:r w:rsidR="00545D1B" w:rsidRPr="00742A04">
        <w:t xml:space="preserve">. </w:t>
      </w:r>
      <w:r w:rsidR="00AF6A61" w:rsidRPr="00742A04">
        <w:t>La nueva</w:t>
      </w:r>
      <w:r w:rsidR="00545D1B" w:rsidRPr="00742A04">
        <w:t xml:space="preserve"> </w:t>
      </w:r>
      <w:r w:rsidR="00AF398C" w:rsidRPr="00742A04">
        <w:t>Ley sobre el Ambiente de Trabajo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introduce </w:t>
      </w:r>
      <w:r w:rsidR="001C6742" w:rsidRPr="00742A04">
        <w:t xml:space="preserve">el derecho </w:t>
      </w:r>
      <w:r w:rsidR="0030626A" w:rsidRPr="00742A04">
        <w:t>a</w:t>
      </w:r>
      <w:r w:rsidR="00545D1B" w:rsidRPr="00742A04">
        <w:t xml:space="preserve"> </w:t>
      </w:r>
      <w:r w:rsidR="005F7B32" w:rsidRPr="00742A04">
        <w:t>horarios de trab</w:t>
      </w:r>
      <w:r w:rsidR="005F7B32" w:rsidRPr="00742A04">
        <w:t>a</w:t>
      </w:r>
      <w:r w:rsidR="005F7B32" w:rsidRPr="00742A04">
        <w:t>jo flex</w:t>
      </w:r>
      <w:r w:rsidR="005F7B32" w:rsidRPr="00742A04">
        <w:t>i</w:t>
      </w:r>
      <w:r w:rsidR="005F7B32" w:rsidRPr="00742A04">
        <w:t>bles</w:t>
      </w:r>
      <w:r w:rsidR="00545D1B" w:rsidRPr="00742A04">
        <w:t>.</w:t>
      </w:r>
    </w:p>
    <w:p w:rsidR="000A08D8" w:rsidRPr="00742A04" w:rsidRDefault="00894371" w:rsidP="001633F4">
      <w:pPr>
        <w:pStyle w:val="SingleTxt"/>
        <w:ind w:firstLine="475"/>
      </w:pPr>
      <w:r w:rsidRPr="00742A04">
        <w:t>El derecho a licencia remunerada cuando los niños</w:t>
      </w:r>
      <w:r w:rsidR="005448DD">
        <w:t xml:space="preserve"> estén enfermos o sea</w:t>
      </w:r>
      <w:r w:rsidRPr="00742A04">
        <w:t>n di</w:t>
      </w:r>
      <w:r w:rsidRPr="00742A04">
        <w:t>s</w:t>
      </w:r>
      <w:r w:rsidRPr="00742A04">
        <w:t>capacitados es sumamente importante para los padres y madres</w:t>
      </w:r>
      <w:r>
        <w:t xml:space="preserve"> que</w:t>
      </w:r>
      <w:r w:rsidRPr="00742A04">
        <w:t xml:space="preserve"> trabajan. </w:t>
      </w:r>
      <w:r w:rsidR="00380AC9" w:rsidRPr="00742A04">
        <w:t>Los empleados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c</w:t>
      </w:r>
      <w:r w:rsidR="001F58E9" w:rsidRPr="00742A04">
        <w:t>uidan hij</w:t>
      </w:r>
      <w:r w:rsidR="002F3238" w:rsidRPr="00742A04">
        <w:t>os</w:t>
      </w:r>
      <w:r w:rsidR="00545D1B" w:rsidRPr="00742A04">
        <w:t xml:space="preserve"> </w:t>
      </w:r>
      <w:r w:rsidR="001F58E9" w:rsidRPr="00742A04">
        <w:t>menores de</w:t>
      </w:r>
      <w:r w:rsidR="00545D1B" w:rsidRPr="00742A04">
        <w:t xml:space="preserve"> 12</w:t>
      </w:r>
      <w:r w:rsidR="001F58E9" w:rsidRPr="00742A04">
        <w:t xml:space="preserve"> años</w:t>
      </w:r>
      <w:r w:rsidR="00545D1B" w:rsidRPr="00742A04">
        <w:t xml:space="preserve"> </w:t>
      </w:r>
      <w:r w:rsidR="00544B38" w:rsidRPr="00742A04">
        <w:t>tienen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E021A" w:rsidRPr="00742A04">
        <w:rPr>
          <w:i/>
        </w:rPr>
        <w:t>beneficios para</w:t>
      </w:r>
      <w:r w:rsidR="001F58E9" w:rsidRPr="00742A04">
        <w:rPr>
          <w:i/>
        </w:rPr>
        <w:t xml:space="preserve"> cuidado</w:t>
      </w:r>
      <w:r w:rsidR="00545D1B" w:rsidRPr="00742A04">
        <w:t xml:space="preserve"> </w:t>
      </w:r>
      <w:r w:rsidR="001C54BB" w:rsidRPr="00742A04">
        <w:t>diez</w:t>
      </w:r>
      <w:r w:rsidR="00545D1B" w:rsidRPr="00742A04">
        <w:t xml:space="preserve"> </w:t>
      </w:r>
      <w:r w:rsidR="00CE5A7F" w:rsidRPr="00742A04">
        <w:t>días</w:t>
      </w:r>
      <w:r w:rsidR="001F58E9" w:rsidRPr="00742A04">
        <w:t xml:space="preserve"> po</w:t>
      </w:r>
      <w:r w:rsidR="00545D1B" w:rsidRPr="00742A04">
        <w:t xml:space="preserve">r </w:t>
      </w:r>
      <w:r w:rsidR="004D313C" w:rsidRPr="00742A04">
        <w:t>año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1F58E9" w:rsidRPr="00742A04">
        <w:t>se enferma un hijo o la persona que cuida a los hijos</w:t>
      </w:r>
      <w:r w:rsidR="00545D1B" w:rsidRPr="00742A04">
        <w:t xml:space="preserve">. </w:t>
      </w:r>
      <w:r w:rsidR="00380AC9" w:rsidRPr="00742A04">
        <w:t>Los empleados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1F58E9" w:rsidRPr="00742A04">
        <w:t xml:space="preserve">cuidan </w:t>
      </w:r>
      <w:r w:rsidR="00F43124" w:rsidRPr="00742A04">
        <w:t>a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1F58E9" w:rsidRPr="00742A04">
        <w:t>hij</w:t>
      </w:r>
      <w:r w:rsidR="002F3238" w:rsidRPr="00742A04">
        <w:t>os</w:t>
      </w:r>
      <w:r w:rsidR="00545D1B" w:rsidRPr="00742A04">
        <w:t xml:space="preserve">, </w:t>
      </w:r>
      <w:r w:rsidR="006137EC" w:rsidRPr="00742A04">
        <w:t>son</w:t>
      </w:r>
      <w:r w:rsidR="00545D1B" w:rsidRPr="00742A04">
        <w:t xml:space="preserve"> </w:t>
      </w:r>
      <w:r w:rsidR="001F58E9" w:rsidRPr="00742A04">
        <w:t>padres o</w:t>
      </w:r>
      <w:r w:rsidR="0063079C" w:rsidRPr="00742A04">
        <w:t xml:space="preserve"> madres</w:t>
      </w:r>
      <w:r w:rsidR="001F58E9" w:rsidRPr="00742A04">
        <w:t xml:space="preserve"> solos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8176B2" w:rsidRPr="00742A04">
        <w:t>tienen hijos</w:t>
      </w:r>
      <w:r w:rsidR="00545D1B" w:rsidRPr="00742A04">
        <w:t xml:space="preserve"> </w:t>
      </w:r>
      <w:r w:rsidR="001F58E9" w:rsidRPr="00742A04">
        <w:t>enfermos c</w:t>
      </w:r>
      <w:r w:rsidR="00545D1B" w:rsidRPr="00742A04">
        <w:t>r</w:t>
      </w:r>
      <w:r w:rsidR="001F58E9" w:rsidRPr="00742A04">
        <w:t>ó</w:t>
      </w:r>
      <w:r w:rsidR="00545D1B" w:rsidRPr="00742A04">
        <w:t>nic</w:t>
      </w:r>
      <w:r w:rsidR="001F58E9" w:rsidRPr="00742A04">
        <w:t>os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dis</w:t>
      </w:r>
      <w:r w:rsidR="001F58E9" w:rsidRPr="00742A04">
        <w:t>capacitados tienen otros derechos adicionales</w:t>
      </w:r>
      <w:r w:rsidR="00545D1B" w:rsidRPr="00742A04">
        <w:t xml:space="preserve">. </w:t>
      </w:r>
      <w:r w:rsidR="004D313C" w:rsidRPr="00742A04">
        <w:t>Los d</w:t>
      </w:r>
      <w:r w:rsidR="004D313C" w:rsidRPr="00742A04">
        <w:t>e</w:t>
      </w:r>
      <w:r w:rsidR="004D313C" w:rsidRPr="00742A04">
        <w:t>rechos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63079C" w:rsidRPr="00742A04">
        <w:t>los padres y madres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</w:t>
      </w:r>
      <w:r w:rsidR="00495D7B" w:rsidRPr="00742A04">
        <w:t>un</w:t>
      </w:r>
      <w:r w:rsidR="00545D1B" w:rsidRPr="00742A04">
        <w:t xml:space="preserve"> </w:t>
      </w:r>
      <w:r w:rsidR="001F58E9" w:rsidRPr="00742A04">
        <w:t>hijo enfermo crónico o discapacitado</w:t>
      </w:r>
      <w:r w:rsidR="00545D1B" w:rsidRPr="00742A04">
        <w:t xml:space="preserve"> </w:t>
      </w:r>
      <w:r w:rsidR="001F58E9" w:rsidRPr="00742A04">
        <w:t>se ampliaron aún más a partir</w:t>
      </w:r>
      <w:r w:rsidR="00545D1B" w:rsidRPr="00742A04">
        <w:t xml:space="preserve"> </w:t>
      </w:r>
      <w:r w:rsidR="008F0C8E" w:rsidRPr="00742A04">
        <w:t>de</w:t>
      </w:r>
      <w:r w:rsidR="001F58E9" w:rsidRPr="00742A04">
        <w:t>l</w:t>
      </w:r>
      <w:r w:rsidR="00834309" w:rsidRPr="00742A04">
        <w:t xml:space="preserve"> 1° de julio de 2</w:t>
      </w:r>
      <w:r w:rsidR="00545D1B" w:rsidRPr="00742A04">
        <w:t xml:space="preserve">005. </w:t>
      </w:r>
      <w:r w:rsidR="002E021A" w:rsidRPr="00742A04">
        <w:t>Los beneficios para</w:t>
      </w:r>
      <w:r w:rsidR="001F58E9" w:rsidRPr="00742A04">
        <w:t xml:space="preserve"> cuidado </w:t>
      </w:r>
      <w:r w:rsidR="006137EC" w:rsidRPr="00742A04">
        <w:t>son</w:t>
      </w:r>
      <w:r w:rsidR="00545D1B" w:rsidRPr="00742A04">
        <w:t xml:space="preserve"> </w:t>
      </w:r>
      <w:r w:rsidRPr="00742A04">
        <w:t>pagados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756C0D" w:rsidRPr="00742A04">
        <w:t>el empleador</w:t>
      </w:r>
      <w:r w:rsidR="00545D1B" w:rsidRPr="00742A04">
        <w:t xml:space="preserve">. </w:t>
      </w:r>
      <w:r w:rsidR="004F6CD6" w:rsidRPr="00742A04">
        <w:t>El sistema</w:t>
      </w:r>
      <w:r w:rsidR="00545D1B" w:rsidRPr="00742A04">
        <w:t xml:space="preserve"> </w:t>
      </w:r>
      <w:r w:rsidR="00F13355" w:rsidRPr="00742A04">
        <w:t>nacional</w:t>
      </w:r>
      <w:r w:rsidR="00545D1B" w:rsidRPr="00742A04">
        <w:t xml:space="preserve"> </w:t>
      </w:r>
      <w:r w:rsidR="004F6CD6" w:rsidRPr="00742A04">
        <w:t>de seguridad social sufraga l</w:t>
      </w:r>
      <w:r w:rsidR="002E021A" w:rsidRPr="00742A04">
        <w:t>o</w:t>
      </w:r>
      <w:r w:rsidR="004F6CD6" w:rsidRPr="00742A04">
        <w:t>s</w:t>
      </w:r>
      <w:r w:rsidR="00545D1B" w:rsidRPr="00742A04">
        <w:t xml:space="preserve"> </w:t>
      </w:r>
      <w:r w:rsidR="002E021A" w:rsidRPr="00742A04">
        <w:t>beneficios</w:t>
      </w:r>
      <w:r w:rsidR="00545D1B" w:rsidRPr="00742A04">
        <w:t xml:space="preserve"> </w:t>
      </w:r>
      <w:r w:rsidR="004F6CD6" w:rsidRPr="00742A04">
        <w:t>que s</w:t>
      </w:r>
      <w:r w:rsidR="002E021A" w:rsidRPr="00742A04">
        <w:t>e extiendan durante más de</w:t>
      </w:r>
      <w:r w:rsidR="00545D1B" w:rsidRPr="00742A04">
        <w:t xml:space="preserve"> </w:t>
      </w:r>
      <w:r w:rsidR="001C54BB" w:rsidRPr="00742A04">
        <w:t>diez</w:t>
      </w:r>
      <w:r w:rsidR="00545D1B" w:rsidRPr="00742A04">
        <w:t xml:space="preserve"> </w:t>
      </w:r>
      <w:r w:rsidR="00CE5A7F" w:rsidRPr="00742A04">
        <w:t>días</w:t>
      </w:r>
      <w:r w:rsidR="000A08D8" w:rsidRPr="00742A04">
        <w:t>.</w:t>
      </w:r>
    </w:p>
    <w:p w:rsidR="00545D1B" w:rsidRPr="00742A04" w:rsidRDefault="004F6CD6" w:rsidP="001633F4">
      <w:pPr>
        <w:pStyle w:val="SingleTxt"/>
        <w:ind w:firstLine="475"/>
      </w:pPr>
      <w:r w:rsidRPr="00742A04">
        <w:t>El sistema nacional de seguridad social</w:t>
      </w:r>
      <w:r w:rsidR="00545D1B" w:rsidRPr="00742A04">
        <w:t xml:space="preserve"> </w:t>
      </w:r>
      <w:r w:rsidR="002E021A" w:rsidRPr="00742A04">
        <w:t>otorga</w:t>
      </w:r>
      <w:r w:rsidR="00545D1B" w:rsidRPr="00742A04">
        <w:t xml:space="preserve"> </w:t>
      </w:r>
      <w:r w:rsidR="002E021A" w:rsidRPr="00742A04">
        <w:rPr>
          <w:i/>
        </w:rPr>
        <w:t>beneficios de</w:t>
      </w:r>
      <w:r w:rsidR="00545D1B" w:rsidRPr="00742A04">
        <w:t xml:space="preserve"> </w:t>
      </w:r>
      <w:r w:rsidRPr="00742A04">
        <w:rPr>
          <w:i/>
        </w:rPr>
        <w:t>enfermería</w:t>
      </w:r>
      <w:r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cuidan a un hijo menor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12</w:t>
      </w:r>
      <w:r w:rsidRPr="00742A04">
        <w:t xml:space="preserve"> años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BB4DB1" w:rsidRPr="00742A04">
        <w:t>es</w:t>
      </w:r>
      <w:r w:rsidRPr="00742A04">
        <w:t>tá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6D7D2F" w:rsidRPr="00742A04">
        <w:t xml:space="preserve">ha </w:t>
      </w:r>
      <w:r w:rsidRPr="00742A04">
        <w:t>esta</w:t>
      </w:r>
      <w:r w:rsidR="006D7D2F" w:rsidRPr="00742A04">
        <w:t>do</w:t>
      </w:r>
      <w:r w:rsidR="00545D1B" w:rsidRPr="00742A04">
        <w:t xml:space="preserve"> </w:t>
      </w:r>
      <w:r w:rsidRPr="00742A04">
        <w:t>internado en un</w:t>
      </w:r>
      <w:r w:rsidR="00545D1B" w:rsidRPr="00742A04">
        <w:t>a institu</w:t>
      </w:r>
      <w:r w:rsidR="00C14BFF" w:rsidRPr="00742A04">
        <w:t xml:space="preserve">ción </w:t>
      </w:r>
      <w:r w:rsidRPr="00742A04">
        <w:t xml:space="preserve">de salud </w:t>
      </w:r>
      <w:r w:rsidR="003C25BF" w:rsidRPr="00742A04">
        <w:t>cuando</w:t>
      </w:r>
      <w:r w:rsidR="00545D1B" w:rsidRPr="00742A04">
        <w:t xml:space="preserve"> </w:t>
      </w:r>
      <w:r w:rsidR="00DD5E1A" w:rsidRPr="00742A04">
        <w:t>la necesidad de</w:t>
      </w:r>
      <w:r w:rsidR="00545D1B" w:rsidRPr="00742A04">
        <w:t xml:space="preserve"> </w:t>
      </w:r>
      <w:r w:rsidR="002E021A" w:rsidRPr="00742A04">
        <w:t xml:space="preserve">servicios de </w:t>
      </w:r>
      <w:r w:rsidR="00BD7DD0" w:rsidRPr="00742A04">
        <w:t>enfermería</w:t>
      </w:r>
      <w:r w:rsidR="00545D1B" w:rsidRPr="00742A04">
        <w:t xml:space="preserve"> </w:t>
      </w:r>
      <w:r w:rsidRPr="00742A04">
        <w:t>supera los</w:t>
      </w:r>
      <w:r w:rsidR="00545D1B" w:rsidRPr="00742A04">
        <w:t xml:space="preserve"> </w:t>
      </w:r>
      <w:r w:rsidR="00DD41C2" w:rsidRPr="00742A04">
        <w:t>siete</w:t>
      </w:r>
      <w:r w:rsidR="00545D1B" w:rsidRPr="00742A04">
        <w:t xml:space="preserve"> </w:t>
      </w:r>
      <w:r w:rsidR="00CE5A7F" w:rsidRPr="00742A04">
        <w:t>días</w:t>
      </w:r>
      <w:r w:rsidR="00545D1B" w:rsidRPr="00742A04">
        <w:t xml:space="preserve">. </w:t>
      </w:r>
      <w:r w:rsidR="00232DF9" w:rsidRPr="00742A04">
        <w:t>Si</w:t>
      </w:r>
      <w:r w:rsidR="00935A90" w:rsidRPr="00742A04">
        <w:t xml:space="preserve"> </w:t>
      </w:r>
      <w:r w:rsidRPr="00742A04">
        <w:t>el hijo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enfermo crónico o discapacitado</w:t>
      </w:r>
      <w:r w:rsidR="00545D1B" w:rsidRPr="00742A04">
        <w:t xml:space="preserve">, </w:t>
      </w:r>
      <w:r w:rsidRPr="00742A04">
        <w:t>este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 </w:t>
      </w:r>
      <w:r w:rsidR="008E5EBF" w:rsidRPr="00742A04">
        <w:t>se aplica</w:t>
      </w:r>
      <w:r w:rsidR="00545D1B" w:rsidRPr="00742A04">
        <w:t xml:space="preserve"> </w:t>
      </w:r>
      <w:r w:rsidRPr="00742A04">
        <w:t>h</w:t>
      </w:r>
      <w:r w:rsidR="00194AB3" w:rsidRPr="00742A04">
        <w:t>asta</w:t>
      </w:r>
      <w:r w:rsidR="00545D1B" w:rsidRPr="00742A04">
        <w:t xml:space="preserve"> </w:t>
      </w:r>
      <w:r w:rsidRPr="00742A04">
        <w:t>que el hijo llegue a los 19 años 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. </w:t>
      </w:r>
      <w:r w:rsidRPr="00742A04">
        <w:t xml:space="preserve">También se brindan </w:t>
      </w:r>
      <w:r w:rsidR="002E021A" w:rsidRPr="00742A04">
        <w:t xml:space="preserve">beneficios de </w:t>
      </w:r>
      <w:r w:rsidRPr="00742A04">
        <w:t>e</w:t>
      </w:r>
      <w:r w:rsidRPr="00742A04">
        <w:t>n</w:t>
      </w:r>
      <w:r w:rsidRPr="00742A04">
        <w:t>fermería desde el primer día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Pr="00742A04">
        <w:t>un hijo menor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18</w:t>
      </w:r>
      <w:r w:rsidRPr="00742A04">
        <w:t xml:space="preserve"> años tiene una enfermedad que hace correr peligro de</w:t>
      </w:r>
      <w:r w:rsidR="00545D1B" w:rsidRPr="00742A04">
        <w:t xml:space="preserve"> </w:t>
      </w:r>
      <w:r w:rsidR="000C68A8" w:rsidRPr="00742A04">
        <w:t>vida</w:t>
      </w:r>
      <w:r w:rsidRPr="00742A04">
        <w:t xml:space="preserve"> u </w:t>
      </w:r>
      <w:r w:rsidR="00980475" w:rsidRPr="00742A04">
        <w:t>otra</w:t>
      </w:r>
      <w:r w:rsidRPr="00742A04">
        <w:t xml:space="preserve"> enfermedad</w:t>
      </w:r>
      <w:r w:rsidR="00545D1B" w:rsidRPr="00742A04">
        <w:t xml:space="preserve"> </w:t>
      </w:r>
      <w:r w:rsidR="00BC2FBE" w:rsidRPr="00742A04">
        <w:t>sumamente</w:t>
      </w:r>
      <w:r w:rsidR="00545D1B" w:rsidRPr="00742A04">
        <w:t xml:space="preserve"> </w:t>
      </w:r>
      <w:r w:rsidRPr="00742A04">
        <w:t>grave</w:t>
      </w:r>
      <w:r w:rsidR="00545D1B" w:rsidRPr="00742A04">
        <w:t xml:space="preserve">. </w:t>
      </w:r>
      <w:r w:rsidR="00232DF9" w:rsidRPr="00742A04">
        <w:t>Si</w:t>
      </w:r>
      <w:r w:rsidR="00545D1B" w:rsidRPr="00742A04">
        <w:t xml:space="preserve"> </w:t>
      </w:r>
      <w:r w:rsidRPr="00742A04">
        <w:t>el hijo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 xml:space="preserve">discapacitado </w:t>
      </w:r>
      <w:r w:rsidR="00545D1B" w:rsidRPr="00742A04">
        <w:t>menta</w:t>
      </w:r>
      <w:r w:rsidR="005F7B32" w:rsidRPr="00742A04">
        <w:t>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tiene una enfermedad que hace correr peligro de vida u otra enfermedad grave</w:t>
      </w:r>
      <w:r w:rsidR="00545D1B" w:rsidRPr="00742A04">
        <w:t xml:space="preserve">, </w:t>
      </w:r>
      <w:r w:rsidRPr="00742A04">
        <w:t xml:space="preserve">se brindan </w:t>
      </w:r>
      <w:r w:rsidR="002E021A" w:rsidRPr="00742A04">
        <w:t>beneficios para enfermería</w:t>
      </w:r>
      <w:r w:rsidR="00545D1B" w:rsidRPr="00742A04">
        <w:t xml:space="preserve"> </w:t>
      </w:r>
      <w:r w:rsidR="00877086" w:rsidRPr="00742A04">
        <w:t>independientemente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 </w:t>
      </w:r>
      <w:r w:rsidR="00A93B9E" w:rsidRPr="00742A04">
        <w:t>edad</w:t>
      </w:r>
      <w:r w:rsidR="00545D1B" w:rsidRPr="00742A04">
        <w:t xml:space="preserve">. </w:t>
      </w:r>
      <w:r w:rsidRPr="00742A04">
        <w:t xml:space="preserve">Se podrá otorgar </w:t>
      </w:r>
      <w:r w:rsidR="002E021A" w:rsidRPr="00742A04">
        <w:t>beneficios para enfermería</w:t>
      </w:r>
      <w:r w:rsidRPr="00742A04">
        <w:t xml:space="preserve"> al</w:t>
      </w:r>
      <w:r w:rsidR="0063079C" w:rsidRPr="00742A04">
        <w:t xml:space="preserve"> padre</w:t>
      </w:r>
      <w:r w:rsidRPr="00742A04">
        <w:t xml:space="preserve"> y a la</w:t>
      </w:r>
      <w:r w:rsidR="0063079C" w:rsidRPr="00742A04">
        <w:t xml:space="preserve"> madre</w:t>
      </w:r>
      <w:r w:rsidR="00545D1B" w:rsidRPr="00742A04">
        <w:t xml:space="preserve"> </w:t>
      </w:r>
      <w:r w:rsidR="00130F7F" w:rsidRPr="00742A04">
        <w:t>al mismo tiempo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Pr="00742A04">
        <w:t>el hijo sufre de una</w:t>
      </w:r>
      <w:r w:rsidR="00545D1B" w:rsidRPr="00742A04">
        <w:t xml:space="preserve"> </w:t>
      </w:r>
      <w:r w:rsidRPr="00742A04">
        <w:t>enfermedad sumamente grave</w:t>
      </w:r>
      <w:r w:rsidR="00545D1B" w:rsidRPr="00742A04">
        <w:t xml:space="preserve">. </w:t>
      </w:r>
      <w:r w:rsidR="00B815B8" w:rsidRPr="00742A04">
        <w:t xml:space="preserve">Desde el </w:t>
      </w:r>
      <w:r w:rsidR="003315C7" w:rsidRPr="00742A04">
        <w:t>1°</w:t>
      </w:r>
      <w:r w:rsidR="00194AB3" w:rsidRPr="00742A04">
        <w:t xml:space="preserve"> de enero</w:t>
      </w:r>
      <w:r w:rsidR="004A0730" w:rsidRPr="00742A04">
        <w:t xml:space="preserve"> de</w:t>
      </w:r>
      <w:r w:rsidR="00545D1B" w:rsidRPr="00742A04">
        <w:t xml:space="preserve"> 2006 </w:t>
      </w:r>
      <w:r w:rsidRPr="00742A04">
        <w:t xml:space="preserve">se </w:t>
      </w:r>
      <w:r w:rsidR="004B1620" w:rsidRPr="00742A04">
        <w:t>podrán obtener</w:t>
      </w:r>
      <w:r w:rsidRPr="00742A04">
        <w:t xml:space="preserve"> </w:t>
      </w:r>
      <w:r w:rsidR="002E021A" w:rsidRPr="00742A04">
        <w:t>los servicios</w:t>
      </w:r>
      <w:r w:rsidRPr="00742A04">
        <w:t xml:space="preserve"> </w:t>
      </w:r>
      <w:r w:rsidR="002E021A" w:rsidRPr="00742A04">
        <w:t>de</w:t>
      </w:r>
      <w:r w:rsidRPr="00742A04">
        <w:t xml:space="preserve"> enfermer</w:t>
      </w:r>
      <w:r w:rsidR="002E021A" w:rsidRPr="00742A04">
        <w:t>os</w:t>
      </w:r>
      <w:r w:rsidR="00545D1B" w:rsidRPr="00742A04">
        <w:t xml:space="preserve"> </w:t>
      </w:r>
      <w:r w:rsidRPr="00742A04">
        <w:t>gradua</w:t>
      </w:r>
      <w:r w:rsidR="002E021A" w:rsidRPr="00742A04">
        <w:t>do</w:t>
      </w:r>
      <w:r w:rsidRPr="00742A04">
        <w:t>s de</w:t>
      </w:r>
      <w:r w:rsidRPr="00742A04">
        <w:t>s</w:t>
      </w:r>
      <w:r w:rsidRPr="00742A04">
        <w:t>de el primer día</w:t>
      </w:r>
      <w:r w:rsidR="00545D1B" w:rsidRPr="00742A04">
        <w:t>.</w:t>
      </w:r>
    </w:p>
    <w:p w:rsidR="00545D1B" w:rsidRPr="00742A04" w:rsidRDefault="005909B9" w:rsidP="002C4922">
      <w:pPr>
        <w:pStyle w:val="SingleTxt"/>
        <w:rPr>
          <w:i/>
        </w:rPr>
      </w:pPr>
      <w:r w:rsidRPr="00742A04">
        <w:rPr>
          <w:i/>
        </w:rPr>
        <w:t>Prestaciones en efectivo</w:t>
      </w:r>
    </w:p>
    <w:p w:rsidR="00545D1B" w:rsidRPr="00742A04" w:rsidRDefault="004F6CD6" w:rsidP="001633F4">
      <w:pPr>
        <w:pStyle w:val="SingleTxt"/>
        <w:ind w:firstLine="475"/>
      </w:pPr>
      <w:r w:rsidRPr="00742A04">
        <w:t>Las p</w:t>
      </w:r>
      <w:r w:rsidR="005909B9" w:rsidRPr="00742A04">
        <w:t>restaciones en efectivo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2E021A" w:rsidRPr="00742A04">
        <w:t>alternativas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E021A" w:rsidRPr="00742A04">
        <w:t>com</w:t>
      </w:r>
      <w:r w:rsidR="00545D1B" w:rsidRPr="00742A04">
        <w:t>plement</w:t>
      </w:r>
      <w:r w:rsidR="002E021A" w:rsidRPr="00742A04">
        <w:t>arias de</w:t>
      </w:r>
      <w:r w:rsidR="00545D1B" w:rsidRPr="00742A04">
        <w:t xml:space="preserve"> </w:t>
      </w:r>
      <w:r w:rsidR="00242371" w:rsidRPr="00742A04">
        <w:t>las guard</w:t>
      </w:r>
      <w:r w:rsidR="00242371" w:rsidRPr="00742A04">
        <w:t>e</w:t>
      </w:r>
      <w:r w:rsidR="00242371" w:rsidRPr="00742A04">
        <w:t>rías</w:t>
      </w:r>
      <w:r w:rsidR="00545D1B" w:rsidRPr="00742A04">
        <w:t xml:space="preserve">. </w:t>
      </w:r>
      <w:r w:rsidR="002E021A" w:rsidRPr="00742A04">
        <w:t>Se otorgan p</w:t>
      </w:r>
      <w:r w:rsidR="005909B9" w:rsidRPr="00742A04">
        <w:t>restaciones en efectivo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2E021A" w:rsidRPr="00742A04">
        <w:t>no utilizan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2E021A" w:rsidRPr="00742A04">
        <w:t>util</w:t>
      </w:r>
      <w:r w:rsidR="002E021A" w:rsidRPr="00742A04">
        <w:t>i</w:t>
      </w:r>
      <w:r w:rsidR="002E021A" w:rsidRPr="00742A04">
        <w:t xml:space="preserve">zan </w:t>
      </w:r>
      <w:r w:rsidR="00BA02FF" w:rsidRPr="00742A04">
        <w:t>parcial</w:t>
      </w:r>
      <w:r w:rsidR="005F7B32" w:rsidRPr="00742A04">
        <w:t xml:space="preserve">mente </w:t>
      </w:r>
      <w:r w:rsidR="002E021A" w:rsidRPr="00742A04">
        <w:t>un lugar en una guardería</w:t>
      </w:r>
      <w:r w:rsidR="00545D1B" w:rsidRPr="00742A04">
        <w:t xml:space="preserve"> </w:t>
      </w:r>
      <w:r w:rsidR="002E021A" w:rsidRPr="00742A04">
        <w:t>dentro de una</w:t>
      </w:r>
      <w:r w:rsidR="00545D1B" w:rsidRPr="00742A04">
        <w:t xml:space="preserve"> institu</w:t>
      </w:r>
      <w:r w:rsidR="00C14BFF" w:rsidRPr="00742A04">
        <w:t xml:space="preserve">ción </w:t>
      </w:r>
      <w:r w:rsidR="002E021A" w:rsidRPr="00742A04">
        <w:t>que</w:t>
      </w:r>
      <w:r w:rsidR="00545D1B" w:rsidRPr="00742A04">
        <w:t xml:space="preserve"> </w:t>
      </w:r>
      <w:r w:rsidR="00CD2FF0" w:rsidRPr="00742A04">
        <w:t>recibe</w:t>
      </w:r>
      <w:r w:rsidR="00545D1B" w:rsidRPr="00742A04">
        <w:t xml:space="preserve"> </w:t>
      </w:r>
      <w:r w:rsidR="002E021A" w:rsidRPr="00742A04">
        <w:t>un subsidio</w:t>
      </w:r>
      <w:r w:rsidR="00545D1B" w:rsidRPr="00742A04">
        <w:t xml:space="preserve"> </w:t>
      </w:r>
      <w:r w:rsidR="00CE1CFC" w:rsidRPr="00742A04">
        <w:t>ofi</w:t>
      </w:r>
      <w:r w:rsidR="00545D1B" w:rsidRPr="00742A04">
        <w:t xml:space="preserve">cial </w:t>
      </w:r>
      <w:r w:rsidR="002E021A" w:rsidRPr="00742A04">
        <w:t>de funcionamiento</w:t>
      </w:r>
      <w:r w:rsidR="00545D1B" w:rsidRPr="00742A04">
        <w:t xml:space="preserve">. </w:t>
      </w:r>
      <w:r w:rsidR="002E021A" w:rsidRPr="00742A04">
        <w:t>La prestación se otorga a partir del</w:t>
      </w:r>
      <w:r w:rsidR="00545D1B" w:rsidRPr="00742A04">
        <w:t xml:space="preserve"> </w:t>
      </w:r>
      <w:r w:rsidR="00F710ED" w:rsidRPr="00742A04">
        <w:t>mes</w:t>
      </w:r>
      <w:r w:rsidR="00545D1B" w:rsidRPr="00742A04">
        <w:t xml:space="preserve"> </w:t>
      </w:r>
      <w:r w:rsidR="002E021A" w:rsidRPr="00742A04">
        <w:t>siguie</w:t>
      </w:r>
      <w:r w:rsidR="002E021A" w:rsidRPr="00742A04">
        <w:t>n</w:t>
      </w:r>
      <w:r w:rsidR="002E021A" w:rsidRPr="00742A04">
        <w:t>te</w:t>
      </w:r>
      <w:r w:rsidR="003E4840" w:rsidRPr="00742A04">
        <w:t xml:space="preserve"> </w:t>
      </w:r>
      <w:r w:rsidR="002E021A" w:rsidRPr="00742A04">
        <w:t>a la fecha en que el niño cumple</w:t>
      </w:r>
      <w:r w:rsidR="00545D1B" w:rsidRPr="00742A04">
        <w:t xml:space="preserve"> </w:t>
      </w:r>
      <w:r w:rsidR="002E021A" w:rsidRPr="00742A04">
        <w:t>un año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E021A" w:rsidRPr="00742A04">
        <w:t>h</w:t>
      </w:r>
      <w:r w:rsidR="00194AB3" w:rsidRPr="00742A04">
        <w:t>asta</w:t>
      </w:r>
      <w:r w:rsidR="00545D1B" w:rsidRPr="00742A04">
        <w:t xml:space="preserve"> </w:t>
      </w:r>
      <w:r w:rsidR="002E021A" w:rsidRPr="00742A04">
        <w:t>el</w:t>
      </w:r>
      <w:r w:rsidR="00545D1B" w:rsidRPr="00742A04">
        <w:t xml:space="preserve"> </w:t>
      </w:r>
      <w:r w:rsidR="00F710ED" w:rsidRPr="00742A04">
        <w:t>mes</w:t>
      </w:r>
      <w:r w:rsidR="00545D1B" w:rsidRPr="00742A04">
        <w:t xml:space="preserve"> </w:t>
      </w:r>
      <w:r w:rsidR="00A826CB" w:rsidRPr="00742A04">
        <w:t>ante</w:t>
      </w:r>
      <w:r w:rsidR="002E021A" w:rsidRPr="00742A04">
        <w:t>rior a la fecha en que cumple</w:t>
      </w:r>
      <w:r w:rsidR="00545D1B" w:rsidRPr="00742A04">
        <w:t xml:space="preserve"> </w:t>
      </w:r>
      <w:r w:rsidR="002E41F3" w:rsidRPr="00742A04">
        <w:t>tres</w:t>
      </w:r>
      <w:r w:rsidR="002E021A" w:rsidRPr="00742A04">
        <w:t xml:space="preserve"> años</w:t>
      </w:r>
      <w:r w:rsidR="00545D1B" w:rsidRPr="00742A04">
        <w:t>.</w:t>
      </w:r>
    </w:p>
    <w:p w:rsidR="00545D1B" w:rsidRPr="00742A04" w:rsidRDefault="002E021A" w:rsidP="001633F4">
      <w:pPr>
        <w:pStyle w:val="SingleTxt"/>
        <w:ind w:firstLine="475"/>
      </w:pPr>
      <w:r w:rsidRPr="00742A04">
        <w:t>Desde que se implantaron las</w:t>
      </w:r>
      <w:r w:rsidR="00545D1B" w:rsidRPr="00742A04">
        <w:t xml:space="preserve"> </w:t>
      </w:r>
      <w:r w:rsidR="005909B9" w:rsidRPr="00742A04">
        <w:t>prestaciones en efectivo</w:t>
      </w:r>
      <w:r w:rsidRPr="00742A04">
        <w:t>, en</w:t>
      </w:r>
      <w:r w:rsidR="00545D1B" w:rsidRPr="00742A04">
        <w:t xml:space="preserve"> 1998, </w:t>
      </w:r>
      <w:r w:rsidRPr="00742A04">
        <w:t>se han llevado a cabo diversos</w:t>
      </w:r>
      <w:r w:rsidR="00545D1B" w:rsidRPr="00742A04">
        <w:t xml:space="preserve"> </w:t>
      </w:r>
      <w:r w:rsidR="0059357E" w:rsidRPr="00742A04">
        <w:t>proyectos</w:t>
      </w:r>
      <w:r w:rsidR="00545D1B" w:rsidRPr="00742A04">
        <w:t xml:space="preserve"> </w:t>
      </w:r>
      <w:r w:rsidRPr="00742A04">
        <w:t xml:space="preserve">encaminados </w:t>
      </w:r>
      <w:r w:rsidR="0030626A" w:rsidRPr="00742A04">
        <w:t>a</w:t>
      </w:r>
      <w:r w:rsidR="00545D1B" w:rsidRPr="00742A04">
        <w:t xml:space="preserve"> investiga</w:t>
      </w:r>
      <w:r w:rsidRPr="00742A04">
        <w:t>r</w:t>
      </w:r>
      <w:r w:rsidR="00545D1B" w:rsidRPr="00742A04">
        <w:t xml:space="preserve"> </w:t>
      </w:r>
      <w:r w:rsidR="00495D7B" w:rsidRPr="00742A04">
        <w:t>las consecuencias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este</w:t>
      </w:r>
      <w:r w:rsidR="00545D1B" w:rsidRPr="00742A04">
        <w:t xml:space="preserve"> </w:t>
      </w:r>
      <w:r w:rsidR="0063400A" w:rsidRPr="00742A04">
        <w:t>plan</w:t>
      </w:r>
      <w:r w:rsidR="00545D1B" w:rsidRPr="00742A04">
        <w:t>, inclu</w:t>
      </w:r>
      <w:r w:rsidRPr="00742A04">
        <w:t>idas</w:t>
      </w:r>
      <w:r w:rsidR="00545D1B" w:rsidRPr="00742A04">
        <w:t xml:space="preserve"> </w:t>
      </w:r>
      <w:r w:rsidR="00495D7B" w:rsidRPr="00742A04">
        <w:t>las consecuencias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igualdad de género</w:t>
      </w:r>
      <w:r w:rsidR="00545D1B" w:rsidRPr="00742A04">
        <w:t>.</w:t>
      </w:r>
    </w:p>
    <w:p w:rsidR="000A08D8" w:rsidRPr="00742A04" w:rsidRDefault="002E021A" w:rsidP="001633F4">
      <w:pPr>
        <w:pStyle w:val="SingleTxt"/>
        <w:ind w:firstLine="475"/>
      </w:pPr>
      <w:r w:rsidRPr="00742A04">
        <w:t>Como se explicó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2048" w:rsidRPr="00742A04">
        <w:t>el sexto informe periódico de Noruega</w:t>
      </w:r>
      <w:r w:rsidR="00545D1B" w:rsidRPr="00742A04">
        <w:t xml:space="preserve">, </w:t>
      </w:r>
      <w:r w:rsidR="00495D7B" w:rsidRPr="00742A04">
        <w:t>se han llevado a cabo</w:t>
      </w:r>
      <w:r w:rsidR="00CC4794" w:rsidRPr="00742A04">
        <w:t xml:space="preserve"> estudios acerca de la forma en que</w:t>
      </w:r>
      <w:r w:rsidR="00545D1B" w:rsidRPr="00742A04">
        <w:t xml:space="preserve"> </w:t>
      </w:r>
      <w:r w:rsidR="0063079C" w:rsidRPr="00742A04">
        <w:t>los padres y madres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CC4794" w:rsidRPr="00742A04">
        <w:t xml:space="preserve">hijos en </w:t>
      </w:r>
      <w:r w:rsidR="00A93B9E" w:rsidRPr="00742A04">
        <w:t>edad</w:t>
      </w:r>
      <w:r w:rsidR="00545D1B" w:rsidRPr="00742A04">
        <w:t xml:space="preserve"> </w:t>
      </w:r>
      <w:r w:rsidR="00CC4794" w:rsidRPr="00742A04">
        <w:t>pr</w:t>
      </w:r>
      <w:r w:rsidR="00CC4794" w:rsidRPr="00742A04">
        <w:t>e</w:t>
      </w:r>
      <w:r w:rsidR="00CC4794" w:rsidRPr="00742A04">
        <w:t>escolar organizan</w:t>
      </w:r>
      <w:r w:rsidR="00545D1B" w:rsidRPr="00742A04">
        <w:t xml:space="preserve"> </w:t>
      </w:r>
      <w:r w:rsidR="00F97F41" w:rsidRPr="00742A04">
        <w:t>su</w:t>
      </w:r>
      <w:r w:rsidR="00CC4794" w:rsidRPr="00742A04">
        <w:t>s</w:t>
      </w:r>
      <w:r w:rsidR="00545D1B" w:rsidRPr="00742A04">
        <w:t xml:space="preserve"> </w:t>
      </w:r>
      <w:r w:rsidR="00CC4794" w:rsidRPr="00742A04">
        <w:t>vidas cotidianas</w:t>
      </w:r>
      <w:r w:rsidR="00545D1B" w:rsidRPr="00742A04">
        <w:t xml:space="preserve">. </w:t>
      </w:r>
      <w:r w:rsidR="00CC4794" w:rsidRPr="00742A04">
        <w:t>Estudios anteriores</w:t>
      </w:r>
      <w:r w:rsidR="0051344E" w:rsidRPr="00742A04">
        <w:t xml:space="preserve"> demostra</w:t>
      </w:r>
      <w:r w:rsidR="00CC4794" w:rsidRPr="00742A04">
        <w:t>ron</w:t>
      </w:r>
      <w:r w:rsidR="0051344E" w:rsidRPr="00742A04">
        <w:t xml:space="preserve"> que</w:t>
      </w:r>
      <w:r w:rsidR="00545D1B" w:rsidRPr="00742A04">
        <w:t xml:space="preserve"> </w:t>
      </w:r>
      <w:r w:rsidR="00CC4794" w:rsidRPr="00742A04">
        <w:t>a corto plazo</w:t>
      </w:r>
      <w:r w:rsidR="00545D1B" w:rsidRPr="00742A04">
        <w:t xml:space="preserve"> (</w:t>
      </w:r>
      <w:r w:rsidR="00CC4794" w:rsidRPr="00742A04">
        <w:t xml:space="preserve">hasta </w:t>
      </w:r>
      <w:r w:rsidR="00545D1B" w:rsidRPr="00742A04">
        <w:t xml:space="preserve">1999), </w:t>
      </w:r>
      <w:r w:rsidR="00A836A1" w:rsidRPr="00742A04">
        <w:t>sólo</w:t>
      </w:r>
      <w:r w:rsidR="00545D1B" w:rsidRPr="00742A04">
        <w:t xml:space="preserve"> </w:t>
      </w:r>
      <w:r w:rsidR="00CC4794" w:rsidRPr="00742A04">
        <w:t>hubo una pequeña</w:t>
      </w:r>
      <w:r w:rsidR="00545D1B" w:rsidRPr="00742A04">
        <w:t xml:space="preserve"> reduc</w:t>
      </w:r>
      <w:r w:rsidR="00C14BFF" w:rsidRPr="00742A04">
        <w:t>ción en</w:t>
      </w:r>
      <w:r w:rsidR="00545D1B" w:rsidRPr="00742A04">
        <w:t xml:space="preserve"> </w:t>
      </w:r>
      <w:r w:rsidR="005E2D7A" w:rsidRPr="00742A04">
        <w:t>el empleo</w:t>
      </w:r>
      <w:r w:rsidR="00CC4794" w:rsidRPr="00742A04">
        <w:t xml:space="preserve"> de las madres</w:t>
      </w:r>
      <w:r w:rsidR="00545D1B" w:rsidRPr="00742A04">
        <w:t>.</w:t>
      </w:r>
      <w:r w:rsidR="001167D2" w:rsidRPr="00742A04">
        <w:t xml:space="preserve"> </w:t>
      </w:r>
      <w:r w:rsidR="00CC4794" w:rsidRPr="00742A04">
        <w:t>E</w:t>
      </w:r>
      <w:r w:rsidR="001167D2" w:rsidRPr="00742A04">
        <w:t>l</w:t>
      </w:r>
      <w:r w:rsidR="00CC4794"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="00545D1B" w:rsidRPr="00742A04">
        <w:rPr>
          <w:i/>
        </w:rPr>
        <w:t>Kontantstøttens langsiktige effekter på mødres og fedres arbeidstilbud</w:t>
      </w:r>
      <w:r w:rsidR="00545D1B" w:rsidRPr="00742A04">
        <w:t xml:space="preserve"> (</w:t>
      </w:r>
      <w:r w:rsidR="00CC4794" w:rsidRPr="00742A04">
        <w:t>“Los</w:t>
      </w:r>
      <w:r w:rsidR="00545D1B" w:rsidRPr="00742A04">
        <w:t xml:space="preserve"> </w:t>
      </w:r>
      <w:r w:rsidR="002213CF" w:rsidRPr="00742A04">
        <w:t>efectos</w:t>
      </w:r>
      <w:r w:rsidR="00545D1B" w:rsidRPr="00742A04">
        <w:t xml:space="preserve"> </w:t>
      </w:r>
      <w:r w:rsidR="00CC4794" w:rsidRPr="00742A04">
        <w:t xml:space="preserve">a largo plazo </w:t>
      </w:r>
      <w:r w:rsidR="004A0730" w:rsidRPr="00742A04">
        <w:t>de</w:t>
      </w:r>
      <w:r w:rsidR="00545D1B" w:rsidRPr="00742A04">
        <w:t xml:space="preserve"> </w:t>
      </w:r>
      <w:r w:rsidR="00CC4794" w:rsidRPr="00742A04">
        <w:t xml:space="preserve">las </w:t>
      </w:r>
      <w:r w:rsidR="005909B9" w:rsidRPr="00742A04">
        <w:t>prestaciones en efectivo</w:t>
      </w:r>
      <w:r w:rsidR="00CC4794" w:rsidRPr="00742A04">
        <w:t xml:space="preserve"> en</w:t>
      </w:r>
      <w:r w:rsidR="00545D1B" w:rsidRPr="00742A04">
        <w:t xml:space="preserve"> </w:t>
      </w:r>
      <w:r w:rsidR="00CC4794" w:rsidRPr="00742A04">
        <w:t>el empleo de las m</w:t>
      </w:r>
      <w:r w:rsidR="00CC4794" w:rsidRPr="00742A04">
        <w:t>a</w:t>
      </w:r>
      <w:r w:rsidR="00CC4794" w:rsidRPr="00742A04">
        <w:t>dres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6F2" w:rsidRPr="00742A04">
        <w:t xml:space="preserve">de los </w:t>
      </w:r>
      <w:r w:rsidR="009451E4" w:rsidRPr="00742A04">
        <w:t>padres</w:t>
      </w:r>
      <w:r w:rsidR="00CC4794" w:rsidRPr="00742A04">
        <w:t>”</w:t>
      </w:r>
      <w:r w:rsidR="00545D1B" w:rsidRPr="00742A04">
        <w:t xml:space="preserve">, </w:t>
      </w:r>
      <w:r w:rsidR="00AF398C" w:rsidRPr="00742A04">
        <w:t>Instituto Nacional de Estadísticas de Noruega</w:t>
      </w:r>
      <w:r w:rsidR="00545D1B" w:rsidRPr="00742A04">
        <w:t xml:space="preserve">, 2005) </w:t>
      </w:r>
      <w:r w:rsidR="003E5775" w:rsidRPr="00742A04">
        <w:t>indica que</w:t>
      </w:r>
      <w:r w:rsidR="00545D1B" w:rsidRPr="00742A04">
        <w:t xml:space="preserve"> </w:t>
      </w:r>
      <w:r w:rsidR="00CC4794" w:rsidRPr="00742A04">
        <w:t>a plazo más largo</w:t>
      </w:r>
      <w:r w:rsidR="00545D1B" w:rsidRPr="00742A04">
        <w:t xml:space="preserve"> (</w:t>
      </w:r>
      <w:r w:rsidR="00CC4794" w:rsidRPr="00742A04">
        <w:t xml:space="preserve">hasta </w:t>
      </w:r>
      <w:r w:rsidR="00545D1B" w:rsidRPr="00742A04">
        <w:t xml:space="preserve">2002) </w:t>
      </w:r>
      <w:r w:rsidR="005909B9" w:rsidRPr="00742A04">
        <w:t>prestaciones en efectivo</w:t>
      </w:r>
      <w:r w:rsidR="00545D1B" w:rsidRPr="00742A04">
        <w:t xml:space="preserve"> </w:t>
      </w:r>
      <w:r w:rsidR="00CC4794" w:rsidRPr="00742A04">
        <w:t>han tenido una incide</w:t>
      </w:r>
      <w:r w:rsidR="00CC4794" w:rsidRPr="00742A04">
        <w:t>n</w:t>
      </w:r>
      <w:r w:rsidR="00CC4794" w:rsidRPr="00742A04">
        <w:t>cia bastante</w:t>
      </w:r>
      <w:r w:rsidR="00545D1B" w:rsidRPr="00742A04">
        <w:t xml:space="preserve"> </w:t>
      </w:r>
      <w:r w:rsidR="000B41AF" w:rsidRPr="00742A04">
        <w:t>significativa</w:t>
      </w:r>
      <w:r w:rsidR="00545D1B" w:rsidRPr="00742A04">
        <w:t xml:space="preserve"> </w:t>
      </w:r>
      <w:r w:rsidR="00CC4794" w:rsidRPr="00742A04">
        <w:t>e</w:t>
      </w:r>
      <w:r w:rsidR="00545D1B" w:rsidRPr="00742A04">
        <w:t xml:space="preserve">n </w:t>
      </w:r>
      <w:r w:rsidR="005E2D7A" w:rsidRPr="00742A04">
        <w:t>el empleo</w:t>
      </w:r>
      <w:r w:rsidR="00CC4794" w:rsidRPr="00742A04">
        <w:t xml:space="preserve"> de las madres</w:t>
      </w:r>
      <w:r w:rsidR="00545D1B" w:rsidRPr="00742A04">
        <w:t xml:space="preserve">. </w:t>
      </w:r>
      <w:r w:rsidR="00CC4794" w:rsidRPr="00742A04">
        <w:t>Tanto la</w:t>
      </w:r>
      <w:r w:rsidR="00545D1B" w:rsidRPr="00742A04">
        <w:t xml:space="preserve"> probab</w:t>
      </w:r>
      <w:r w:rsidR="00502E16" w:rsidRPr="00742A04">
        <w:t>ilidad</w:t>
      </w:r>
      <w:r w:rsidR="004F2F8A" w:rsidRPr="00742A04">
        <w:t xml:space="preserve"> d</w:t>
      </w:r>
      <w:r w:rsidR="00CC4794" w:rsidRPr="00742A04">
        <w:t>e</w:t>
      </w:r>
      <w:r w:rsidR="002232C2" w:rsidRPr="00742A04">
        <w:t xml:space="preserve"> trab</w:t>
      </w:r>
      <w:r w:rsidR="002232C2" w:rsidRPr="00742A04">
        <w:t>a</w:t>
      </w:r>
      <w:r w:rsidR="00CC4794" w:rsidRPr="00742A04">
        <w:t>jar</w:t>
      </w:r>
      <w:r w:rsidR="00545D1B" w:rsidRPr="00742A04">
        <w:t xml:space="preserve"> </w:t>
      </w:r>
      <w:r w:rsidR="00CC4794" w:rsidRPr="00742A04">
        <w:t>como la</w:t>
      </w:r>
      <w:r w:rsidR="00545D1B" w:rsidRPr="00742A04">
        <w:t xml:space="preserve"> probab</w:t>
      </w:r>
      <w:r w:rsidR="00502E16" w:rsidRPr="00742A04">
        <w:t>ilidad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C4794" w:rsidRPr="00742A04">
        <w:t>estar</w:t>
      </w:r>
      <w:r w:rsidR="00545D1B" w:rsidRPr="00742A04">
        <w:t xml:space="preserve"> empl</w:t>
      </w:r>
      <w:r w:rsidR="00CC4794" w:rsidRPr="00742A04">
        <w:t>eada</w:t>
      </w:r>
      <w:r w:rsidR="00545D1B" w:rsidRPr="00742A04">
        <w:t xml:space="preserve">, </w:t>
      </w:r>
      <w:r w:rsidR="000B41AF" w:rsidRPr="00742A04">
        <w:t>siempre que</w:t>
      </w:r>
      <w:r w:rsidR="00545D1B" w:rsidRPr="00742A04">
        <w:t xml:space="preserve"> </w:t>
      </w:r>
      <w:r w:rsidR="002A7CCF" w:rsidRPr="00742A04">
        <w:t>la madre</w:t>
      </w:r>
      <w:r w:rsidR="00545D1B" w:rsidRPr="00742A04">
        <w:t xml:space="preserve"> </w:t>
      </w:r>
      <w:r w:rsidR="00CC4794" w:rsidRPr="00742A04">
        <w:t>hubiese estado</w:t>
      </w:r>
      <w:r w:rsidR="00545D1B" w:rsidRPr="00742A04">
        <w:t xml:space="preserve"> </w:t>
      </w:r>
      <w:r w:rsidR="00041F24" w:rsidRPr="00742A04">
        <w:t>anteriormente</w:t>
      </w:r>
      <w:r w:rsidR="00545D1B" w:rsidRPr="00742A04">
        <w:t xml:space="preserve"> activ</w:t>
      </w:r>
      <w:r w:rsidR="00CC4794" w:rsidRPr="00742A04">
        <w:t>a e</w:t>
      </w:r>
      <w:r w:rsidR="00545D1B" w:rsidRPr="00742A04">
        <w:t xml:space="preserve">n </w:t>
      </w:r>
      <w:r w:rsidR="00434891" w:rsidRPr="00742A04">
        <w:t>el mercado de trabajo</w:t>
      </w:r>
      <w:r w:rsidR="00545D1B" w:rsidRPr="00742A04">
        <w:t xml:space="preserve">, </w:t>
      </w:r>
      <w:r w:rsidR="00CC4794" w:rsidRPr="00742A04">
        <w:t xml:space="preserve">disminuyeron </w:t>
      </w:r>
      <w:r w:rsidR="00032136" w:rsidRPr="00742A04">
        <w:t>claramente</w:t>
      </w:r>
      <w:r w:rsidR="00545D1B" w:rsidRPr="00742A04">
        <w:t xml:space="preserve"> </w:t>
      </w:r>
      <w:r w:rsidR="00CC4794" w:rsidRPr="00742A04">
        <w:t>d</w:t>
      </w:r>
      <w:r w:rsidR="008F0C8E" w:rsidRPr="00742A04">
        <w:t>e</w:t>
      </w:r>
      <w:r w:rsidR="00545D1B" w:rsidRPr="00742A04">
        <w:t xml:space="preserve"> 1998 </w:t>
      </w:r>
      <w:r w:rsidR="00CC4794" w:rsidRPr="00742A04">
        <w:t>a</w:t>
      </w:r>
      <w:r w:rsidR="00545D1B" w:rsidRPr="00742A04">
        <w:t xml:space="preserve"> 2002. </w:t>
      </w:r>
      <w:r w:rsidR="00F43124" w:rsidRPr="00742A04">
        <w:t>Para</w:t>
      </w:r>
      <w:r w:rsidR="00545D1B" w:rsidRPr="00742A04">
        <w:t xml:space="preserve"> </w:t>
      </w:r>
      <w:r w:rsidR="005E2D7A" w:rsidRPr="00742A04">
        <w:t>las madres</w:t>
      </w:r>
      <w:r w:rsidR="00545D1B" w:rsidRPr="00742A04">
        <w:t xml:space="preserve"> </w:t>
      </w:r>
      <w:r w:rsidR="00A742D4" w:rsidRPr="00742A04">
        <w:t>en su conjunto</w:t>
      </w:r>
      <w:r w:rsidR="00545D1B" w:rsidRPr="00742A04">
        <w:t xml:space="preserve">, </w:t>
      </w:r>
      <w:r w:rsidR="004A3F50" w:rsidRPr="00742A04">
        <w:t>hubo</w:t>
      </w:r>
      <w:r w:rsidR="00545D1B" w:rsidRPr="00742A04">
        <w:t xml:space="preserve"> </w:t>
      </w:r>
      <w:r w:rsidR="001D532F" w:rsidRPr="00742A04">
        <w:t>una disminución</w:t>
      </w:r>
      <w:r w:rsidR="00CC4794" w:rsidRPr="00742A04">
        <w:t xml:space="preserve"> media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3¾ </w:t>
      </w:r>
      <w:r w:rsidR="0061771B" w:rsidRPr="00742A04">
        <w:t>horas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9739AE" w:rsidRPr="00742A04">
        <w:t>los horarios de trabajo</w:t>
      </w:r>
      <w:r w:rsidR="00545D1B" w:rsidRPr="00742A04">
        <w:t xml:space="preserve"> </w:t>
      </w:r>
      <w:r w:rsidR="00311327" w:rsidRPr="00742A04">
        <w:t>semana</w:t>
      </w:r>
      <w:r w:rsidR="00CC4794" w:rsidRPr="00742A04">
        <w:t>les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1998 </w:t>
      </w:r>
      <w:r w:rsidR="0030626A" w:rsidRPr="00742A04">
        <w:t>a</w:t>
      </w:r>
      <w:r w:rsidR="00545D1B" w:rsidRPr="00742A04">
        <w:t xml:space="preserve"> 2002. </w:t>
      </w:r>
      <w:r w:rsidR="00CC4794" w:rsidRPr="00742A04">
        <w:t>La</w:t>
      </w:r>
      <w:r w:rsidR="00545D1B" w:rsidRPr="00742A04">
        <w:t xml:space="preserve"> probab</w:t>
      </w:r>
      <w:r w:rsidR="00502E16" w:rsidRPr="00742A04">
        <w:t>ilidad</w:t>
      </w:r>
      <w:r w:rsidR="00545D1B" w:rsidRPr="00742A04">
        <w:t xml:space="preserve"> </w:t>
      </w:r>
      <w:r w:rsidR="00CC4794" w:rsidRPr="00742A04">
        <w:t>de que</w:t>
      </w:r>
      <w:r w:rsidR="00545D1B" w:rsidRPr="00742A04">
        <w:t xml:space="preserve"> </w:t>
      </w:r>
      <w:r w:rsidR="005E2D7A" w:rsidRPr="00742A04">
        <w:t>las madres</w:t>
      </w:r>
      <w:r w:rsidR="00545D1B" w:rsidRPr="00742A04">
        <w:t xml:space="preserve"> </w:t>
      </w:r>
      <w:r w:rsidR="00CC4794" w:rsidRPr="00742A04">
        <w:t>comenzaran a</w:t>
      </w:r>
      <w:r w:rsidR="005532F5" w:rsidRPr="00742A04">
        <w:t xml:space="preserve"> traba</w:t>
      </w:r>
      <w:r w:rsidR="00CC4794" w:rsidRPr="00742A04">
        <w:t>jar</w:t>
      </w:r>
      <w:r w:rsidR="005532F5" w:rsidRPr="00742A04">
        <w:t xml:space="preserve"> en </w:t>
      </w:r>
      <w:r w:rsidR="00CC4794" w:rsidRPr="00742A04">
        <w:t>los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CC4794" w:rsidRPr="00742A04">
        <w:t xml:space="preserve">primeros </w:t>
      </w:r>
      <w:r w:rsidR="004D313C" w:rsidRPr="00742A04">
        <w:t>años</w:t>
      </w:r>
      <w:r w:rsidR="00545D1B" w:rsidRPr="00742A04">
        <w:t xml:space="preserve"> </w:t>
      </w:r>
      <w:r w:rsidR="00CC4794" w:rsidRPr="00742A04">
        <w:t>siguientes a</w:t>
      </w:r>
      <w:r w:rsidR="004F2F8A" w:rsidRPr="00742A04">
        <w:t xml:space="preserve">l </w:t>
      </w:r>
      <w:r w:rsidR="007B45F5" w:rsidRPr="00742A04">
        <w:t>nacimiento</w:t>
      </w:r>
      <w:r w:rsidR="00545D1B" w:rsidRPr="00742A04">
        <w:t xml:space="preserve"> </w:t>
      </w:r>
      <w:r w:rsidR="00CC4794" w:rsidRPr="00742A04">
        <w:t xml:space="preserve">disminuyó </w:t>
      </w:r>
      <w:r w:rsidR="003E4840" w:rsidRPr="00742A04">
        <w:t>después de</w:t>
      </w:r>
      <w:r w:rsidR="00545D1B" w:rsidRPr="00742A04">
        <w:t xml:space="preserve"> </w:t>
      </w:r>
      <w:r w:rsidR="00CC4794" w:rsidRPr="00742A04">
        <w:t>la implanta</w:t>
      </w:r>
      <w:r w:rsidR="00D165B5" w:rsidRPr="00742A04">
        <w:t>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C4794" w:rsidRPr="00742A04">
        <w:t xml:space="preserve">las </w:t>
      </w:r>
      <w:r w:rsidR="005909B9" w:rsidRPr="00742A04">
        <w:t>prestaciones en efectivo</w:t>
      </w:r>
      <w:r w:rsidR="00545D1B" w:rsidRPr="00742A04">
        <w:t xml:space="preserve">. </w:t>
      </w:r>
      <w:r w:rsidR="00CC4794" w:rsidRPr="00742A04">
        <w:t>E</w:t>
      </w:r>
      <w:r w:rsidR="005E2D7A" w:rsidRPr="00742A04">
        <w:t>l empleo</w:t>
      </w:r>
      <w:r w:rsidR="00545D1B" w:rsidRPr="00742A04">
        <w:t xml:space="preserve"> </w:t>
      </w:r>
      <w:r w:rsidR="00CC4794" w:rsidRPr="00742A04">
        <w:t xml:space="preserve">de los padres </w:t>
      </w:r>
      <w:r w:rsidR="0030626A" w:rsidRPr="00742A04">
        <w:t>también</w:t>
      </w:r>
      <w:r w:rsidR="00545D1B" w:rsidRPr="00742A04">
        <w:t xml:space="preserve"> </w:t>
      </w:r>
      <w:r w:rsidR="00CC4794" w:rsidRPr="00742A04">
        <w:t>parece haber sido</w:t>
      </w:r>
      <w:r w:rsidR="00545D1B" w:rsidRPr="00742A04">
        <w:t xml:space="preserve"> </w:t>
      </w:r>
      <w:r w:rsidR="005448DD">
        <w:t>afectado</w:t>
      </w:r>
      <w:r w:rsidR="00545D1B" w:rsidRPr="00742A04">
        <w:t xml:space="preserve"> </w:t>
      </w:r>
      <w:r w:rsidR="00CC4794" w:rsidRPr="00742A04">
        <w:t>a plazo más largo</w:t>
      </w:r>
      <w:r w:rsidR="00545D1B" w:rsidRPr="00742A04">
        <w:t xml:space="preserve">. </w:t>
      </w:r>
      <w:r w:rsidR="005E2D7A" w:rsidRPr="00742A04">
        <w:t>Los padres</w:t>
      </w:r>
      <w:r w:rsidR="00545D1B" w:rsidRPr="00742A04">
        <w:t xml:space="preserve"> redu</w:t>
      </w:r>
      <w:r w:rsidR="00CC4794" w:rsidRPr="00742A04">
        <w:t>jeron</w:t>
      </w:r>
      <w:r w:rsidR="00545D1B" w:rsidRPr="00742A04">
        <w:t xml:space="preserve"> </w:t>
      </w:r>
      <w:r w:rsidR="008E38BC" w:rsidRPr="00742A04">
        <w:t>su hor</w:t>
      </w:r>
      <w:r w:rsidR="008E38BC" w:rsidRPr="00742A04">
        <w:t>a</w:t>
      </w:r>
      <w:r w:rsidR="008E38BC" w:rsidRPr="00742A04">
        <w:t>rio de trabajo</w:t>
      </w:r>
      <w:r w:rsidR="00545D1B" w:rsidRPr="00742A04">
        <w:t xml:space="preserve"> </w:t>
      </w:r>
      <w:r w:rsidR="00CC4794" w:rsidRPr="00742A04">
        <w:t>en 1,</w:t>
      </w:r>
      <w:r w:rsidR="00545D1B" w:rsidRPr="00742A04">
        <w:t xml:space="preserve">2 </w:t>
      </w:r>
      <w:r w:rsidR="0061771B" w:rsidRPr="00742A04">
        <w:t>horas</w:t>
      </w:r>
      <w:r w:rsidR="00545D1B" w:rsidRPr="00742A04">
        <w:t xml:space="preserve"> </w:t>
      </w:r>
      <w:r w:rsidR="00CC4794" w:rsidRPr="00742A04">
        <w:t>por</w:t>
      </w:r>
      <w:r w:rsidR="00545D1B" w:rsidRPr="00742A04">
        <w:t xml:space="preserve"> </w:t>
      </w:r>
      <w:r w:rsidR="00311327" w:rsidRPr="00742A04">
        <w:t>semana</w:t>
      </w:r>
      <w:r w:rsidR="00545D1B" w:rsidRPr="00742A04">
        <w:t xml:space="preserve">. </w:t>
      </w:r>
      <w:r w:rsidR="00CC4794" w:rsidRPr="00742A04">
        <w:t>Esta</w:t>
      </w:r>
      <w:r w:rsidR="00545D1B" w:rsidRPr="00742A04">
        <w:t xml:space="preserve"> reduc</w:t>
      </w:r>
      <w:r w:rsidR="00C14BFF" w:rsidRPr="00742A04">
        <w:t xml:space="preserve">ción </w:t>
      </w:r>
      <w:r w:rsidR="00CC4794" w:rsidRPr="00742A04">
        <w:t xml:space="preserve">se </w:t>
      </w:r>
      <w:r w:rsidR="00545D1B" w:rsidRPr="00742A04">
        <w:t>ha</w:t>
      </w:r>
      <w:r w:rsidR="00CC4794" w:rsidRPr="00742A04">
        <w:t xml:space="preserve"> llevado a cabo</w:t>
      </w:r>
      <w:r w:rsidR="00545D1B" w:rsidRPr="00742A04">
        <w:t xml:space="preserve"> </w:t>
      </w:r>
      <w:r w:rsidR="00BC2FBE" w:rsidRPr="00742A04">
        <w:t>en gran medida</w:t>
      </w:r>
      <w:r w:rsidR="00545D1B" w:rsidRPr="00742A04">
        <w:t xml:space="preserve"> </w:t>
      </w:r>
      <w:r w:rsidR="00CC4794" w:rsidRPr="00742A04">
        <w:t>mediante</w:t>
      </w:r>
      <w:r w:rsidR="00545D1B" w:rsidRPr="00742A04">
        <w:t xml:space="preserve"> </w:t>
      </w:r>
      <w:r w:rsidR="001D532F" w:rsidRPr="00742A04">
        <w:t>una disminución</w:t>
      </w:r>
      <w:r w:rsidR="00545D1B" w:rsidRPr="00742A04">
        <w:t xml:space="preserve"> </w:t>
      </w:r>
      <w:r w:rsidR="00CC4794" w:rsidRPr="00742A04">
        <w:t>de</w:t>
      </w:r>
      <w:r w:rsidR="00545D1B" w:rsidRPr="00742A04">
        <w:t xml:space="preserve"> </w:t>
      </w:r>
      <w:r w:rsidR="009739AE" w:rsidRPr="00742A04">
        <w:t>los horarios de trabajo</w:t>
      </w:r>
      <w:r w:rsidR="00545D1B" w:rsidRPr="00742A04">
        <w:t xml:space="preserve"> </w:t>
      </w:r>
      <w:r w:rsidR="00CC4794" w:rsidRPr="00742A04">
        <w:t>de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, </w:t>
      </w:r>
      <w:r w:rsidR="00E77E20" w:rsidRPr="00742A04">
        <w:t>p</w:t>
      </w:r>
      <w:r w:rsidR="00E77E20" w:rsidRPr="00742A04">
        <w:t>e</w:t>
      </w:r>
      <w:r w:rsidR="00E77E20" w:rsidRPr="00742A04">
        <w:t>ro</w:t>
      </w:r>
      <w:r w:rsidR="00545D1B" w:rsidRPr="00742A04">
        <w:t xml:space="preserve"> </w:t>
      </w:r>
      <w:r w:rsidR="005E2D7A" w:rsidRPr="00742A04">
        <w:t>los padres</w:t>
      </w:r>
      <w:r w:rsidR="00545D1B" w:rsidRPr="00742A04">
        <w:t xml:space="preserve"> </w:t>
      </w:r>
      <w:r w:rsidR="0030626A" w:rsidRPr="00742A04">
        <w:t>ta</w:t>
      </w:r>
      <w:r w:rsidR="0030626A" w:rsidRPr="00742A04">
        <w:t>m</w:t>
      </w:r>
      <w:r w:rsidR="0030626A" w:rsidRPr="00742A04">
        <w:t>bién</w:t>
      </w:r>
      <w:r w:rsidR="00545D1B" w:rsidRPr="00742A04">
        <w:t xml:space="preserve"> </w:t>
      </w:r>
      <w:r w:rsidR="00CC4794" w:rsidRPr="00742A04">
        <w:t>parecen estar tomando más licencias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A826CB" w:rsidRPr="00742A04">
        <w:t>antes</w:t>
      </w:r>
      <w:r w:rsidR="000A08D8" w:rsidRPr="00742A04">
        <w:t>.</w:t>
      </w:r>
    </w:p>
    <w:p w:rsidR="00545D1B" w:rsidRPr="00742A04" w:rsidRDefault="00CC4794" w:rsidP="001633F4">
      <w:pPr>
        <w:pStyle w:val="SingleTxt"/>
        <w:ind w:firstLine="475"/>
      </w:pPr>
      <w:r w:rsidRPr="00742A04">
        <w:t>Por consiguiente, la</w:t>
      </w:r>
      <w:r w:rsidR="00545D1B" w:rsidRPr="00742A04">
        <w:t xml:space="preserve"> reduc</w:t>
      </w:r>
      <w:r w:rsidR="00C14BFF" w:rsidRPr="00742A04">
        <w:t xml:space="preserve">ción </w:t>
      </w:r>
      <w:r w:rsidRPr="00742A04">
        <w:t>d</w:t>
      </w:r>
      <w:r w:rsidR="00C14BFF" w:rsidRPr="00742A04">
        <w:t>e</w:t>
      </w:r>
      <w:r w:rsidR="00545D1B" w:rsidRPr="00742A04">
        <w:t xml:space="preserve"> </w:t>
      </w:r>
      <w:r w:rsidR="009739AE" w:rsidRPr="00742A04">
        <w:t>los horarios de trabajo</w:t>
      </w:r>
      <w:r w:rsidR="00545D1B" w:rsidRPr="00742A04">
        <w:t xml:space="preserve"> </w:t>
      </w:r>
      <w:r w:rsidR="00495D7B" w:rsidRPr="00742A04">
        <w:t>es</w:t>
      </w:r>
      <w:r w:rsidR="00545D1B" w:rsidRPr="00742A04">
        <w:t xml:space="preserve"> </w:t>
      </w:r>
      <w:r w:rsidR="00032136" w:rsidRPr="00742A04">
        <w:t>claramente</w:t>
      </w:r>
      <w:r w:rsidR="00545D1B" w:rsidRPr="00742A04">
        <w:t xml:space="preserve"> </w:t>
      </w:r>
      <w:r w:rsidR="00894371" w:rsidRPr="00742A04">
        <w:t>mayor</w:t>
      </w:r>
      <w:r w:rsidR="00894371">
        <w:t xml:space="preserve"> </w:t>
      </w:r>
      <w:r w:rsidR="00894371" w:rsidRPr="00742A04">
        <w:t>en</w:t>
      </w:r>
      <w:r w:rsidRPr="00742A04">
        <w:t xml:space="preserve"> el caso de</w:t>
      </w:r>
      <w:r w:rsidR="00545D1B" w:rsidRPr="00742A04">
        <w:t xml:space="preserve"> </w:t>
      </w:r>
      <w:r w:rsidR="005E2D7A" w:rsidRPr="00742A04">
        <w:t>las madres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Pr="00742A04">
        <w:t>en el d</w:t>
      </w:r>
      <w:r w:rsidR="007E0DFE" w:rsidRPr="00742A04">
        <w:t>e</w:t>
      </w:r>
      <w:r w:rsidR="00545D1B" w:rsidRPr="00742A04">
        <w:t xml:space="preserve"> </w:t>
      </w:r>
      <w:r w:rsidR="005E2D7A" w:rsidRPr="00742A04">
        <w:t>los padres</w:t>
      </w:r>
      <w:r w:rsidR="00545D1B" w:rsidRPr="00742A04">
        <w:t xml:space="preserve">. </w:t>
      </w:r>
      <w:r w:rsidRPr="00742A04">
        <w:t>Esto puede tener</w:t>
      </w:r>
      <w:r w:rsidR="00545D1B" w:rsidRPr="00742A04">
        <w:t xml:space="preserve"> </w:t>
      </w:r>
      <w:r w:rsidRPr="00742A04">
        <w:t>consecuencias n</w:t>
      </w:r>
      <w:r w:rsidRPr="00742A04">
        <w:t>e</w:t>
      </w:r>
      <w:r w:rsidRPr="00742A04">
        <w:t>gativas</w:t>
      </w:r>
      <w:r w:rsidR="00545D1B" w:rsidRPr="00742A04">
        <w:t xml:space="preserve"> </w:t>
      </w:r>
      <w:r w:rsidRPr="00742A04">
        <w:t>para la igualdad</w:t>
      </w:r>
      <w:r w:rsidR="00A05847" w:rsidRPr="00742A04">
        <w:t xml:space="preserve">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A5430" w:rsidRPr="00742A04">
        <w:t>contribu</w:t>
      </w:r>
      <w:r w:rsidRPr="00742A04">
        <w:t>ye al ma</w:t>
      </w:r>
      <w:r w:rsidR="00545D1B" w:rsidRPr="00742A04">
        <w:t>nt</w:t>
      </w:r>
      <w:r w:rsidRPr="00742A04">
        <w:t>enimiento de una pauta</w:t>
      </w:r>
      <w:r w:rsidR="00545D1B" w:rsidRPr="00742A04">
        <w:t xml:space="preserve"> </w:t>
      </w:r>
      <w:r w:rsidR="00FF55CD" w:rsidRPr="00742A04">
        <w:t>tr</w:t>
      </w:r>
      <w:r w:rsidR="00FF55CD" w:rsidRPr="00742A04">
        <w:t>a</w:t>
      </w:r>
      <w:r w:rsidR="00FF55CD" w:rsidRPr="00742A04">
        <w:t>dici</w:t>
      </w:r>
      <w:r w:rsidR="00545D1B" w:rsidRPr="00742A04">
        <w:t xml:space="preserve">onal </w:t>
      </w:r>
      <w:r w:rsidR="00FF55CD" w:rsidRPr="00742A04">
        <w:t>en los roles de género</w:t>
      </w:r>
      <w:r w:rsidR="00545D1B" w:rsidRPr="00742A04">
        <w:t>.</w:t>
      </w:r>
    </w:p>
    <w:p w:rsidR="00545D1B" w:rsidRPr="00742A04" w:rsidRDefault="008F0C8E" w:rsidP="001633F4">
      <w:pPr>
        <w:pStyle w:val="SingleTxt"/>
        <w:ind w:firstLine="475"/>
      </w:pPr>
      <w:r w:rsidRPr="00742A04">
        <w:t>El Gobierno</w:t>
      </w:r>
      <w:r w:rsidR="00545D1B" w:rsidRPr="00742A04">
        <w:t xml:space="preserve"> </w:t>
      </w:r>
      <w:r w:rsidR="003C25BF" w:rsidRPr="00742A04">
        <w:t>opin</w:t>
      </w:r>
      <w:r w:rsidR="00FF55CD" w:rsidRPr="00742A04">
        <w:t>a que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7E0DFE" w:rsidRPr="00742A04">
        <w:t>esencial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="00FF55CD" w:rsidRPr="00742A04">
        <w:t>una cobertura completa mediante guarderías</w:t>
      </w:r>
      <w:r w:rsidR="00545D1B" w:rsidRPr="00742A04">
        <w:t xml:space="preserve">. </w:t>
      </w:r>
      <w:r w:rsidR="003C25BF" w:rsidRPr="00742A04">
        <w:t>Cuando</w:t>
      </w:r>
      <w:r w:rsidR="00545D1B" w:rsidRPr="00742A04">
        <w:t xml:space="preserve"> </w:t>
      </w:r>
      <w:r w:rsidR="00FF55CD" w:rsidRPr="00742A04">
        <w:t>se</w:t>
      </w:r>
      <w:r w:rsidR="00545D1B" w:rsidRPr="00742A04">
        <w:t xml:space="preserve"> </w:t>
      </w:r>
      <w:r w:rsidR="006D7D2F" w:rsidRPr="00742A04">
        <w:t>ha</w:t>
      </w:r>
      <w:r w:rsidR="00FF55CD" w:rsidRPr="00742A04">
        <w:t>ya</w:t>
      </w:r>
      <w:r w:rsidR="00545D1B" w:rsidRPr="00742A04">
        <w:t xml:space="preserve"> </w:t>
      </w:r>
      <w:r w:rsidR="0058094F" w:rsidRPr="00742A04">
        <w:t>logra</w:t>
      </w:r>
      <w:r w:rsidR="00FF55CD" w:rsidRPr="00742A04">
        <w:t>do la cobertura completa</w:t>
      </w:r>
      <w:r w:rsidR="00545D1B" w:rsidRPr="00742A04">
        <w:t xml:space="preserve">, </w:t>
      </w:r>
      <w:r w:rsidR="00FF55CD" w:rsidRPr="00742A04">
        <w:t>no antes de</w:t>
      </w:r>
      <w:r w:rsidR="00545D1B" w:rsidRPr="00742A04">
        <w:t xml:space="preserve"> 2008, </w:t>
      </w:r>
      <w:r w:rsidR="00FF55CD" w:rsidRPr="00742A04">
        <w:t>el</w:t>
      </w:r>
      <w:r w:rsidR="00545D1B" w:rsidRPr="00742A04">
        <w:t xml:space="preserve"> </w:t>
      </w:r>
      <w:r w:rsidR="00FF55CD" w:rsidRPr="00742A04">
        <w:t>plan de prestaciones en efectivo</w:t>
      </w:r>
      <w:r w:rsidR="00545D1B" w:rsidRPr="00742A04">
        <w:t xml:space="preserve"> </w:t>
      </w:r>
      <w:r w:rsidR="00604011" w:rsidRPr="00742A04">
        <w:t>será</w:t>
      </w:r>
      <w:r w:rsidR="00545D1B" w:rsidRPr="00742A04">
        <w:t xml:space="preserve"> </w:t>
      </w:r>
      <w:r w:rsidR="00FF55CD" w:rsidRPr="00742A04">
        <w:t>modificado</w:t>
      </w:r>
      <w:r w:rsidR="00545D1B" w:rsidRPr="00742A04">
        <w:t>.</w:t>
      </w:r>
      <w:r w:rsidR="001167D2" w:rsidRPr="00742A04">
        <w:t xml:space="preserve"> </w:t>
      </w:r>
      <w:r w:rsidR="00894371" w:rsidRPr="00742A04">
        <w:t>El</w:t>
      </w:r>
      <w:r w:rsidR="001167D2" w:rsidRPr="00742A04">
        <w:t xml:space="preserve"> </w:t>
      </w:r>
      <w:r w:rsidRPr="00742A04">
        <w:t>Gobierno</w:t>
      </w:r>
      <w:r w:rsidR="00545D1B" w:rsidRPr="00742A04">
        <w:t xml:space="preserve"> </w:t>
      </w:r>
      <w:r w:rsidR="00FF55CD" w:rsidRPr="00742A04">
        <w:t>mantendrá un</w:t>
      </w:r>
      <w:r w:rsidR="00545D1B" w:rsidRPr="00742A04">
        <w:t xml:space="preserve"> </w:t>
      </w:r>
      <w:r w:rsidR="00FF55CD" w:rsidRPr="00742A04">
        <w:t>plan limit</w:t>
      </w:r>
      <w:r w:rsidR="00FF55CD" w:rsidRPr="00742A04">
        <w:t>a</w:t>
      </w:r>
      <w:r w:rsidR="00FF55CD" w:rsidRPr="00742A04">
        <w:t>do de prestaciones en efectivo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85E84" w:rsidRPr="00742A04">
        <w:t xml:space="preserve">el resto </w:t>
      </w:r>
      <w:r w:rsidR="00C07ED9" w:rsidRPr="00742A04">
        <w:t xml:space="preserve">del </w:t>
      </w:r>
      <w:r w:rsidR="00A836A1" w:rsidRPr="00742A04">
        <w:t>período</w:t>
      </w:r>
      <w:r w:rsidR="00545D1B" w:rsidRPr="00742A04">
        <w:t>.</w:t>
      </w:r>
    </w:p>
    <w:p w:rsidR="000A08D8" w:rsidRPr="00742A04" w:rsidRDefault="0020526A" w:rsidP="001633F4">
      <w:pPr>
        <w:pStyle w:val="SingleTxt"/>
        <w:ind w:firstLine="475"/>
      </w:pPr>
      <w:r w:rsidRPr="00742A04">
        <w:t>Durante</w:t>
      </w:r>
      <w:r w:rsidR="00545D1B" w:rsidRPr="00742A04">
        <w:t xml:space="preserve"> </w:t>
      </w:r>
      <w:r w:rsidR="0030626A" w:rsidRPr="00742A04">
        <w:t>la ronda consultiva</w:t>
      </w:r>
      <w:r w:rsidR="00545D1B" w:rsidRPr="00742A04">
        <w:t xml:space="preserve">, </w:t>
      </w:r>
      <w:r w:rsidR="00FF55CD" w:rsidRPr="00742A04">
        <w:t>se</w:t>
      </w:r>
      <w:r w:rsidR="00545D1B" w:rsidRPr="00742A04">
        <w:t xml:space="preserve"> </w:t>
      </w:r>
      <w:r w:rsidR="003C25BF" w:rsidRPr="00742A04">
        <w:t>expres</w:t>
      </w:r>
      <w:r w:rsidR="00FF55CD" w:rsidRPr="00742A04">
        <w:t>ó el deseo de tener</w:t>
      </w:r>
      <w:r w:rsidR="00545D1B" w:rsidRPr="00742A04">
        <w:t xml:space="preserve"> informa</w:t>
      </w:r>
      <w:r w:rsidR="00C14BFF" w:rsidRPr="00742A04">
        <w:t xml:space="preserve">ción </w:t>
      </w:r>
      <w:r w:rsidR="003E4840" w:rsidRPr="00742A04">
        <w:t>acerca de</w:t>
      </w:r>
      <w:r w:rsidR="00545D1B" w:rsidRPr="00742A04">
        <w:t xml:space="preserve"> </w:t>
      </w:r>
      <w:r w:rsidR="00FF55CD" w:rsidRPr="00742A04">
        <w:t>los</w:t>
      </w:r>
      <w:r w:rsidR="00545D1B" w:rsidRPr="00742A04">
        <w:t xml:space="preserve"> </w:t>
      </w:r>
      <w:r w:rsidR="003D75F0" w:rsidRPr="00742A04">
        <w:t>receptores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909B9" w:rsidRPr="00742A04">
        <w:t>prestaciones en efectivo</w:t>
      </w:r>
      <w:r w:rsidR="00545D1B" w:rsidRPr="00742A04">
        <w:t xml:space="preserve">. </w:t>
      </w:r>
      <w:r w:rsidR="00FF55CD" w:rsidRPr="00742A04">
        <w:t>Las</w:t>
      </w:r>
      <w:r w:rsidR="00545D1B" w:rsidRPr="00742A04">
        <w:t xml:space="preserve"> </w:t>
      </w:r>
      <w:r w:rsidR="0067405D" w:rsidRPr="00742A04">
        <w:t>estadísticas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F0C8E" w:rsidRPr="00742A04">
        <w:t>esta esfera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l</w:t>
      </w:r>
      <w:r w:rsidR="00545D1B" w:rsidRPr="00742A04">
        <w:t>i</w:t>
      </w:r>
      <w:r w:rsidR="00545D1B" w:rsidRPr="00742A04">
        <w:t>mit</w:t>
      </w:r>
      <w:r w:rsidR="00FF55CD" w:rsidRPr="00742A04">
        <w:t>adas</w:t>
      </w:r>
      <w:r w:rsidR="00545D1B" w:rsidRPr="00742A04">
        <w:t>,</w:t>
      </w:r>
      <w:r w:rsidR="00FF55CD" w:rsidRPr="00742A04">
        <w:t xml:space="preserve"> y la</w:t>
      </w:r>
      <w:r w:rsidR="002E5047" w:rsidRPr="00742A04">
        <w:t xml:space="preserve"> i</w:t>
      </w:r>
      <w:r w:rsidR="00545D1B" w:rsidRPr="00742A04">
        <w:t>nforma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101B8C" w:rsidRPr="00742A04">
        <w:t xml:space="preserve">esta </w:t>
      </w:r>
      <w:r w:rsidR="00615664" w:rsidRPr="00742A04">
        <w:t>naturaleza</w:t>
      </w:r>
      <w:r w:rsidR="00545D1B" w:rsidRPr="00742A04">
        <w:t xml:space="preserve"> </w:t>
      </w:r>
      <w:r w:rsidR="00FF55CD" w:rsidRPr="00742A04">
        <w:t xml:space="preserve">no </w:t>
      </w:r>
      <w:r w:rsidR="00894371" w:rsidRPr="00742A04">
        <w:t>brindará</w:t>
      </w:r>
      <w:r w:rsidR="00FF55CD" w:rsidRPr="00742A04">
        <w:t xml:space="preserve"> un panorama completo acerca de quién efectivamente</w:t>
      </w:r>
      <w:r w:rsidR="005F7B32" w:rsidRPr="00742A04">
        <w:t xml:space="preserve"> </w:t>
      </w:r>
      <w:r w:rsidR="00FF55CD" w:rsidRPr="00742A04">
        <w:rPr>
          <w:i/>
        </w:rPr>
        <w:t>opta por</w:t>
      </w:r>
      <w:r w:rsidR="00FF55CD" w:rsidRPr="00742A04">
        <w:t xml:space="preserve"> las</w:t>
      </w:r>
      <w:r w:rsidR="00545D1B" w:rsidRPr="00742A04">
        <w:t xml:space="preserve"> </w:t>
      </w:r>
      <w:r w:rsidR="005909B9" w:rsidRPr="00742A04">
        <w:t>prestaciones en efectivo</w:t>
      </w:r>
      <w:r w:rsidR="00545D1B" w:rsidRPr="00742A04">
        <w:t xml:space="preserve"> </w:t>
      </w:r>
      <w:r w:rsidR="00FF55CD" w:rsidRPr="00742A04">
        <w:t>h</w:t>
      </w:r>
      <w:r w:rsidR="00194AB3" w:rsidRPr="00742A04">
        <w:t>asta</w:t>
      </w:r>
      <w:r w:rsidR="00FF55CD" w:rsidRPr="00742A04">
        <w:t xml:space="preserve"> que no se</w:t>
      </w:r>
      <w:r w:rsidR="00545D1B" w:rsidRPr="00742A04">
        <w:t xml:space="preserve"> </w:t>
      </w:r>
      <w:r w:rsidR="006D7D2F" w:rsidRPr="00742A04">
        <w:t>ha</w:t>
      </w:r>
      <w:r w:rsidR="00FF55CD" w:rsidRPr="00742A04">
        <w:t>ya</w:t>
      </w:r>
      <w:r w:rsidR="00545D1B" w:rsidRPr="00742A04">
        <w:t xml:space="preserve"> </w:t>
      </w:r>
      <w:r w:rsidR="0058094F" w:rsidRPr="00742A04">
        <w:t>logra</w:t>
      </w:r>
      <w:r w:rsidR="00FF55CD" w:rsidRPr="00742A04">
        <w:t>do la cobertura completa mediante guarderías</w:t>
      </w:r>
      <w:r w:rsidR="000A08D8" w:rsidRPr="00742A04">
        <w:t>.</w:t>
      </w:r>
    </w:p>
    <w:p w:rsidR="000A08D8" w:rsidRPr="00742A04" w:rsidRDefault="00FF55CD" w:rsidP="001633F4">
      <w:pPr>
        <w:pStyle w:val="SingleTxt"/>
        <w:ind w:firstLine="475"/>
      </w:pPr>
      <w:r w:rsidRPr="00742A04">
        <w:t>Por otro lado</w:t>
      </w:r>
      <w:r w:rsidR="00545D1B" w:rsidRPr="00742A04">
        <w:t xml:space="preserve">, </w:t>
      </w:r>
      <w:r w:rsidRPr="00742A04">
        <w:t>podemos</w:t>
      </w:r>
      <w:r w:rsidR="00545D1B" w:rsidRPr="00742A04">
        <w:t xml:space="preserve"> consider</w:t>
      </w:r>
      <w:r w:rsidRPr="00742A04">
        <w:t xml:space="preserve">ar la tendencia existente </w:t>
      </w:r>
      <w:r w:rsidR="00A826CB" w:rsidRPr="00742A04">
        <w:t>antes de</w:t>
      </w:r>
      <w:r w:rsidRPr="00742A04">
        <w:t xml:space="preserve"> la implant</w:t>
      </w:r>
      <w:r w:rsidRPr="00742A04">
        <w:t>a</w:t>
      </w:r>
      <w:r w:rsidRPr="00742A04">
        <w:t>ción de las</w:t>
      </w:r>
      <w:r w:rsidR="00545D1B" w:rsidRPr="00742A04">
        <w:t xml:space="preserve"> </w:t>
      </w:r>
      <w:r w:rsidR="005909B9" w:rsidRPr="00742A04">
        <w:t>prestaciones en efectivo</w:t>
      </w:r>
      <w:r w:rsidR="00545D1B" w:rsidRPr="00742A04">
        <w:t xml:space="preserve">, </w:t>
      </w:r>
      <w:r w:rsidRPr="00742A04">
        <w:t>p</w:t>
      </w:r>
      <w:r w:rsidR="000A5430" w:rsidRPr="00742A04">
        <w:t>or ejemplo</w:t>
      </w:r>
      <w:r w:rsidR="00545D1B" w:rsidRPr="00742A04">
        <w:t xml:space="preserve"> </w:t>
      </w:r>
      <w:r w:rsidR="00537384" w:rsidRPr="00742A04">
        <w:t>en lo tocante a</w:t>
      </w:r>
      <w:r w:rsidR="00545D1B" w:rsidRPr="00742A04">
        <w:t xml:space="preserve"> </w:t>
      </w:r>
      <w:r w:rsidRPr="00742A04">
        <w:t xml:space="preserve">la participación </w:t>
      </w:r>
      <w:r w:rsidR="004D313C" w:rsidRPr="00742A04">
        <w:t>de las mujeres</w:t>
      </w:r>
      <w:r w:rsidR="00545D1B" w:rsidRPr="00742A04">
        <w:t xml:space="preserve"> </w:t>
      </w:r>
      <w:r w:rsidRPr="00742A04">
        <w:t xml:space="preserve">en la </w:t>
      </w:r>
      <w:r w:rsidR="00B75B05" w:rsidRPr="00742A04">
        <w:t>fuerza de trabajo</w:t>
      </w:r>
      <w:r w:rsidR="00C27C42" w:rsidRPr="00742A04">
        <w:t>.</w:t>
      </w:r>
      <w:r w:rsidR="00545D1B" w:rsidRPr="00742A04">
        <w:t xml:space="preserve"> </w:t>
      </w:r>
      <w:r w:rsidR="0046110E" w:rsidRPr="00742A04">
        <w:t>Cabe remitirse</w:t>
      </w:r>
      <w:r w:rsidR="00E575DB" w:rsidRPr="00742A04">
        <w:t xml:space="preserve"> al </w:t>
      </w:r>
      <w:r w:rsidR="00552048" w:rsidRPr="00742A04">
        <w:t>sexto informe periódico de N</w:t>
      </w:r>
      <w:r w:rsidR="00552048" w:rsidRPr="00742A04">
        <w:t>o</w:t>
      </w:r>
      <w:r w:rsidR="00552048" w:rsidRPr="00742A04">
        <w:t>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a la </w:t>
      </w:r>
      <w:r w:rsidR="00545D1B" w:rsidRPr="00742A04">
        <w:t>expl</w:t>
      </w:r>
      <w:r w:rsidRPr="00742A04">
        <w:t>ic</w:t>
      </w:r>
      <w:r w:rsidR="00545D1B" w:rsidRPr="00742A04">
        <w:t>a</w:t>
      </w:r>
      <w:r w:rsidR="00C27C42" w:rsidRPr="00742A04">
        <w:t>ci</w:t>
      </w:r>
      <w:r w:rsidR="00C14BFF" w:rsidRPr="00742A04">
        <w:t>ón</w:t>
      </w:r>
      <w:r w:rsidRPr="00742A04">
        <w:t xml:space="preserve"> que antecede</w:t>
      </w:r>
      <w:r w:rsidR="000A08D8" w:rsidRPr="00742A04">
        <w:t>.</w:t>
      </w:r>
    </w:p>
    <w:p w:rsidR="000A08D8" w:rsidRPr="00742A04" w:rsidRDefault="00FF55CD" w:rsidP="001633F4">
      <w:pPr>
        <w:pStyle w:val="SingleTxt"/>
        <w:ind w:firstLine="475"/>
      </w:pPr>
      <w:r w:rsidRPr="00742A04">
        <w:t>T</w:t>
      </w:r>
      <w:r w:rsidR="005448DD">
        <w:t>ambién puede</w:t>
      </w:r>
      <w:r w:rsidR="00545D1B" w:rsidRPr="00742A04">
        <w:t xml:space="preserve"> </w:t>
      </w:r>
      <w:r w:rsidRPr="00742A04">
        <w:t>ser</w:t>
      </w:r>
      <w:r w:rsidR="00545D1B" w:rsidRPr="00742A04">
        <w:t xml:space="preserve"> </w:t>
      </w:r>
      <w:r w:rsidRPr="00742A04">
        <w:t>interesante</w:t>
      </w:r>
      <w:r w:rsidR="00545D1B" w:rsidRPr="00742A04">
        <w:t xml:space="preserve"> consider</w:t>
      </w:r>
      <w:r w:rsidRPr="00742A04">
        <w:t>ar a los</w:t>
      </w:r>
      <w:r w:rsidR="00545D1B" w:rsidRPr="00742A04">
        <w:t xml:space="preserve"> </w:t>
      </w:r>
      <w:r w:rsidR="003D75F0" w:rsidRPr="00742A04">
        <w:t>receptores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909B9" w:rsidRPr="00742A04">
        <w:t>prestaciones en efectivo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94371" w:rsidRPr="00742A04">
        <w:t>los</w:t>
      </w:r>
      <w:r w:rsidRPr="00742A04">
        <w:t xml:space="preserve"> distintos</w:t>
      </w:r>
      <w:r w:rsidR="00545D1B" w:rsidRPr="00742A04">
        <w:t xml:space="preserve"> </w:t>
      </w:r>
      <w:r w:rsidR="0081178E" w:rsidRPr="00742A04">
        <w:t>grupos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B86412" w:rsidRPr="00742A04">
        <w:t>agosto de</w:t>
      </w:r>
      <w:r w:rsidR="00545D1B" w:rsidRPr="00742A04">
        <w:t xml:space="preserve"> 2006</w:t>
      </w:r>
      <w:r w:rsidRPr="00742A04">
        <w:t>, el</w:t>
      </w:r>
      <w:r w:rsidR="00545D1B" w:rsidRPr="00742A04">
        <w:t xml:space="preserve"> </w:t>
      </w:r>
      <w:r w:rsidR="00AF398C" w:rsidRPr="00742A04">
        <w:t>Instituto Nacional de Estadí</w:t>
      </w:r>
      <w:r w:rsidR="00AF398C" w:rsidRPr="00742A04">
        <w:t>s</w:t>
      </w:r>
      <w:r w:rsidR="00AF398C" w:rsidRPr="00742A04">
        <w:t>ticas de Noruega</w:t>
      </w:r>
      <w:r w:rsidR="00545D1B" w:rsidRPr="00742A04">
        <w:t xml:space="preserve"> </w:t>
      </w:r>
      <w:r w:rsidR="00507A11" w:rsidRPr="00742A04">
        <w:t>publicó</w:t>
      </w:r>
      <w:r w:rsidR="00545D1B" w:rsidRPr="00742A04">
        <w:t xml:space="preserve"> </w:t>
      </w:r>
      <w:r w:rsidR="00FC59C5" w:rsidRPr="00742A04">
        <w:t xml:space="preserve">un </w:t>
      </w:r>
      <w:r w:rsidR="00657260" w:rsidRPr="00742A04">
        <w:t xml:space="preserve">informe sobre </w:t>
      </w:r>
      <w:r w:rsidR="00DD5E1A" w:rsidRPr="00742A04">
        <w:t>el 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las </w:t>
      </w:r>
      <w:r w:rsidR="005909B9" w:rsidRPr="00742A04">
        <w:t>prestaciones en efectivo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63079C" w:rsidRPr="00742A04">
        <w:t>los padres y madres</w:t>
      </w:r>
      <w:r w:rsidR="00545D1B" w:rsidRPr="00742A04">
        <w:t xml:space="preserve"> </w:t>
      </w:r>
      <w:r w:rsidR="00C076F2" w:rsidRPr="00742A04">
        <w:t xml:space="preserve">de </w:t>
      </w:r>
      <w:r w:rsidR="002F3238" w:rsidRPr="00742A04">
        <w:t>niños</w:t>
      </w:r>
      <w:r w:rsidR="008C4612" w:rsidRPr="00742A04">
        <w:t xml:space="preserve"> de </w:t>
      </w:r>
      <w:r w:rsidR="00AE29D3" w:rsidRPr="00742A04">
        <w:t>origen</w:t>
      </w:r>
      <w:r w:rsidRPr="00742A04">
        <w:t xml:space="preserve"> inmigratorio</w:t>
      </w:r>
      <w:r w:rsidR="00AE29D3" w:rsidRPr="00742A04">
        <w:t xml:space="preserve"> no occidental</w:t>
      </w:r>
      <w:r w:rsidRPr="00742A04">
        <w:t>.</w:t>
      </w:r>
      <w:r w:rsidR="001167D2" w:rsidRPr="00742A04">
        <w:t xml:space="preserve"> </w:t>
      </w:r>
      <w:r w:rsidRPr="00742A04">
        <w:t>E</w:t>
      </w:r>
      <w:r w:rsidR="001167D2" w:rsidRPr="00742A04">
        <w:t xml:space="preserve">l </w:t>
      </w:r>
      <w:r w:rsidR="00FB5EDF" w:rsidRPr="00742A04">
        <w:t>informe</w:t>
      </w:r>
      <w:r w:rsidR="00545D1B" w:rsidRPr="00742A04">
        <w:t xml:space="preserve"> </w:t>
      </w:r>
      <w:r w:rsidR="003E5775" w:rsidRPr="00742A04">
        <w:t>i</w:t>
      </w:r>
      <w:r w:rsidR="003E5775" w:rsidRPr="00742A04">
        <w:t>n</w:t>
      </w:r>
      <w:r w:rsidR="003E5775" w:rsidRPr="00742A04">
        <w:t>dica que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propor</w:t>
      </w:r>
      <w:r w:rsidR="00C14BFF" w:rsidRPr="00742A04">
        <w:t xml:space="preserve">ción </w:t>
      </w:r>
      <w:r w:rsidR="00C076F2" w:rsidRPr="00742A04">
        <w:t xml:space="preserve">de </w:t>
      </w:r>
      <w:r w:rsidRPr="00742A04">
        <w:t xml:space="preserve">utilización de las prestaciones en efectivo es mayor entre </w:t>
      </w:r>
      <w:r w:rsidR="00C076F2" w:rsidRPr="00742A04">
        <w:t xml:space="preserve">los </w:t>
      </w:r>
      <w:r w:rsidR="002F3238" w:rsidRPr="00742A04">
        <w:t>niños</w:t>
      </w:r>
      <w:r w:rsidR="008C4612" w:rsidRPr="00742A04">
        <w:t xml:space="preserve"> de </w:t>
      </w:r>
      <w:r w:rsidR="00AE29D3" w:rsidRPr="00742A04">
        <w:t>origen no occidental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Pr="00742A04">
        <w:t xml:space="preserve">en </w:t>
      </w:r>
      <w:r w:rsidR="00DD710E" w:rsidRPr="00742A04">
        <w:t>la población</w:t>
      </w:r>
      <w:r w:rsidR="00C14BFF" w:rsidRPr="00742A04">
        <w:t xml:space="preserve"> </w:t>
      </w:r>
      <w:r w:rsidR="00A742D4" w:rsidRPr="00742A04">
        <w:t>en su conjunto</w:t>
      </w:r>
      <w:r w:rsidR="00545D1B" w:rsidRPr="00742A04">
        <w:t>:</w:t>
      </w:r>
      <w:r w:rsidR="003E5775" w:rsidRPr="00742A04">
        <w:t xml:space="preserve"> al </w:t>
      </w:r>
      <w:r w:rsidR="00545D1B" w:rsidRPr="00742A04">
        <w:t>1</w:t>
      </w:r>
      <w:r w:rsidRPr="00742A04">
        <w:t>° de</w:t>
      </w:r>
      <w:r w:rsidR="00545D1B" w:rsidRPr="00742A04">
        <w:t xml:space="preserve"> </w:t>
      </w:r>
      <w:r w:rsidR="005C39D4" w:rsidRPr="00742A04">
        <w:t>septie</w:t>
      </w:r>
      <w:r w:rsidR="005C39D4" w:rsidRPr="00742A04">
        <w:t>m</w:t>
      </w:r>
      <w:r w:rsidR="005C39D4" w:rsidRPr="00742A04">
        <w:t>bre</w:t>
      </w:r>
      <w:r w:rsidR="003E5775" w:rsidRPr="00742A04">
        <w:t xml:space="preserve"> de</w:t>
      </w:r>
      <w:r w:rsidR="00545D1B" w:rsidRPr="00742A04">
        <w:t xml:space="preserve"> 2004</w:t>
      </w:r>
      <w:r w:rsidRPr="00742A04">
        <w:t>,</w:t>
      </w:r>
      <w:r w:rsidR="00545D1B" w:rsidRPr="00742A04">
        <w:t xml:space="preserve"> </w:t>
      </w:r>
      <w:r w:rsidR="00537384" w:rsidRPr="00742A04">
        <w:t>las cifras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Pr="00742A04">
        <w:t xml:space="preserve">de </w:t>
      </w:r>
      <w:r w:rsidR="00545D1B" w:rsidRPr="00742A04">
        <w:t>78</w:t>
      </w:r>
      <w:r w:rsidR="001167D2" w:rsidRPr="00742A04">
        <w:t>%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62</w:t>
      </w:r>
      <w:r w:rsidR="001167D2" w:rsidRPr="00742A04">
        <w:t>%</w:t>
      </w:r>
      <w:r w:rsidRPr="00742A04">
        <w:t>,</w:t>
      </w:r>
      <w:r w:rsidR="00545D1B" w:rsidRPr="00742A04">
        <w:t xml:space="preserve"> </w:t>
      </w:r>
      <w:r w:rsidR="00E73E8E" w:rsidRPr="00742A04">
        <w:t>respectivamente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Pr="00742A04">
        <w:t>todos los niños de</w:t>
      </w:r>
      <w:r w:rsidR="00545D1B" w:rsidRPr="00742A04">
        <w:t xml:space="preserve"> 1 </w:t>
      </w:r>
      <w:r w:rsidR="00877AA0" w:rsidRPr="00742A04">
        <w:t>y</w:t>
      </w:r>
      <w:r w:rsidRPr="00742A04">
        <w:t xml:space="preserve"> 2 </w:t>
      </w:r>
      <w:r w:rsidR="004D313C" w:rsidRPr="00742A04">
        <w:t>año</w:t>
      </w:r>
      <w:r w:rsidR="00545D1B" w:rsidRPr="00742A04">
        <w:t xml:space="preserve">s, </w:t>
      </w:r>
      <w:r w:rsidR="004A3F50" w:rsidRPr="00742A04">
        <w:t>hubo</w:t>
      </w:r>
      <w:r w:rsidR="00545D1B" w:rsidRPr="00742A04">
        <w:t xml:space="preserve"> </w:t>
      </w:r>
      <w:r w:rsidR="001D532F" w:rsidRPr="00742A04">
        <w:t>una disminución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DD5E1A" w:rsidRPr="00742A04">
        <w:t>el 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909B9" w:rsidRPr="00742A04">
        <w:t>prestaciones en efectivo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836A1" w:rsidRPr="00742A04">
        <w:t>el p</w:t>
      </w:r>
      <w:r w:rsidR="00A836A1" w:rsidRPr="00742A04">
        <w:t>e</w:t>
      </w:r>
      <w:r w:rsidR="00A836A1" w:rsidRPr="00742A04">
        <w:t>ríodo</w:t>
      </w:r>
      <w:r w:rsidR="00545D1B" w:rsidRPr="00742A04">
        <w:t xml:space="preserve"> 1999-2004. </w:t>
      </w:r>
      <w:r w:rsidR="00CB0483" w:rsidRPr="00742A04">
        <w:t>Sin embargo</w:t>
      </w:r>
      <w:r w:rsidR="00545D1B" w:rsidRPr="00742A04">
        <w:t xml:space="preserve">, </w:t>
      </w:r>
      <w:r w:rsidR="00F43124" w:rsidRPr="00742A04">
        <w:t>para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1D532F" w:rsidRPr="00742A04">
        <w:t>de origen no occidental</w:t>
      </w:r>
      <w:r w:rsidR="00545D1B" w:rsidRPr="00742A04">
        <w:t xml:space="preserve"> </w:t>
      </w:r>
      <w:r w:rsidR="00E01460" w:rsidRPr="00742A04">
        <w:t>hubo un leve</w:t>
      </w:r>
      <w:r w:rsidR="00545D1B" w:rsidRPr="00742A04">
        <w:t xml:space="preserve"> </w:t>
      </w:r>
      <w:r w:rsidR="00242371" w:rsidRPr="00742A04">
        <w:t>i</w:t>
      </w:r>
      <w:r w:rsidR="00242371" w:rsidRPr="00742A04">
        <w:t>n</w:t>
      </w:r>
      <w:r w:rsidR="00242371" w:rsidRPr="00742A04">
        <w:t>crement</w:t>
      </w:r>
      <w:r w:rsidR="00E01460" w:rsidRPr="00742A04">
        <w:t>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01460" w:rsidRPr="00742A04">
        <w:t>la utilización de las</w:t>
      </w:r>
      <w:r w:rsidR="00545D1B" w:rsidRPr="00742A04">
        <w:t xml:space="preserve"> </w:t>
      </w:r>
      <w:r w:rsidR="005909B9" w:rsidRPr="00742A04">
        <w:t>prestaciones en efectivo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92EA0" w:rsidRPr="00742A04">
        <w:t>el mismo período</w:t>
      </w:r>
      <w:r w:rsidR="00545D1B" w:rsidRPr="00742A04">
        <w:t xml:space="preserve">. </w:t>
      </w:r>
      <w:r w:rsidR="00E01460" w:rsidRPr="00742A04">
        <w:t>Por consiguiente, el mejoramiento de la cobertura del</w:t>
      </w:r>
      <w:r w:rsidR="00844FDB" w:rsidRPr="00742A04">
        <w:t xml:space="preserve"> cuidado </w:t>
      </w:r>
      <w:r w:rsidR="00C076F2" w:rsidRPr="00742A04">
        <w:t xml:space="preserve">de los </w:t>
      </w:r>
      <w:r w:rsidR="00844FDB" w:rsidRPr="00742A04">
        <w:t>niños</w:t>
      </w:r>
      <w:r w:rsidR="00545D1B" w:rsidRPr="00742A04">
        <w:t xml:space="preserve"> </w:t>
      </w:r>
      <w:r w:rsidR="005206AC" w:rsidRPr="00742A04">
        <w:t>no</w:t>
      </w:r>
      <w:r w:rsidR="00E01460" w:rsidRPr="00742A04">
        <w:t xml:space="preserve"> parece haber</w:t>
      </w:r>
      <w:r w:rsidR="00545D1B" w:rsidRPr="00742A04">
        <w:t xml:space="preserve"> influ</w:t>
      </w:r>
      <w:r w:rsidR="00E01460" w:rsidRPr="00742A04">
        <w:t>ido en</w:t>
      </w:r>
      <w:r w:rsidR="00545D1B" w:rsidRPr="00742A04">
        <w:t xml:space="preserve"> </w:t>
      </w:r>
      <w:r w:rsidR="00DD5E1A" w:rsidRPr="00742A04">
        <w:t>el uso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01460" w:rsidRPr="00742A04">
        <w:t xml:space="preserve">las </w:t>
      </w:r>
      <w:r w:rsidR="005909B9" w:rsidRPr="00742A04">
        <w:t>prestaciones en efect</w:t>
      </w:r>
      <w:r w:rsidR="005909B9" w:rsidRPr="00742A04">
        <w:t>i</w:t>
      </w:r>
      <w:r w:rsidR="005909B9" w:rsidRPr="00742A04">
        <w:t>vo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16976" w:rsidRPr="00742A04">
        <w:t>este grupo</w:t>
      </w:r>
      <w:r w:rsidR="000A08D8" w:rsidRPr="00742A04">
        <w:t>.</w:t>
      </w:r>
    </w:p>
    <w:p w:rsidR="000A08D8" w:rsidRPr="00742A04" w:rsidRDefault="00E01460" w:rsidP="001633F4">
      <w:pPr>
        <w:pStyle w:val="SingleTxt"/>
        <w:ind w:firstLine="475"/>
      </w:pPr>
      <w:r w:rsidRPr="00742A04">
        <w:t>Las p</w:t>
      </w:r>
      <w:r w:rsidR="005909B9" w:rsidRPr="00742A04">
        <w:t>restaciones en efectivo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pa</w:t>
      </w:r>
      <w:r w:rsidRPr="00742A04">
        <w:t>gadas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Pr="00742A04">
        <w:t xml:space="preserve">el </w:t>
      </w:r>
      <w:r w:rsidR="00545D1B" w:rsidRPr="00742A04">
        <w:t>95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los </w:t>
      </w:r>
      <w:r w:rsidR="008A2682" w:rsidRPr="00742A04">
        <w:t>casos</w:t>
      </w:r>
      <w:r w:rsidR="000A08D8" w:rsidRPr="00742A04">
        <w:t>.</w:t>
      </w:r>
    </w:p>
    <w:p w:rsidR="00A835F7" w:rsidRPr="00742A04" w:rsidRDefault="00A835F7" w:rsidP="00A835F7">
      <w:pPr>
        <w:pStyle w:val="H1"/>
        <w:spacing w:line="120" w:lineRule="exact"/>
        <w:ind w:left="1267"/>
        <w:rPr>
          <w:bCs/>
          <w:sz w:val="10"/>
        </w:rPr>
      </w:pPr>
      <w:bookmarkStart w:id="63" w:name="_Toc147129478"/>
    </w:p>
    <w:p w:rsidR="00A835F7" w:rsidRPr="00742A04" w:rsidRDefault="00814B5D" w:rsidP="004173B8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FF55CD" w:rsidRPr="00742A04">
        <w:rPr>
          <w:bCs/>
        </w:rPr>
        <w:t xml:space="preserve"> 11.</w:t>
      </w:r>
      <w:r w:rsidR="00A835F7" w:rsidRPr="00742A04">
        <w:rPr>
          <w:bCs/>
        </w:rPr>
        <w:t>2</w:t>
      </w:r>
      <w:r w:rsidR="004173B8" w:rsidRPr="00742A04">
        <w:rPr>
          <w:bCs/>
        </w:rPr>
        <w:t xml:space="preserve"> </w:t>
      </w:r>
      <w:r w:rsidR="00A835F7" w:rsidRPr="00742A04">
        <w:rPr>
          <w:bCs/>
          <w:i/>
        </w:rPr>
        <w:t>d</w:t>
      </w:r>
    </w:p>
    <w:p w:rsidR="00545D1B" w:rsidRPr="00742A04" w:rsidRDefault="00B83FEB" w:rsidP="004173B8">
      <w:pPr>
        <w:pStyle w:val="H23"/>
        <w:ind w:left="1267"/>
        <w:rPr>
          <w:bCs/>
        </w:rPr>
      </w:pPr>
      <w:r w:rsidRPr="00742A04">
        <w:rPr>
          <w:bCs/>
        </w:rPr>
        <w:t>Derechos durante el embarazo</w:t>
      </w:r>
      <w:bookmarkEnd w:id="63"/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</w:p>
    <w:p w:rsidR="000A08D8" w:rsidRPr="00742A04" w:rsidRDefault="00326185" w:rsidP="001633F4">
      <w:pPr>
        <w:pStyle w:val="SingleTxt"/>
        <w:ind w:firstLine="475"/>
      </w:pPr>
      <w:r w:rsidRPr="00742A04">
        <w:t>La</w:t>
      </w:r>
      <w:r w:rsidR="00545D1B" w:rsidRPr="00742A04">
        <w:t xml:space="preserve"> </w:t>
      </w:r>
      <w:r w:rsidRPr="00742A04">
        <w:t>mujer embarazada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deba dejar de trabajar</w:t>
      </w:r>
      <w:r w:rsidR="00545D1B" w:rsidRPr="00742A04">
        <w:t xml:space="preserve"> </w:t>
      </w:r>
      <w:r w:rsidR="00EB67BB" w:rsidRPr="00742A04">
        <w:t>por razones de salud</w:t>
      </w:r>
      <w:r w:rsidR="00545D1B" w:rsidRPr="00742A04">
        <w:t xml:space="preserve"> </w:t>
      </w:r>
      <w:r w:rsidRPr="00742A04">
        <w:t>podrá t</w:t>
      </w:r>
      <w:r w:rsidRPr="00742A04">
        <w:t>e</w:t>
      </w:r>
      <w:r w:rsidRPr="00742A04">
        <w:t>ner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subsidio por enfermedad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>a prestaciones por embarazo</w:t>
      </w:r>
      <w:r w:rsidR="00545D1B" w:rsidRPr="00742A04">
        <w:t xml:space="preserve">. </w:t>
      </w:r>
      <w:r w:rsidRPr="00742A04">
        <w:t>La</w:t>
      </w:r>
      <w:r w:rsidR="00545D1B" w:rsidRPr="00742A04">
        <w:t xml:space="preserve"> </w:t>
      </w:r>
      <w:r w:rsidRPr="00742A04">
        <w:t>mujer embarazada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BB4DB1" w:rsidRPr="00742A04">
        <w:t>es</w:t>
      </w:r>
      <w:r w:rsidRPr="00742A04">
        <w:t>té</w:t>
      </w:r>
      <w:r w:rsidR="00545D1B" w:rsidRPr="00742A04">
        <w:t xml:space="preserve"> </w:t>
      </w:r>
      <w:r w:rsidRPr="00742A04">
        <w:t>total o parcialmente</w:t>
      </w:r>
      <w:r w:rsidR="005F7B32" w:rsidRPr="00742A04">
        <w:t xml:space="preserve"> </w:t>
      </w:r>
      <w:r w:rsidRPr="00742A04">
        <w:t>incapacitada par</w:t>
      </w:r>
      <w:r w:rsidR="00CF2F77" w:rsidRPr="00742A04">
        <w:t>a trabajar</w:t>
      </w:r>
      <w:r w:rsidR="00545D1B" w:rsidRPr="00742A04">
        <w:t xml:space="preserve"> </w:t>
      </w:r>
      <w:r w:rsidRPr="00742A04">
        <w:t>por enfermedad</w:t>
      </w:r>
      <w:r w:rsidR="00545D1B" w:rsidRPr="00742A04">
        <w:t xml:space="preserve"> </w:t>
      </w:r>
      <w:r w:rsidRPr="00742A04">
        <w:t>podrá tener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subsidio por enfermedad</w:t>
      </w:r>
      <w:r w:rsidR="00545D1B" w:rsidRPr="00742A04">
        <w:t xml:space="preserve"> </w:t>
      </w:r>
      <w:r w:rsidR="00BD47D3" w:rsidRPr="00742A04">
        <w:t>en virtud de</w:t>
      </w:r>
      <w:r w:rsidR="00545D1B" w:rsidRPr="00742A04">
        <w:t xml:space="preserve"> </w:t>
      </w:r>
      <w:r w:rsidR="00116976" w:rsidRPr="00742A04">
        <w:t xml:space="preserve">la Ley sobre </w:t>
      </w:r>
      <w:r w:rsidRPr="00742A04">
        <w:t>el Sistema Nacional de Seguridad Social</w:t>
      </w:r>
      <w:r w:rsidR="00545D1B" w:rsidRPr="00742A04">
        <w:t xml:space="preserve">. </w:t>
      </w:r>
      <w:r w:rsidR="00756C0D" w:rsidRPr="00742A04">
        <w:t>El empleador</w:t>
      </w:r>
      <w:r w:rsidR="00545D1B" w:rsidRPr="00742A04">
        <w:t xml:space="preserve"> </w:t>
      </w:r>
      <w:r w:rsidRPr="00742A04">
        <w:t>paga el</w:t>
      </w:r>
      <w:r w:rsidR="00545D1B" w:rsidRPr="00742A04">
        <w:t xml:space="preserve"> </w:t>
      </w:r>
      <w:r w:rsidRPr="00742A04">
        <w:t>subsidio por enfermedad</w:t>
      </w:r>
      <w:r w:rsidR="00545D1B" w:rsidRPr="00742A04">
        <w:t xml:space="preserve"> </w:t>
      </w:r>
      <w:r w:rsidRPr="00742A04">
        <w:t>dura</w:t>
      </w:r>
      <w:r w:rsidRPr="00742A04">
        <w:t>n</w:t>
      </w:r>
      <w:r w:rsidRPr="00742A04">
        <w:t>te los primeros</w:t>
      </w:r>
      <w:r w:rsidR="00545D1B" w:rsidRPr="00742A04">
        <w:t xml:space="preserve"> 16 </w:t>
      </w:r>
      <w:r w:rsidR="00CE5A7F" w:rsidRPr="00742A04">
        <w:t>días</w:t>
      </w:r>
      <w:r w:rsidR="00545D1B" w:rsidRPr="00742A04">
        <w:t xml:space="preserve"> (</w:t>
      </w:r>
      <w:r w:rsidR="00756C0D" w:rsidRPr="00742A04">
        <w:t xml:space="preserve">el </w:t>
      </w:r>
      <w:r w:rsidR="00072261" w:rsidRPr="00742A04">
        <w:t>período</w:t>
      </w:r>
      <w:r w:rsidRPr="00742A04">
        <w:t xml:space="preserve"> del empleador</w:t>
      </w:r>
      <w:r w:rsidR="00545D1B" w:rsidRPr="00742A04">
        <w:t xml:space="preserve">). </w:t>
      </w:r>
      <w:r w:rsidR="00CB0483" w:rsidRPr="00742A04">
        <w:t>Sin embargo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2002 </w:t>
      </w:r>
      <w:r w:rsidRPr="00742A04">
        <w:t xml:space="preserve">se dictó una norma que da </w:t>
      </w:r>
      <w:r w:rsidR="00545D1B" w:rsidRPr="00742A04">
        <w:t xml:space="preserve">a </w:t>
      </w:r>
      <w:r w:rsidR="00AD0883" w:rsidRPr="00742A04">
        <w:t>los empleadores</w:t>
      </w:r>
      <w:r w:rsidR="00545D1B" w:rsidRPr="00742A04">
        <w:t xml:space="preserve"> </w:t>
      </w:r>
      <w:r w:rsidRPr="00742A04">
        <w:t>derecho a</w:t>
      </w:r>
      <w:r w:rsidR="00545D1B" w:rsidRPr="00742A04">
        <w:t xml:space="preserve"> </w:t>
      </w:r>
      <w:r w:rsidRPr="00742A04">
        <w:t>obtener de las autoridades del Sist</w:t>
      </w:r>
      <w:r w:rsidRPr="00742A04">
        <w:t>e</w:t>
      </w:r>
      <w:r w:rsidRPr="00742A04">
        <w:t>ma Nacional de Seguridad Social</w:t>
      </w:r>
      <w:r w:rsidR="00545D1B" w:rsidRPr="00742A04">
        <w:t xml:space="preserve"> </w:t>
      </w:r>
      <w:r w:rsidRPr="00742A04">
        <w:t>el reembolso del</w:t>
      </w:r>
      <w:r w:rsidR="00545D1B" w:rsidRPr="00742A04">
        <w:t xml:space="preserve"> </w:t>
      </w:r>
      <w:r w:rsidRPr="00742A04">
        <w:t>subsidio por enfermedad pagado</w:t>
      </w:r>
      <w:r w:rsidR="00545D1B" w:rsidRPr="00742A04">
        <w:t xml:space="preserve"> </w:t>
      </w:r>
      <w:r w:rsidR="003315C7" w:rsidRPr="00742A04">
        <w:t>durante</w:t>
      </w:r>
      <w:r w:rsidR="00545D1B" w:rsidRPr="00742A04">
        <w:t xml:space="preserve"> </w:t>
      </w:r>
      <w:r w:rsidR="00756C0D" w:rsidRPr="00742A04">
        <w:t xml:space="preserve">el </w:t>
      </w:r>
      <w:r w:rsidRPr="00742A04">
        <w:t>período del empleador</w:t>
      </w:r>
      <w:r w:rsidR="00545D1B" w:rsidRPr="00742A04">
        <w:t xml:space="preserve">. </w:t>
      </w:r>
      <w:r w:rsidR="006B65CD"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esa norma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contrarrestar</w:t>
      </w:r>
      <w:r w:rsidR="00545D1B" w:rsidRPr="00742A04">
        <w:t xml:space="preserve"> </w:t>
      </w:r>
      <w:r w:rsidR="00834309" w:rsidRPr="00742A04">
        <w:t>los problemas</w:t>
      </w:r>
      <w:r w:rsidR="00545D1B" w:rsidRPr="00742A04">
        <w:t xml:space="preserve"> </w:t>
      </w:r>
      <w:r w:rsidRPr="00742A04">
        <w:t xml:space="preserve">cada vez mayores que se plantean </w:t>
      </w:r>
      <w:r w:rsidR="00F43124" w:rsidRPr="00742A04">
        <w:t>a</w:t>
      </w:r>
      <w:r w:rsidR="00545D1B" w:rsidRPr="00742A04">
        <w:t xml:space="preserve"> </w:t>
      </w:r>
      <w:r w:rsidR="00116976" w:rsidRPr="00742A04">
        <w:t>las mujeres embarazadas</w:t>
      </w:r>
      <w:r w:rsidR="00545D1B" w:rsidRPr="00742A04">
        <w:t xml:space="preserve"> </w:t>
      </w:r>
      <w:r w:rsidRPr="00742A04">
        <w:t>e</w:t>
      </w:r>
      <w:r w:rsidR="00545D1B" w:rsidRPr="00742A04">
        <w:t xml:space="preserve">n </w:t>
      </w:r>
      <w:r w:rsidR="00434891" w:rsidRPr="00742A04">
        <w:t>el me</w:t>
      </w:r>
      <w:r w:rsidR="00434891" w:rsidRPr="00742A04">
        <w:t>r</w:t>
      </w:r>
      <w:r w:rsidR="00434891" w:rsidRPr="00742A04">
        <w:t>cado de trabajo</w:t>
      </w:r>
      <w:r w:rsidR="00545D1B" w:rsidRPr="00742A04">
        <w:t xml:space="preserve"> </w:t>
      </w:r>
      <w:r w:rsidRPr="00742A04">
        <w:t>a causa del</w:t>
      </w:r>
      <w:r w:rsidR="00545D1B" w:rsidRPr="00742A04">
        <w:t xml:space="preserve"> </w:t>
      </w:r>
      <w:r w:rsidR="00DB2F4E" w:rsidRPr="00742A04">
        <w:t>riesgo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00894" w:rsidRPr="00742A04">
        <w:t>ausencias por e</w:t>
      </w:r>
      <w:r w:rsidR="00600894" w:rsidRPr="00742A04">
        <w:t>n</w:t>
      </w:r>
      <w:r w:rsidR="00600894" w:rsidRPr="00742A04">
        <w:t>fermedad</w:t>
      </w:r>
      <w:r w:rsidR="000A08D8" w:rsidRPr="00742A04">
        <w:t>.</w:t>
      </w:r>
    </w:p>
    <w:p w:rsidR="00545D1B" w:rsidRPr="00742A04" w:rsidRDefault="00FB44A0" w:rsidP="001633F4">
      <w:pPr>
        <w:pStyle w:val="SingleTxt"/>
        <w:ind w:firstLine="475"/>
      </w:pPr>
      <w:r w:rsidRPr="00742A04">
        <w:t>La mujer embarazada sana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deba dejar de trabajar</w:t>
      </w:r>
      <w:r w:rsidR="00545D1B" w:rsidRPr="00742A04">
        <w:t xml:space="preserve"> </w:t>
      </w:r>
      <w:r w:rsidRPr="00742A04">
        <w:t>cuando exista</w:t>
      </w:r>
      <w:r w:rsidR="00545D1B" w:rsidRPr="00742A04">
        <w:t xml:space="preserve"> </w:t>
      </w:r>
      <w:r w:rsidR="00DB2F4E" w:rsidRPr="00742A04">
        <w:t>riesgo</w:t>
      </w:r>
      <w:r w:rsidR="00545D1B" w:rsidRPr="00742A04">
        <w:t xml:space="preserve"> </w:t>
      </w:r>
      <w:r w:rsidRPr="00742A04">
        <w:t>par</w:t>
      </w:r>
      <w:r w:rsidR="0030626A" w:rsidRPr="00742A04">
        <w:t>a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326185" w:rsidRPr="00742A04">
        <w:t>l feto</w:t>
      </w:r>
      <w:r w:rsidR="00545D1B" w:rsidRPr="00742A04">
        <w:t xml:space="preserve"> </w:t>
      </w:r>
      <w:r w:rsidR="009B24F7" w:rsidRPr="00742A04">
        <w:t>tiene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26185" w:rsidRPr="00742A04">
        <w:t>prestaciones por embarazo</w:t>
      </w:r>
      <w:r w:rsidR="00545D1B" w:rsidRPr="00742A04">
        <w:t xml:space="preserve">. </w:t>
      </w:r>
      <w:r w:rsidR="009B24F7" w:rsidRPr="00742A04">
        <w:t>La condición</w:t>
      </w:r>
      <w:r w:rsidR="00C14BFF" w:rsidRPr="00742A04">
        <w:t xml:space="preserve"> </w:t>
      </w:r>
      <w:r w:rsidR="0081178E" w:rsidRPr="00742A04">
        <w:t>es que</w:t>
      </w:r>
      <w:r w:rsidR="00545D1B" w:rsidRPr="00742A04">
        <w:t xml:space="preserve"> </w:t>
      </w:r>
      <w:r w:rsidRPr="00742A04">
        <w:t>se le</w:t>
      </w:r>
      <w:r w:rsidR="00545D1B" w:rsidRPr="00742A04">
        <w:t xml:space="preserve"> orde</w:t>
      </w:r>
      <w:r w:rsidRPr="00742A04">
        <w:t>ne que deje de trabajar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que sea imposible la </w:t>
      </w:r>
      <w:r w:rsidR="00545D1B" w:rsidRPr="00742A04">
        <w:t>adapta</w:t>
      </w:r>
      <w:r w:rsidR="00C14BFF" w:rsidRPr="00742A04">
        <w:t xml:space="preserve">ción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="007E0DFE" w:rsidRPr="00742A04">
        <w:t>e</w:t>
      </w:r>
      <w:r w:rsidR="007E0DFE" w:rsidRPr="00742A04">
        <w:t>m</w:t>
      </w:r>
      <w:r w:rsidR="007E0DFE" w:rsidRPr="00742A04">
        <w:t>pleo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>la reubi</w:t>
      </w:r>
      <w:r w:rsidR="00545D1B" w:rsidRPr="00742A04">
        <w:t>ca</w:t>
      </w:r>
      <w:r w:rsidR="00C14BFF" w:rsidRPr="00742A04">
        <w:t>ción</w:t>
      </w:r>
      <w:r w:rsidR="00545D1B" w:rsidRPr="00742A04">
        <w:t xml:space="preserve">. </w:t>
      </w:r>
      <w:r w:rsidR="0046110E" w:rsidRPr="00742A04">
        <w:t xml:space="preserve">Cabe remitirse </w:t>
      </w:r>
      <w:r w:rsidRPr="00742A04">
        <w:t>a lo dicho en relación con e</w:t>
      </w:r>
      <w:r w:rsidR="0046110E" w:rsidRPr="00742A04">
        <w:t>l artículo</w:t>
      </w:r>
      <w:r w:rsidR="00545D1B" w:rsidRPr="00742A04">
        <w:t xml:space="preserve"> 11</w:t>
      </w:r>
      <w:r w:rsidRPr="00742A04">
        <w:t>.</w:t>
      </w:r>
      <w:r w:rsidR="00545D1B" w:rsidRPr="00742A04">
        <w:t xml:space="preserve">1 </w:t>
      </w:r>
      <w:r w:rsidR="00545D1B" w:rsidRPr="00742A04">
        <w:rPr>
          <w:i/>
        </w:rPr>
        <w:t>f</w:t>
      </w:r>
      <w:r w:rsidR="00545D1B" w:rsidRPr="00742A04">
        <w:t xml:space="preserve">. </w:t>
      </w:r>
      <w:r w:rsidR="004A0730" w:rsidRPr="00742A04">
        <w:t>En</w:t>
      </w:r>
      <w:r w:rsidRPr="00742A04">
        <w:t xml:space="preserve"> 2004, 1.</w:t>
      </w:r>
      <w:r w:rsidR="00545D1B" w:rsidRPr="00742A04">
        <w:t xml:space="preserve">593 </w:t>
      </w:r>
      <w:r w:rsidR="00072AD7" w:rsidRPr="00742A04">
        <w:t>mujeres</w:t>
      </w:r>
      <w:r w:rsidR="00545D1B" w:rsidRPr="00742A04">
        <w:t xml:space="preserve"> </w:t>
      </w:r>
      <w:r w:rsidR="00644C8F" w:rsidRPr="00742A04">
        <w:t>reci</w:t>
      </w:r>
      <w:r w:rsidRPr="00742A04">
        <w:t>bieron</w:t>
      </w:r>
      <w:r w:rsidR="00545D1B" w:rsidRPr="00742A04">
        <w:t xml:space="preserve"> </w:t>
      </w:r>
      <w:r w:rsidR="00326185" w:rsidRPr="00742A04">
        <w:t>prestaciones por embarazo</w:t>
      </w:r>
      <w:r w:rsidR="00545D1B" w:rsidRPr="00742A04">
        <w:t xml:space="preserve">. </w:t>
      </w:r>
      <w:r w:rsidR="00894371" w:rsidRPr="00742A04">
        <w:t>Como puede verse en el sexto informe periódico de Noruega, anteriormente el derecho a prestaciones por embar</w:t>
      </w:r>
      <w:r w:rsidR="00894371" w:rsidRPr="00742A04">
        <w:t>a</w:t>
      </w:r>
      <w:r w:rsidR="00894371" w:rsidRPr="00742A04">
        <w:t>zo estaba reservado a</w:t>
      </w:r>
      <w:r w:rsidR="00894371">
        <w:t xml:space="preserve"> las</w:t>
      </w:r>
      <w:r w:rsidR="00894371" w:rsidRPr="00742A04">
        <w:t xml:space="preserve"> mujeres</w:t>
      </w:r>
      <w:r w:rsidR="00894371">
        <w:t xml:space="preserve"> empleadas</w:t>
      </w:r>
      <w:r w:rsidR="00894371" w:rsidRPr="00742A04">
        <w:t>. En 2003 ese derecho se otorgó ta</w:t>
      </w:r>
      <w:r w:rsidR="00894371" w:rsidRPr="00742A04">
        <w:t>m</w:t>
      </w:r>
      <w:r w:rsidR="00894371" w:rsidRPr="00742A04">
        <w:t>bién a las mujeres</w:t>
      </w:r>
      <w:r w:rsidR="00894371">
        <w:t xml:space="preserve"> que</w:t>
      </w:r>
      <w:r w:rsidR="00894371" w:rsidRPr="00742A04">
        <w:t xml:space="preserve"> trabajan por cuenta propia y a las trabajadoras independie</w:t>
      </w:r>
      <w:r w:rsidR="00894371" w:rsidRPr="00742A04">
        <w:t>n</w:t>
      </w:r>
      <w:r w:rsidR="00894371" w:rsidRPr="00742A04">
        <w:t>tes. Se están haciendo esfuerzos por fortalecer los derechos de las mujeres</w:t>
      </w:r>
      <w:r w:rsidR="00894371">
        <w:t xml:space="preserve"> que</w:t>
      </w:r>
      <w:r w:rsidR="00894371" w:rsidRPr="00742A04">
        <w:t xml:space="preserve"> tr</w:t>
      </w:r>
      <w:r w:rsidR="00894371" w:rsidRPr="00742A04">
        <w:t>a</w:t>
      </w:r>
      <w:r w:rsidR="00894371" w:rsidRPr="00742A04">
        <w:t xml:space="preserve">bajan por cuenta propia reconociéndoles una cobertura del 100% de las prestaciones por embarazo, independientemente de si tienen o no un seguro adicional. </w:t>
      </w:r>
      <w:r w:rsidR="0046110E" w:rsidRPr="00742A04">
        <w:t>Cabe rem</w:t>
      </w:r>
      <w:r w:rsidR="0046110E" w:rsidRPr="00742A04">
        <w:t>i</w:t>
      </w:r>
      <w:r w:rsidR="0046110E" w:rsidRPr="00742A04">
        <w:t>tirse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C14BFF" w:rsidRPr="00742A04">
        <w:t>las observaciones</w:t>
      </w:r>
      <w:r w:rsidR="00545D1B" w:rsidRPr="00742A04">
        <w:t xml:space="preserve"> </w:t>
      </w:r>
      <w:r w:rsidRPr="00742A04">
        <w:t>expuestas en el presente</w:t>
      </w:r>
      <w:r w:rsidR="00545D1B" w:rsidRPr="00742A04">
        <w:t xml:space="preserve"> </w:t>
      </w:r>
      <w:r w:rsidR="00B31D97" w:rsidRPr="00742A04">
        <w:t>informe</w:t>
      </w:r>
      <w:r w:rsidR="00545D1B" w:rsidRPr="00742A04">
        <w:t xml:space="preserve"> </w:t>
      </w:r>
      <w:r w:rsidRPr="00742A04">
        <w:t>en relación con el artículo 11.2 </w:t>
      </w:r>
      <w:r w:rsidRPr="00742A04">
        <w:rPr>
          <w:i/>
        </w:rPr>
        <w:t>b</w:t>
      </w:r>
      <w:r w:rsidRPr="00742A04">
        <w:t xml:space="preserve">. </w:t>
      </w:r>
      <w:r w:rsidR="004A0730" w:rsidRPr="00742A04">
        <w:t>En</w:t>
      </w:r>
      <w:r w:rsidR="00545D1B" w:rsidRPr="00742A04">
        <w:t xml:space="preserve"> 2005 </w:t>
      </w:r>
      <w:r w:rsidRPr="00742A04">
        <w:t xml:space="preserve">se presentó </w:t>
      </w:r>
      <w:r w:rsidR="00834309" w:rsidRPr="00742A04">
        <w:t>un proyecto de ley</w:t>
      </w:r>
      <w:r w:rsidR="00545D1B" w:rsidRPr="00742A04">
        <w:t xml:space="preserve"> </w:t>
      </w:r>
      <w:r w:rsidRPr="00742A04">
        <w:t>sobre</w:t>
      </w:r>
      <w:r w:rsidR="00545D1B" w:rsidRPr="00742A04">
        <w:t xml:space="preserve"> </w:t>
      </w:r>
      <w:r w:rsidR="001C6742" w:rsidRPr="00742A04">
        <w:t xml:space="preserve">el derecho </w:t>
      </w:r>
      <w:r w:rsidR="0030626A" w:rsidRPr="00742A04">
        <w:t>a</w:t>
      </w:r>
      <w:r w:rsidR="00545D1B" w:rsidRPr="00742A04">
        <w:t xml:space="preserve"> </w:t>
      </w:r>
      <w:r w:rsidRPr="00742A04">
        <w:t>vacaciones</w:t>
      </w:r>
      <w:r w:rsidR="00A31FF2" w:rsidRPr="00742A04">
        <w:t xml:space="preserve"> rem</w:t>
      </w:r>
      <w:r w:rsidR="00A31FF2" w:rsidRPr="00742A04">
        <w:t>u</w:t>
      </w:r>
      <w:r w:rsidR="00A31FF2" w:rsidRPr="00742A04">
        <w:t>nera</w:t>
      </w:r>
      <w:r w:rsidRPr="00742A04">
        <w:t>das</w:t>
      </w:r>
      <w:r w:rsidR="00545D1B" w:rsidRPr="00742A04">
        <w:t xml:space="preserve"> </w:t>
      </w:r>
      <w:r w:rsidR="00D52339" w:rsidRPr="00742A04">
        <w:t>sobre la base de</w:t>
      </w:r>
      <w:r w:rsidR="00545D1B" w:rsidRPr="00742A04">
        <w:t xml:space="preserve"> </w:t>
      </w:r>
      <w:r w:rsidR="00326185" w:rsidRPr="00742A04">
        <w:t>prestaciones por embarazo</w:t>
      </w:r>
      <w:r w:rsidR="00545D1B" w:rsidRPr="00742A04">
        <w:t xml:space="preserve">. </w:t>
      </w:r>
      <w:r w:rsidRPr="00742A04">
        <w:t>La falta</w:t>
      </w:r>
      <w:r w:rsidR="00FD7D4E" w:rsidRPr="00742A04">
        <w:t xml:space="preserve"> de </w:t>
      </w:r>
      <w:r w:rsidR="00B83FEB" w:rsidRPr="00742A04">
        <w:t>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vacaci</w:t>
      </w:r>
      <w:r w:rsidRPr="00742A04">
        <w:t>o</w:t>
      </w:r>
      <w:r w:rsidRPr="00742A04">
        <w:t>nes remuneradas</w:t>
      </w:r>
      <w:r w:rsidR="00545D1B" w:rsidRPr="00742A04">
        <w:t xml:space="preserve"> </w:t>
      </w:r>
      <w:r w:rsidRPr="00742A04">
        <w:t>determina una pérdid</w:t>
      </w:r>
      <w:r w:rsidR="00545D1B" w:rsidRPr="00742A04">
        <w:t>a financi</w:t>
      </w:r>
      <w:r w:rsidRPr="00742A04">
        <w:t>era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las</w:t>
      </w:r>
      <w:r w:rsidR="00545D1B" w:rsidRPr="00742A04">
        <w:t xml:space="preserve"> </w:t>
      </w:r>
      <w:r w:rsidR="003D75F0" w:rsidRPr="00742A04">
        <w:t>recepto</w:t>
      </w:r>
      <w:r w:rsidRPr="00742A04">
        <w:t>ra</w:t>
      </w:r>
      <w:r w:rsidR="003D75F0" w:rsidRPr="00742A04">
        <w:t>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26185" w:rsidRPr="00742A04">
        <w:t>prestaci</w:t>
      </w:r>
      <w:r w:rsidR="00326185" w:rsidRPr="00742A04">
        <w:t>o</w:t>
      </w:r>
      <w:r w:rsidR="00326185" w:rsidRPr="00742A04">
        <w:t>nes por embarazo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116976" w:rsidRPr="00742A04">
        <w:t>las mujeres embarazadas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están trabaja</w:t>
      </w:r>
      <w:r w:rsidRPr="00742A04">
        <w:t>n</w:t>
      </w:r>
      <w:r w:rsidRPr="00742A04">
        <w:t>do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Pr="00742A04">
        <w:t>recibiendo</w:t>
      </w:r>
      <w:r w:rsidR="00545D1B" w:rsidRPr="00742A04">
        <w:t xml:space="preserve"> </w:t>
      </w:r>
      <w:r w:rsidRPr="00742A04">
        <w:t>prestaciones por enfermedad</w:t>
      </w:r>
      <w:r w:rsidR="00545D1B" w:rsidRPr="00742A04">
        <w:t>.</w:t>
      </w:r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  <w:bookmarkStart w:id="64" w:name="_Toc147129479"/>
    </w:p>
    <w:p w:rsidR="00A835F7" w:rsidRPr="00742A04" w:rsidRDefault="00814B5D" w:rsidP="00A835F7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A835F7" w:rsidRPr="00742A04">
        <w:rPr>
          <w:bCs/>
        </w:rPr>
        <w:t xml:space="preserve"> 12</w:t>
      </w:r>
    </w:p>
    <w:p w:rsidR="00545D1B" w:rsidRPr="00742A04" w:rsidRDefault="00B83FEB" w:rsidP="00A835F7">
      <w:pPr>
        <w:pStyle w:val="H1"/>
        <w:ind w:left="1267"/>
        <w:rPr>
          <w:bCs/>
        </w:rPr>
      </w:pPr>
      <w:r w:rsidRPr="00742A04">
        <w:rPr>
          <w:bCs/>
        </w:rPr>
        <w:t>Salud</w:t>
      </w:r>
      <w:bookmarkEnd w:id="64"/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</w:p>
    <w:p w:rsidR="000A08D8" w:rsidRPr="00742A04" w:rsidRDefault="00FB44A0" w:rsidP="001633F4">
      <w:pPr>
        <w:pStyle w:val="SingleTxt"/>
        <w:ind w:firstLine="475"/>
      </w:pPr>
      <w:r w:rsidRPr="00742A04">
        <w:t>La esperanza de vida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 xml:space="preserve">de </w:t>
      </w:r>
      <w:r w:rsidR="00545D1B" w:rsidRPr="00742A04">
        <w:t xml:space="preserve">82 </w:t>
      </w:r>
      <w:r w:rsidR="004D313C" w:rsidRPr="00742A04">
        <w:t>años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Pr="00742A04">
        <w:t xml:space="preserve"> 77,</w:t>
      </w:r>
      <w:r w:rsidR="00545D1B" w:rsidRPr="00742A04">
        <w:t xml:space="preserve">1 </w:t>
      </w:r>
      <w:r w:rsidR="004D313C" w:rsidRPr="00742A04">
        <w:t>años</w:t>
      </w:r>
      <w:r w:rsidR="00545D1B" w:rsidRPr="00742A04">
        <w:t xml:space="preserve"> </w:t>
      </w:r>
      <w:r w:rsidR="00F43124" w:rsidRPr="00742A04">
        <w:t>para</w:t>
      </w:r>
      <w:r w:rsidRPr="00742A04">
        <w:t xml:space="preserve"> los</w:t>
      </w:r>
      <w:r w:rsidR="00545D1B" w:rsidRPr="00742A04">
        <w:t xml:space="preserve"> </w:t>
      </w:r>
      <w:r w:rsidR="00072AD7" w:rsidRPr="00742A04">
        <w:t>hombres</w:t>
      </w:r>
      <w:r w:rsidR="00BD7DD0" w:rsidRPr="00742A04">
        <w:t xml:space="preserve">. Las mujeres </w:t>
      </w:r>
      <w:r w:rsidR="00545D1B" w:rsidRPr="00742A04">
        <w:t>rec</w:t>
      </w:r>
      <w:r w:rsidRPr="00742A04">
        <w:t>iben</w:t>
      </w:r>
      <w:r w:rsidR="00545D1B" w:rsidRPr="00742A04">
        <w:t xml:space="preserve"> </w:t>
      </w:r>
      <w:r w:rsidR="003D75F0" w:rsidRPr="00742A04">
        <w:t xml:space="preserve">pensiones por </w:t>
      </w:r>
      <w:r w:rsidRPr="00742A04">
        <w:t>in</w:t>
      </w:r>
      <w:r w:rsidR="003D75F0" w:rsidRPr="00742A04">
        <w:t>capacidad</w:t>
      </w:r>
      <w:r w:rsidR="00545D1B" w:rsidRPr="00742A04">
        <w:t xml:space="preserve"> </w:t>
      </w:r>
      <w:r w:rsidR="00FA3363" w:rsidRPr="00742A04">
        <w:t>con mayor fr</w:t>
      </w:r>
      <w:r w:rsidR="00FA3363" w:rsidRPr="00742A04">
        <w:t>e</w:t>
      </w:r>
      <w:r w:rsidR="00FA3363" w:rsidRPr="00742A04">
        <w:t>cuencia</w:t>
      </w:r>
      <w:r w:rsidR="00545D1B" w:rsidRPr="00742A04">
        <w:t xml:space="preserve"> </w:t>
      </w:r>
      <w:r w:rsidR="0081178E" w:rsidRPr="00742A04">
        <w:t>que los hombres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2004, </w:t>
      </w:r>
      <w:r w:rsidR="00FA3363" w:rsidRPr="00742A04">
        <w:t>había 310.</w:t>
      </w:r>
      <w:r w:rsidR="00545D1B" w:rsidRPr="00742A04">
        <w:t xml:space="preserve">900 </w:t>
      </w:r>
      <w:r w:rsidR="00A8681A" w:rsidRPr="00742A04">
        <w:t>personas</w:t>
      </w:r>
      <w:r w:rsidR="00545D1B" w:rsidRPr="00742A04">
        <w:t xml:space="preserve"> </w:t>
      </w:r>
      <w:r w:rsidR="00FA3363" w:rsidRPr="00742A04">
        <w:t>c</w:t>
      </w:r>
      <w:r w:rsidR="00545D1B" w:rsidRPr="00742A04">
        <w:t xml:space="preserve">on </w:t>
      </w:r>
      <w:r w:rsidR="00FA3363" w:rsidRPr="00742A04">
        <w:t>pensiones por inc</w:t>
      </w:r>
      <w:r w:rsidR="00FA3363" w:rsidRPr="00742A04">
        <w:t>a</w:t>
      </w:r>
      <w:r w:rsidR="00FA3363" w:rsidRPr="00742A04">
        <w:t>pacidad: 178.</w:t>
      </w:r>
      <w:r w:rsidR="00545D1B" w:rsidRPr="00742A04">
        <w:t xml:space="preserve">700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FA3363" w:rsidRPr="00742A04">
        <w:t xml:space="preserve"> 132.</w:t>
      </w:r>
      <w:r w:rsidR="00545D1B" w:rsidRPr="00742A04">
        <w:t xml:space="preserve">229 </w:t>
      </w:r>
      <w:r w:rsidR="00072AD7" w:rsidRPr="00742A04">
        <w:t>hombres</w:t>
      </w:r>
      <w:r w:rsidR="00545D1B" w:rsidRPr="00742A04">
        <w:t xml:space="preserve">. </w:t>
      </w:r>
      <w:r w:rsidR="003A4F33" w:rsidRPr="00742A04">
        <w:t>Ha habido</w:t>
      </w:r>
      <w:r w:rsidR="00545D1B" w:rsidRPr="00742A04">
        <w:t xml:space="preserve"> </w:t>
      </w:r>
      <w:r w:rsidR="00FA3363" w:rsidRPr="00742A04">
        <w:t>un</w:t>
      </w:r>
      <w:r w:rsidR="00545D1B" w:rsidRPr="00742A04">
        <w:t xml:space="preserve"> </w:t>
      </w:r>
      <w:r w:rsidR="00373AA0" w:rsidRPr="00742A04">
        <w:t>marcad</w:t>
      </w:r>
      <w:r w:rsidR="00FA3363" w:rsidRPr="00742A04">
        <w:t>o aumento de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FA3363" w:rsidRPr="00742A04">
        <w:t>c</w:t>
      </w:r>
      <w:r w:rsidR="00545D1B" w:rsidRPr="00742A04">
        <w:t xml:space="preserve">on </w:t>
      </w:r>
      <w:r w:rsidR="00FA3363" w:rsidRPr="00742A04">
        <w:t>pensiones por incapacidad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FA3363" w:rsidRPr="00742A04">
        <w:t>esto</w:t>
      </w:r>
      <w:r w:rsidR="00545D1B" w:rsidRPr="00742A04">
        <w:t xml:space="preserve"> </w:t>
      </w:r>
      <w:r w:rsidR="0020526A" w:rsidRPr="00742A04">
        <w:t xml:space="preserve">debe </w:t>
      </w:r>
      <w:r w:rsidR="00FA3363" w:rsidRPr="00742A04">
        <w:t>verse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574AD" w:rsidRPr="00742A04">
        <w:t>conjunción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FA3363" w:rsidRPr="00742A04">
        <w:t>el fuerte aumento de la</w:t>
      </w:r>
      <w:r w:rsidR="00545D1B" w:rsidRPr="00742A04">
        <w:t xml:space="preserve"> </w:t>
      </w:r>
      <w:r w:rsidR="00355BCE" w:rsidRPr="00742A04">
        <w:t>actividad económica</w:t>
      </w:r>
      <w:r w:rsidR="00545D1B" w:rsidRPr="00742A04">
        <w:t xml:space="preserve"> </w:t>
      </w:r>
      <w:r w:rsidR="00FA3363" w:rsidRPr="00742A04">
        <w:t>de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315C7" w:rsidRPr="00742A04">
        <w:t>durante</w:t>
      </w:r>
      <w:r w:rsidR="00545D1B" w:rsidRPr="00742A04">
        <w:t xml:space="preserve"> </w:t>
      </w:r>
      <w:r w:rsidR="00FA3363" w:rsidRPr="00742A04">
        <w:t>este</w:t>
      </w:r>
      <w:r w:rsidR="00545D1B" w:rsidRPr="00742A04">
        <w:t xml:space="preserve"> </w:t>
      </w:r>
      <w:r w:rsidR="00072261" w:rsidRPr="00742A04">
        <w:t>perí</w:t>
      </w:r>
      <w:r w:rsidR="00072261" w:rsidRPr="00742A04">
        <w:t>o</w:t>
      </w:r>
      <w:r w:rsidR="00072261" w:rsidRPr="00742A04">
        <w:t>do</w:t>
      </w:r>
      <w:r w:rsidR="000A08D8" w:rsidRPr="00742A04">
        <w:t>.</w:t>
      </w:r>
    </w:p>
    <w:p w:rsidR="000A08D8" w:rsidRPr="00742A04" w:rsidRDefault="004A0730" w:rsidP="001633F4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7C341F" w:rsidRPr="00742A04">
        <w:t>y Servicios Asistenciales</w:t>
      </w:r>
      <w:r w:rsidR="00545D1B" w:rsidRPr="00742A04">
        <w:t xml:space="preserve"> ha</w:t>
      </w:r>
      <w:r w:rsidR="00FA3363" w:rsidRPr="00742A04">
        <w:t xml:space="preserve"> a</w:t>
      </w:r>
      <w:r w:rsidR="00545D1B" w:rsidRPr="00742A04">
        <w:t>s</w:t>
      </w:r>
      <w:r w:rsidR="00FA3363" w:rsidRPr="00742A04">
        <w:t>ignado a</w:t>
      </w:r>
      <w:r w:rsidR="00545D1B" w:rsidRPr="00742A04">
        <w:t xml:space="preserve"> </w:t>
      </w:r>
      <w:r w:rsidR="00FA3363" w:rsidRPr="00742A04">
        <w:t xml:space="preserve">la </w:t>
      </w:r>
      <w:r w:rsidR="00B83FEB" w:rsidRPr="00742A04">
        <w:t>salud</w:t>
      </w:r>
      <w:r w:rsidR="00FA3363" w:rsidRPr="00742A04">
        <w:t xml:space="preserve"> de las mujeres</w:t>
      </w:r>
      <w:r w:rsidR="00545D1B" w:rsidRPr="00742A04">
        <w:t xml:space="preserve"> </w:t>
      </w:r>
      <w:r w:rsidR="00FA3363" w:rsidRPr="00742A04">
        <w:t>el carácter de</w:t>
      </w:r>
      <w:r w:rsidR="00545D1B" w:rsidRPr="00742A04">
        <w:t xml:space="preserve"> </w:t>
      </w:r>
      <w:r w:rsidR="00FA3363" w:rsidRPr="00742A04">
        <w:t>esfera prioritaria</w:t>
      </w:r>
      <w:r w:rsidR="00545D1B" w:rsidRPr="00742A04">
        <w:t xml:space="preserve">. </w:t>
      </w:r>
      <w:r w:rsidR="00FA3363" w:rsidRPr="00742A04">
        <w:t xml:space="preserve">En el Informe N° 16 al Storting (2002-2003): </w:t>
      </w:r>
      <w:r w:rsidR="00FA3363" w:rsidRPr="00742A04">
        <w:rPr>
          <w:i/>
        </w:rPr>
        <w:t>Receta para una Noruega más saludable. Política de salud pública</w:t>
      </w:r>
      <w:r w:rsidR="00FA3363" w:rsidRPr="00742A04">
        <w:t xml:space="preserve"> se pr</w:t>
      </w:r>
      <w:r w:rsidR="00FA3363" w:rsidRPr="00742A04">
        <w:t>e</w:t>
      </w:r>
      <w:r w:rsidR="00FA3363" w:rsidRPr="00742A04">
        <w:t>sentó una</w:t>
      </w:r>
      <w:r w:rsidR="00545D1B" w:rsidRPr="00742A04">
        <w:t xml:space="preserve"> </w:t>
      </w:r>
      <w:r w:rsidR="00604B3A" w:rsidRPr="00742A04">
        <w:t>Estrategia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FA3363" w:rsidRPr="00742A04">
        <w:t>la Salud de las M</w:t>
      </w:r>
      <w:r w:rsidR="00210DB1" w:rsidRPr="00742A04">
        <w:t>ujeres</w:t>
      </w:r>
      <w:r w:rsidR="00545D1B" w:rsidRPr="00742A04">
        <w:rPr>
          <w:i/>
        </w:rPr>
        <w:t>.</w:t>
      </w:r>
      <w:r w:rsidR="00545D1B" w:rsidRPr="00742A04">
        <w:t xml:space="preserve"> </w:t>
      </w:r>
      <w:r w:rsidR="00F05119" w:rsidRPr="00742A04">
        <w:t xml:space="preserve">La </w:t>
      </w:r>
      <w:r w:rsidR="00FA3363" w:rsidRPr="00742A04">
        <w:t>Estrategia para la Salud de las Mujeres</w:t>
      </w:r>
      <w:r w:rsidR="00545D1B" w:rsidRPr="00742A04">
        <w:t xml:space="preserve"> </w:t>
      </w:r>
      <w:r w:rsidR="00BB4DB1" w:rsidRPr="00742A04">
        <w:t>es</w:t>
      </w:r>
      <w:r w:rsidR="00FA3363" w:rsidRPr="00742A04">
        <w:t>tá basada</w:t>
      </w:r>
      <w:r w:rsidR="00545D1B" w:rsidRPr="00742A04">
        <w:t xml:space="preserve"> </w:t>
      </w:r>
      <w:r w:rsidR="00BC2FBE" w:rsidRPr="00742A04">
        <w:t>en gran medida</w:t>
      </w:r>
      <w:r w:rsidR="00545D1B" w:rsidRPr="00742A04">
        <w:t xml:space="preserve"> </w:t>
      </w:r>
      <w:r w:rsidR="00FA3363" w:rsidRPr="00742A04">
        <w:t>en el</w:t>
      </w:r>
      <w:r w:rsidR="00545D1B" w:rsidRPr="00742A04">
        <w:t xml:space="preserve"> </w:t>
      </w:r>
      <w:r w:rsidR="0046110E" w:rsidRPr="00742A04">
        <w:t>Informe Oficial de Noruega</w:t>
      </w:r>
      <w:r w:rsidR="00466934" w:rsidRPr="00742A04">
        <w:t xml:space="preserve"> 1999:</w:t>
      </w:r>
      <w:r w:rsidR="00545D1B" w:rsidRPr="00742A04">
        <w:t>13</w:t>
      </w:r>
      <w:r w:rsidR="00FA3363" w:rsidRPr="00742A04">
        <w:t xml:space="preserve"> s</w:t>
      </w:r>
      <w:r w:rsidR="00FA3363" w:rsidRPr="00742A04">
        <w:t>o</w:t>
      </w:r>
      <w:r w:rsidR="00FA3363" w:rsidRPr="00742A04">
        <w:t>bre</w:t>
      </w:r>
      <w:r w:rsidR="00545D1B" w:rsidRPr="00742A04">
        <w:t xml:space="preserve"> </w:t>
      </w:r>
      <w:r w:rsidR="00FA3363" w:rsidRPr="00742A04">
        <w:rPr>
          <w:i/>
        </w:rPr>
        <w:t xml:space="preserve">La salud </w:t>
      </w:r>
      <w:r w:rsidR="00210DB1" w:rsidRPr="00742A04">
        <w:rPr>
          <w:i/>
        </w:rPr>
        <w:t>de las mujeres</w:t>
      </w:r>
      <w:r w:rsidR="00545D1B" w:rsidRPr="00742A04">
        <w:rPr>
          <w:i/>
        </w:rPr>
        <w:t xml:space="preserve"> </w:t>
      </w:r>
      <w:r w:rsidR="00C14BFF" w:rsidRPr="00742A04">
        <w:rPr>
          <w:i/>
        </w:rPr>
        <w:t>en</w:t>
      </w:r>
      <w:r w:rsidR="00545D1B" w:rsidRPr="00742A04">
        <w:rPr>
          <w:i/>
        </w:rPr>
        <w:t xml:space="preserve"> </w:t>
      </w:r>
      <w:r w:rsidR="00EA26AB" w:rsidRPr="00742A04">
        <w:rPr>
          <w:i/>
        </w:rPr>
        <w:t>Noruega</w:t>
      </w:r>
      <w:r w:rsidR="00545D1B" w:rsidRPr="00742A04">
        <w:t xml:space="preserve"> (descri</w:t>
      </w:r>
      <w:r w:rsidR="00FA3363" w:rsidRPr="00742A04">
        <w:t>to</w:t>
      </w:r>
      <w:r w:rsidR="00545D1B" w:rsidRPr="00742A04">
        <w:t xml:space="preserve"> </w:t>
      </w:r>
      <w:r w:rsidR="005909B9" w:rsidRPr="00742A04">
        <w:t>en las páginas 44 y 45</w:t>
      </w:r>
      <w:r w:rsidR="00545D1B" w:rsidRPr="00742A04">
        <w:t xml:space="preserve"> </w:t>
      </w:r>
      <w:r w:rsidR="004B2748" w:rsidRPr="00742A04">
        <w:t>del sexto i</w:t>
      </w:r>
      <w:r w:rsidR="004B2748" w:rsidRPr="00742A04">
        <w:t>n</w:t>
      </w:r>
      <w:r w:rsidR="004B2748" w:rsidRPr="00742A04">
        <w:t>forme periódico de Noruega</w:t>
      </w:r>
      <w:r w:rsidR="00545D1B" w:rsidRPr="00742A04">
        <w:t xml:space="preserve">). </w:t>
      </w:r>
      <w:r w:rsidR="00FA3363" w:rsidRPr="00742A04">
        <w:t>Con arreglo a dicha</w:t>
      </w:r>
      <w:r w:rsidR="00545D1B" w:rsidRPr="00742A04">
        <w:t xml:space="preserve"> </w:t>
      </w:r>
      <w:r w:rsidR="00C923A8" w:rsidRPr="00742A04">
        <w:t>estrategia</w:t>
      </w:r>
      <w:r w:rsidR="00545D1B" w:rsidRPr="00742A04">
        <w:t xml:space="preserve">, </w:t>
      </w:r>
      <w:r w:rsidR="003E5775" w:rsidRPr="00742A04">
        <w:t>la perspectiva</w:t>
      </w:r>
      <w:r w:rsidR="00587443" w:rsidRPr="00742A04">
        <w:t xml:space="preserve"> de gén</w:t>
      </w:r>
      <w:r w:rsidR="00587443" w:rsidRPr="00742A04">
        <w:t>e</w:t>
      </w:r>
      <w:r w:rsidR="00587443" w:rsidRPr="00742A04">
        <w:t>ro</w:t>
      </w:r>
      <w:r w:rsidR="00545D1B" w:rsidRPr="00742A04">
        <w:t xml:space="preserve"> </w:t>
      </w:r>
      <w:r w:rsidR="007D4688" w:rsidRPr="00742A04">
        <w:t>debe</w:t>
      </w:r>
      <w:r w:rsidR="00545D1B" w:rsidRPr="00742A04">
        <w:t xml:space="preserve"> </w:t>
      </w:r>
      <w:r w:rsidR="00FA3363" w:rsidRPr="00742A04">
        <w:t>tener</w:t>
      </w:r>
      <w:r w:rsidR="00545D1B" w:rsidRPr="00742A04">
        <w:t xml:space="preserve"> prior</w:t>
      </w:r>
      <w:r w:rsidR="00502E16" w:rsidRPr="00742A04">
        <w:t>idad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75B05" w:rsidRPr="00742A04">
        <w:t>el sector social y de la salud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844FDB" w:rsidRPr="00742A04">
        <w:t>la investigación</w:t>
      </w:r>
      <w:r w:rsidR="00545D1B" w:rsidRPr="00742A04">
        <w:t xml:space="preserve">, </w:t>
      </w:r>
      <w:r w:rsidR="00FA3363" w:rsidRPr="00742A04">
        <w:t xml:space="preserve">la </w:t>
      </w:r>
      <w:r w:rsidR="00545D1B" w:rsidRPr="00742A04">
        <w:t>fo</w:t>
      </w:r>
      <w:r w:rsidR="00545D1B" w:rsidRPr="00742A04">
        <w:t>r</w:t>
      </w:r>
      <w:r w:rsidR="00545D1B" w:rsidRPr="00742A04">
        <w:t>mula</w:t>
      </w:r>
      <w:r w:rsidR="00935A90" w:rsidRPr="00742A04">
        <w:t>ción</w:t>
      </w:r>
      <w:r w:rsidR="00FA3363" w:rsidRPr="00742A04">
        <w:t xml:space="preserve"> de políticas</w:t>
      </w:r>
      <w:r w:rsidR="00935A90" w:rsidRPr="00742A04">
        <w:t>,</w:t>
      </w:r>
      <w:r w:rsidR="00545D1B" w:rsidRPr="00742A04">
        <w:t xml:space="preserve"> </w:t>
      </w:r>
      <w:r w:rsidR="00FA3363" w:rsidRPr="00742A04">
        <w:t xml:space="preserve">la </w:t>
      </w:r>
      <w:r w:rsidR="00545D1B" w:rsidRPr="00742A04">
        <w:t>preven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B31D97" w:rsidRPr="00742A04">
        <w:t>los servicios</w:t>
      </w:r>
      <w:r w:rsidR="00545D1B" w:rsidRPr="00742A04">
        <w:t xml:space="preserve">. </w:t>
      </w:r>
      <w:r w:rsidR="00F05119" w:rsidRPr="00742A04">
        <w:t xml:space="preserve">La </w:t>
      </w:r>
      <w:r w:rsidR="00FA3363" w:rsidRPr="00742A04">
        <w:t>Estrategia para la Salud de las Mujeres</w:t>
      </w:r>
      <w:r w:rsidR="00545D1B" w:rsidRPr="00742A04">
        <w:t xml:space="preserve"> </w:t>
      </w:r>
      <w:r w:rsidR="00FA3363" w:rsidRPr="00742A04">
        <w:t>abarca</w:t>
      </w:r>
      <w:r w:rsidR="00545D1B" w:rsidRPr="00742A04">
        <w:t xml:space="preserve"> </w:t>
      </w:r>
      <w:r w:rsidR="0059357E" w:rsidRPr="00742A04">
        <w:t>un período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1C54BB" w:rsidRPr="00742A04">
        <w:t>diez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(2003-2013). </w:t>
      </w:r>
      <w:r w:rsidR="00072AD7" w:rsidRPr="00742A04">
        <w:t>La razón</w:t>
      </w:r>
      <w:r w:rsidR="00545D1B" w:rsidRPr="00742A04">
        <w:t xml:space="preserve"> </w:t>
      </w:r>
      <w:r w:rsidR="009E2F15" w:rsidRPr="00742A04">
        <w:t>po</w:t>
      </w:r>
      <w:r w:rsidR="00FA3363" w:rsidRPr="00742A04">
        <w:t>r la cual se elaboró una</w:t>
      </w:r>
      <w:r w:rsidR="00545D1B" w:rsidRPr="00742A04">
        <w:t xml:space="preserve"> </w:t>
      </w:r>
      <w:r w:rsidR="00FA3363" w:rsidRPr="00742A04">
        <w:t>Estrategia especial para la Salud de las Mujeres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FA3363" w:rsidRPr="00742A04">
        <w:t>el deseo</w:t>
      </w:r>
      <w:r w:rsidR="00545D1B" w:rsidRPr="00742A04">
        <w:t xml:space="preserve"> </w:t>
      </w:r>
      <w:r w:rsidR="00FA3363" w:rsidRPr="00742A04">
        <w:t>de tratar a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A3363" w:rsidRPr="00742A04">
        <w:t>un</w:t>
      </w:r>
      <w:r w:rsidR="00545D1B" w:rsidRPr="00742A04">
        <w:t xml:space="preserve">a </w:t>
      </w:r>
      <w:r w:rsidR="00FA3363" w:rsidRPr="00742A04">
        <w:t xml:space="preserve">forma </w:t>
      </w:r>
      <w:r w:rsidR="00BA5ABE" w:rsidRPr="00742A04">
        <w:t>más</w:t>
      </w:r>
      <w:r w:rsidR="00545D1B" w:rsidRPr="00742A04">
        <w:t xml:space="preserve"> </w:t>
      </w:r>
      <w:r w:rsidR="00BB2CB9" w:rsidRPr="00742A04">
        <w:t>equitativ</w:t>
      </w:r>
      <w:r w:rsidR="00FA3363" w:rsidRPr="00742A04">
        <w:t>a</w:t>
      </w:r>
      <w:r w:rsidR="00545D1B" w:rsidRPr="00742A04">
        <w:t xml:space="preserve"> </w:t>
      </w:r>
      <w:r w:rsidR="005C6D40" w:rsidRPr="00742A04">
        <w:t>que</w:t>
      </w:r>
      <w:r w:rsidR="00545D1B" w:rsidRPr="00742A04">
        <w:t xml:space="preserve"> </w:t>
      </w:r>
      <w:r w:rsidR="00041F24" w:rsidRPr="00742A04">
        <w:t>ante</w:t>
      </w:r>
      <w:r w:rsidR="00FA3363" w:rsidRPr="00742A04">
        <w:t>s</w:t>
      </w:r>
      <w:r w:rsidR="00545D1B" w:rsidRPr="00742A04">
        <w:t xml:space="preserve">. </w:t>
      </w:r>
      <w:r w:rsidR="00FA3363" w:rsidRPr="00742A04">
        <w:t xml:space="preserve">En el </w:t>
      </w:r>
      <w:r w:rsidR="0046110E" w:rsidRPr="00742A04">
        <w:t>Informe Oficial de Noru</w:t>
      </w:r>
      <w:r w:rsidR="0046110E" w:rsidRPr="00742A04">
        <w:t>e</w:t>
      </w:r>
      <w:r w:rsidR="0046110E" w:rsidRPr="00742A04">
        <w:t>ga</w:t>
      </w:r>
      <w:r w:rsidR="00466934" w:rsidRPr="00742A04">
        <w:t xml:space="preserve"> 1999:</w:t>
      </w:r>
      <w:r w:rsidR="00545D1B" w:rsidRPr="00742A04">
        <w:t xml:space="preserve">13 </w:t>
      </w:r>
      <w:r w:rsidR="00466934" w:rsidRPr="00742A04">
        <w:t>se reveló una falta</w:t>
      </w:r>
      <w:r w:rsidR="00545D1B" w:rsidRPr="00742A04">
        <w:t xml:space="preserve"> general </w:t>
      </w:r>
      <w:r w:rsidRPr="00742A04">
        <w:t>de</w:t>
      </w:r>
      <w:r w:rsidR="00545D1B" w:rsidRPr="00742A04">
        <w:t xml:space="preserve"> </w:t>
      </w:r>
      <w:r w:rsidR="003E5775" w:rsidRPr="00742A04">
        <w:t>conocimiento</w:t>
      </w:r>
      <w:r w:rsidR="00466934" w:rsidRPr="00742A04">
        <w:t>s sobre los aspectos</w:t>
      </w:r>
      <w:r w:rsidR="00545D1B" w:rsidRPr="00742A04">
        <w:t xml:space="preserve"> </w:t>
      </w:r>
      <w:r w:rsidR="00466934" w:rsidRPr="00742A04">
        <w:t xml:space="preserve">género </w:t>
      </w:r>
      <w:r w:rsidR="00877AA0" w:rsidRPr="00742A04">
        <w:t>y</w:t>
      </w:r>
      <w:r w:rsidR="00545D1B" w:rsidRPr="00742A04">
        <w:t xml:space="preserve"> </w:t>
      </w:r>
      <w:r w:rsidR="00466934" w:rsidRPr="00742A04">
        <w:t xml:space="preserve">de </w:t>
      </w:r>
      <w:r w:rsidR="00587443" w:rsidRPr="00742A04">
        <w:t>perspectiva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2CFE" w:rsidRPr="00742A04">
        <w:t xml:space="preserve">los </w:t>
      </w:r>
      <w:r w:rsidR="0051344E" w:rsidRPr="00742A04">
        <w:t>servicios de salud</w:t>
      </w:r>
      <w:r w:rsidR="00545D1B" w:rsidRPr="00742A04">
        <w:t xml:space="preserve">. </w:t>
      </w:r>
      <w:r w:rsidR="00466934" w:rsidRPr="00742A04">
        <w:t>Mediante una</w:t>
      </w:r>
      <w:r w:rsidR="00545D1B" w:rsidRPr="00742A04">
        <w:t xml:space="preserve"> </w:t>
      </w:r>
      <w:r w:rsidR="00587443" w:rsidRPr="00742A04">
        <w:t>perspectiva de g</w:t>
      </w:r>
      <w:r w:rsidR="00587443" w:rsidRPr="00742A04">
        <w:t>é</w:t>
      </w:r>
      <w:r w:rsidR="00587443" w:rsidRPr="00742A04">
        <w:t>nero</w:t>
      </w:r>
      <w:r w:rsidR="00545D1B" w:rsidRPr="00742A04">
        <w:t xml:space="preserve"> </w:t>
      </w:r>
      <w:r w:rsidR="00466934" w:rsidRPr="00742A04">
        <w:t>respecto del</w:t>
      </w:r>
      <w:r w:rsidR="00545D1B" w:rsidRPr="00742A04">
        <w:t xml:space="preserve"> </w:t>
      </w:r>
      <w:r w:rsidR="00B31D97" w:rsidRPr="00742A04">
        <w:t>tratamiento</w:t>
      </w:r>
      <w:r w:rsidR="00466934" w:rsidRPr="00742A04">
        <w:t xml:space="preserve"> médico</w:t>
      </w:r>
      <w:r w:rsidR="00545D1B" w:rsidRPr="00742A04">
        <w:t xml:space="preserve">, </w:t>
      </w:r>
      <w:r w:rsidR="00466934" w:rsidRPr="00742A04">
        <w:t xml:space="preserve">las </w:t>
      </w:r>
      <w:r w:rsidR="00B2334F" w:rsidRPr="00742A04">
        <w:t>estrategias</w:t>
      </w:r>
      <w:r w:rsidR="00545D1B" w:rsidRPr="00742A04">
        <w:t xml:space="preserve"> </w:t>
      </w:r>
      <w:r w:rsidR="00466934" w:rsidRPr="00742A04">
        <w:t xml:space="preserve">de prevención </w:t>
      </w:r>
      <w:r w:rsidR="00877AA0" w:rsidRPr="00742A04">
        <w:t>y</w:t>
      </w:r>
      <w:r w:rsidR="00545D1B" w:rsidRPr="00742A04">
        <w:t xml:space="preserve"> </w:t>
      </w:r>
      <w:r w:rsidR="00B31D97" w:rsidRPr="00742A04">
        <w:t>los servicios</w:t>
      </w:r>
      <w:r w:rsidR="00545D1B" w:rsidRPr="00742A04">
        <w:t xml:space="preserve"> </w:t>
      </w:r>
      <w:r w:rsidR="00466934" w:rsidRPr="00742A04">
        <w:t>se arrojará luz sobre las</w:t>
      </w:r>
      <w:r w:rsidR="00545D1B" w:rsidRPr="00742A04">
        <w:t xml:space="preserve"> </w:t>
      </w:r>
      <w:r w:rsidR="00466934" w:rsidRPr="00742A04">
        <w:t>des</w:t>
      </w:r>
      <w:r w:rsidR="00502E16" w:rsidRPr="00742A04">
        <w:t>igualdad</w:t>
      </w:r>
      <w:r w:rsidR="00466934" w:rsidRPr="00742A04">
        <w:t>es no deseables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72AD7" w:rsidRPr="00742A04">
        <w:t>hombres</w:t>
      </w:r>
      <w:r w:rsidR="000A08D8" w:rsidRPr="00742A04">
        <w:t>.</w:t>
      </w:r>
    </w:p>
    <w:p w:rsidR="000A08D8" w:rsidRPr="00742A04" w:rsidRDefault="00CB0DC8" w:rsidP="001633F4">
      <w:pPr>
        <w:pStyle w:val="SingleTxt"/>
        <w:ind w:firstLine="475"/>
      </w:pPr>
      <w:r w:rsidRPr="00742A04">
        <w:t>Hasta la fecha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F05119" w:rsidRPr="00742A04">
        <w:t xml:space="preserve">la </w:t>
      </w:r>
      <w:r w:rsidR="00FA3363" w:rsidRPr="00742A04">
        <w:t>Estrategia para la Salud de las Mujeres</w:t>
      </w:r>
      <w:r w:rsidR="00545D1B" w:rsidRPr="00742A04">
        <w:t xml:space="preserve"> </w:t>
      </w:r>
      <w:r w:rsidRPr="00742A04">
        <w:t>no se han dete</w:t>
      </w:r>
      <w:r w:rsidRPr="00742A04">
        <w:t>r</w:t>
      </w:r>
      <w:r w:rsidRPr="00742A04">
        <w:t xml:space="preserve">minado ni aplicado medidas específicas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funci</w:t>
      </w:r>
      <w:r w:rsidR="00D76655" w:rsidRPr="00742A04">
        <w:t>o</w:t>
      </w:r>
      <w:r w:rsidR="00D76655" w:rsidRPr="00742A04">
        <w:t>nales</w:t>
      </w:r>
      <w:r w:rsidR="00545D1B" w:rsidRPr="00742A04">
        <w:t xml:space="preserve">. </w:t>
      </w:r>
      <w:r w:rsidR="00B82A08" w:rsidRPr="00742A04">
        <w:t>Las personas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Pr="00742A04">
        <w:t>reciben</w:t>
      </w:r>
      <w:r w:rsidR="00545D1B" w:rsidRPr="00742A04">
        <w:t xml:space="preserve"> </w:t>
      </w:r>
      <w:r w:rsidRPr="00742A04">
        <w:t>los</w:t>
      </w:r>
      <w:r w:rsidR="003C25BF" w:rsidRPr="00742A04">
        <w:t xml:space="preserve"> mism</w:t>
      </w:r>
      <w:r w:rsidR="0051344E" w:rsidRPr="00742A04">
        <w:t>os servicios de salud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tienen</w:t>
      </w:r>
      <w:r w:rsidR="00545D1B" w:rsidRPr="00742A04">
        <w:t xml:space="preserve"> </w:t>
      </w:r>
      <w:r w:rsidR="006E0918" w:rsidRPr="00742A04">
        <w:t>el mismo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C1BF5" w:rsidRPr="00742A04">
        <w:t>el sector de la salud</w:t>
      </w:r>
      <w:r w:rsidR="00545D1B" w:rsidRPr="00742A04">
        <w:t xml:space="preserve">, </w:t>
      </w:r>
      <w:r w:rsidR="00877086" w:rsidRPr="00742A04">
        <w:t>independie</w:t>
      </w:r>
      <w:r w:rsidR="00877086" w:rsidRPr="00742A04">
        <w:t>n</w:t>
      </w:r>
      <w:r w:rsidR="00877086" w:rsidRPr="00742A04">
        <w:t>temente</w:t>
      </w:r>
      <w:r w:rsidR="00545D1B" w:rsidRPr="00742A04">
        <w:t xml:space="preserve"> </w:t>
      </w:r>
      <w:r w:rsidR="004A0730" w:rsidRPr="00742A04">
        <w:t>de</w:t>
      </w:r>
      <w:r w:rsidRPr="00742A04">
        <w:t>l</w:t>
      </w:r>
      <w:r w:rsidR="00545D1B" w:rsidRPr="00742A04">
        <w:t xml:space="preserve"> </w:t>
      </w:r>
      <w:r w:rsidR="00A836A1" w:rsidRPr="00742A04">
        <w:t>género</w:t>
      </w:r>
      <w:r w:rsidR="00545D1B" w:rsidRPr="00742A04">
        <w:t xml:space="preserve">. </w:t>
      </w:r>
      <w:r w:rsidRPr="00742A04">
        <w:t>Con arreglo al Programa de Asistencia</w:t>
      </w:r>
      <w:r w:rsidR="00545D1B" w:rsidRPr="00742A04">
        <w:t xml:space="preserve">, </w:t>
      </w:r>
      <w:r w:rsidR="005E603B" w:rsidRPr="00742A04">
        <w:t>el Consejo</w:t>
      </w:r>
      <w:r w:rsidR="001A3EBF" w:rsidRPr="00742A04">
        <w:t xml:space="preserve"> de Investig</w:t>
      </w:r>
      <w:r w:rsidR="001A3EBF" w:rsidRPr="00742A04">
        <w:t>a</w:t>
      </w:r>
      <w:r w:rsidR="001A3EBF" w:rsidRPr="00742A04">
        <w:t>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BB4DB1" w:rsidRPr="00742A04">
        <w:t>es</w:t>
      </w:r>
      <w:r w:rsidRPr="00742A04">
        <w:t>tá</w:t>
      </w:r>
      <w:r w:rsidR="00545D1B" w:rsidRPr="00742A04">
        <w:t xml:space="preserve"> administ</w:t>
      </w:r>
      <w:r w:rsidRPr="00742A04">
        <w:t>rando</w:t>
      </w:r>
      <w:r w:rsidR="00545D1B" w:rsidRPr="00742A04">
        <w:t xml:space="preserve"> </w:t>
      </w:r>
      <w:r w:rsidRPr="00742A04">
        <w:t>una</w:t>
      </w:r>
      <w:r w:rsidR="00545D1B" w:rsidRPr="00742A04">
        <w:t xml:space="preserve"> </w:t>
      </w:r>
      <w:r w:rsidR="0058094F" w:rsidRPr="00742A04">
        <w:t>asignación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50 </w:t>
      </w:r>
      <w:r w:rsidR="008C4612" w:rsidRPr="00742A04">
        <w:t>millones de</w:t>
      </w:r>
      <w:r w:rsidR="005E6919" w:rsidRPr="00742A04">
        <w:t xml:space="preserve"> </w:t>
      </w:r>
      <w:r w:rsidRPr="00742A04">
        <w:t>coronas n</w:t>
      </w:r>
      <w:r w:rsidRPr="00742A04">
        <w:t>o</w:t>
      </w:r>
      <w:r w:rsidRPr="00742A04">
        <w:t>ruegas durante</w:t>
      </w:r>
      <w:r w:rsidR="00545D1B" w:rsidRPr="00742A04">
        <w:t xml:space="preserve"> </w:t>
      </w:r>
      <w:r w:rsidR="0059357E" w:rsidRPr="00742A04">
        <w:t>un período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5364F" w:rsidRPr="00742A04">
        <w:t>cinco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44FDB" w:rsidRPr="00742A04">
        <w:t>investigaci</w:t>
      </w:r>
      <w:r w:rsidRPr="00742A04">
        <w:t>ones sobre la</w:t>
      </w:r>
      <w:r w:rsidR="00545D1B" w:rsidRPr="00742A04">
        <w:t xml:space="preserve"> </w:t>
      </w:r>
      <w:r w:rsidR="00A93B9E" w:rsidRPr="00742A04">
        <w:t>discapacidad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57260" w:rsidRPr="00742A04">
        <w:t>los factores</w:t>
      </w:r>
      <w:r w:rsidR="00545D1B" w:rsidRPr="00742A04">
        <w:t xml:space="preserve"> </w:t>
      </w:r>
      <w:r w:rsidRPr="00742A04">
        <w:t>que</w:t>
      </w:r>
      <w:r w:rsidR="00545D1B" w:rsidRPr="00742A04">
        <w:t xml:space="preserve"> </w:t>
      </w:r>
      <w:r w:rsidR="00C938AE" w:rsidRPr="00742A04">
        <w:t>reduc</w:t>
      </w:r>
      <w:r w:rsidRPr="00742A04">
        <w:t>en la</w:t>
      </w:r>
      <w:r w:rsidR="008C65AF" w:rsidRPr="00742A04">
        <w:t xml:space="preserve"> </w:t>
      </w:r>
      <w:r w:rsidR="009748FA" w:rsidRPr="00742A04">
        <w:t>funci</w:t>
      </w:r>
      <w:r w:rsidR="00545D1B" w:rsidRPr="00742A04">
        <w:t>onal</w:t>
      </w:r>
      <w:r w:rsidR="00502E16" w:rsidRPr="00742A04">
        <w:t>idad</w:t>
      </w:r>
      <w:r w:rsidR="00545D1B" w:rsidRPr="00742A04">
        <w:t>.</w:t>
      </w:r>
      <w:r w:rsidR="001167D2" w:rsidRPr="00742A04">
        <w:t xml:space="preserve"> </w:t>
      </w:r>
      <w:r w:rsidR="009748FA" w:rsidRPr="00742A04">
        <w:t>E</w:t>
      </w:r>
      <w:r w:rsidR="001167D2" w:rsidRPr="00742A04">
        <w:t xml:space="preserve">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7C341F" w:rsidRPr="00742A04">
        <w:t>y Servicios Asi</w:t>
      </w:r>
      <w:r w:rsidR="007C341F" w:rsidRPr="00742A04">
        <w:t>s</w:t>
      </w:r>
      <w:r w:rsidR="007C341F" w:rsidRPr="00742A04">
        <w:t>tenciales</w:t>
      </w:r>
      <w:r w:rsidR="00545D1B" w:rsidRPr="00742A04">
        <w:t xml:space="preserve"> ha</w:t>
      </w:r>
      <w:r w:rsidR="009748FA" w:rsidRPr="00742A04">
        <w:t xml:space="preserve"> pedido a</w:t>
      </w:r>
      <w:r w:rsidR="005E603B" w:rsidRPr="00742A04">
        <w:t>l Consejo</w:t>
      </w:r>
      <w:r w:rsidR="001A3EBF" w:rsidRPr="00742A04">
        <w:t xml:space="preserve"> de Investigaciones</w:t>
      </w:r>
      <w:r w:rsidR="00545D1B" w:rsidRPr="00742A04">
        <w:t xml:space="preserve"> </w:t>
      </w:r>
      <w:r w:rsidR="009748FA" w:rsidRPr="00742A04">
        <w:t>que vele por</w:t>
      </w:r>
      <w:r w:rsidR="00545D1B" w:rsidRPr="00742A04">
        <w:t xml:space="preserve"> </w:t>
      </w:r>
      <w:r w:rsidR="000C68A8" w:rsidRPr="00742A04">
        <w:t xml:space="preserve">que </w:t>
      </w:r>
      <w:r w:rsidR="009748FA" w:rsidRPr="00742A04">
        <w:t>en su investig</w:t>
      </w:r>
      <w:r w:rsidR="009748FA" w:rsidRPr="00742A04">
        <w:t>a</w:t>
      </w:r>
      <w:r w:rsidR="009748FA" w:rsidRPr="00742A04">
        <w:t>ción se t</w:t>
      </w:r>
      <w:r w:rsidR="009748FA" w:rsidRPr="00742A04">
        <w:t>e</w:t>
      </w:r>
      <w:r w:rsidR="009748FA" w:rsidRPr="00742A04">
        <w:t xml:space="preserve">nga en cuenta </w:t>
      </w:r>
      <w:r w:rsidR="000C68A8" w:rsidRPr="00742A04">
        <w:t xml:space="preserve">la </w:t>
      </w:r>
      <w:r w:rsidR="003E5775" w:rsidRPr="00742A04">
        <w:t>perspectiva</w:t>
      </w:r>
      <w:r w:rsidR="00587443" w:rsidRPr="00742A04">
        <w:t xml:space="preserve"> de género</w:t>
      </w:r>
      <w:r w:rsidR="000A08D8" w:rsidRPr="00742A04">
        <w:t>.</w:t>
      </w:r>
    </w:p>
    <w:p w:rsidR="00545D1B" w:rsidRPr="00742A04" w:rsidRDefault="00614C7D" w:rsidP="002C4922">
      <w:pPr>
        <w:pStyle w:val="SingleTxt"/>
        <w:rPr>
          <w:i/>
        </w:rPr>
      </w:pPr>
      <w:r w:rsidRPr="00742A04">
        <w:rPr>
          <w:i/>
        </w:rPr>
        <w:t>Iniciativa</w:t>
      </w:r>
      <w:r w:rsidR="00545D1B" w:rsidRPr="00742A04">
        <w:rPr>
          <w:i/>
        </w:rPr>
        <w:t>s</w:t>
      </w:r>
    </w:p>
    <w:p w:rsidR="00545D1B" w:rsidRPr="00742A04" w:rsidRDefault="004A0730" w:rsidP="001633F4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7C341F" w:rsidRPr="00742A04">
        <w:t>y Servicios Asistenciales</w:t>
      </w:r>
      <w:r w:rsidR="009E2F15" w:rsidRPr="00742A04">
        <w:t xml:space="preserve"> ha</w:t>
      </w:r>
      <w:r w:rsidR="00545D1B" w:rsidRPr="00742A04">
        <w:t xml:space="preserve"> </w:t>
      </w:r>
      <w:r w:rsidR="00C07ED9" w:rsidRPr="00742A04">
        <w:t>inicia</w:t>
      </w:r>
      <w:r w:rsidR="008C65AF" w:rsidRPr="00742A04">
        <w:t>do</w:t>
      </w:r>
      <w:r w:rsidR="00545D1B" w:rsidRPr="00742A04">
        <w:t xml:space="preserve"> </w:t>
      </w:r>
      <w:r w:rsidR="00A5364F" w:rsidRPr="00742A04">
        <w:t>varias medidas</w:t>
      </w:r>
      <w:r w:rsidR="00E575DB" w:rsidRPr="00742A04">
        <w:t xml:space="preserve"> </w:t>
      </w:r>
      <w:r w:rsidR="008C65AF" w:rsidRPr="00742A04">
        <w:t>de</w:t>
      </w:r>
      <w:r w:rsidR="00E575DB" w:rsidRPr="00742A04">
        <w:t xml:space="preserve"> </w:t>
      </w:r>
      <w:r w:rsidR="005E2D7A" w:rsidRPr="00742A04">
        <w:t>seguimiento</w:t>
      </w:r>
      <w:r w:rsidR="00545D1B" w:rsidRPr="00742A04">
        <w:t xml:space="preserve"> </w:t>
      </w:r>
      <w:r w:rsidR="008C65AF" w:rsidRPr="00742A04">
        <w:t xml:space="preserve">de </w:t>
      </w:r>
      <w:r w:rsidR="00F05119" w:rsidRPr="00742A04">
        <w:t xml:space="preserve">la </w:t>
      </w:r>
      <w:r w:rsidR="00FA3363" w:rsidRPr="00742A04">
        <w:t>Estrategia para la Salud de las Mujeres</w:t>
      </w:r>
      <w:r w:rsidR="00545D1B" w:rsidRPr="00742A04">
        <w:t>.</w:t>
      </w:r>
    </w:p>
    <w:p w:rsidR="000A08D8" w:rsidRPr="00742A04" w:rsidRDefault="008C65AF" w:rsidP="001633F4">
      <w:pPr>
        <w:pStyle w:val="SingleTxt"/>
        <w:ind w:firstLine="475"/>
      </w:pPr>
      <w:r w:rsidRPr="00742A04">
        <w:t>Se ha pedido a los hospitales administrados por el Gobierno central</w:t>
      </w:r>
      <w:r w:rsidR="00545D1B" w:rsidRPr="00742A04">
        <w:t xml:space="preserve"> </w:t>
      </w:r>
      <w:r w:rsidRPr="00742A04">
        <w:t>qu</w:t>
      </w:r>
      <w:r w:rsidR="008E38BC" w:rsidRPr="00742A04">
        <w:t xml:space="preserve">e </w:t>
      </w:r>
      <w:r w:rsidR="005E6919" w:rsidRPr="00742A04">
        <w:t>ce</w:t>
      </w:r>
      <w:r w:rsidR="005E6919" w:rsidRPr="00742A04">
        <w:t>n</w:t>
      </w:r>
      <w:r w:rsidR="005E6919" w:rsidRPr="00742A04">
        <w:t>tr</w:t>
      </w:r>
      <w:r w:rsidRPr="00742A04">
        <w:t xml:space="preserve">en la </w:t>
      </w:r>
      <w:r w:rsidR="005E6919" w:rsidRPr="00742A04">
        <w:t>a</w:t>
      </w:r>
      <w:r w:rsidRPr="00742A04">
        <w:t>ten</w:t>
      </w:r>
      <w:r w:rsidR="005E6919" w:rsidRPr="00742A04">
        <w:t>ción en</w:t>
      </w:r>
      <w:r w:rsidR="00545D1B" w:rsidRPr="00742A04">
        <w:t xml:space="preserve"> </w:t>
      </w:r>
      <w:r w:rsidR="00A5364F" w:rsidRPr="00742A04">
        <w:t>asegurar</w:t>
      </w:r>
      <w:r w:rsidR="00545D1B" w:rsidRPr="00742A04">
        <w:t xml:space="preserve"> </w:t>
      </w:r>
      <w:r w:rsidR="000C68A8" w:rsidRPr="00742A04">
        <w:t xml:space="preserve">que la </w:t>
      </w:r>
      <w:r w:rsidR="003E5775" w:rsidRPr="00742A04">
        <w:t>perspectiva</w:t>
      </w:r>
      <w:r w:rsidR="00587443" w:rsidRPr="00742A04">
        <w:t xml:space="preserve"> de género</w:t>
      </w:r>
      <w:r w:rsidR="00545D1B" w:rsidRPr="00742A04">
        <w:t xml:space="preserve"> </w:t>
      </w:r>
      <w:r w:rsidRPr="00742A04">
        <w:t>sea</w:t>
      </w:r>
      <w:r w:rsidR="00545D1B" w:rsidRPr="00742A04">
        <w:t xml:space="preserve"> </w:t>
      </w:r>
      <w:r w:rsidR="00373AA0" w:rsidRPr="00742A04">
        <w:t>ten</w:t>
      </w:r>
      <w:r w:rsidRPr="00742A04">
        <w:t>ida</w:t>
      </w:r>
      <w:r w:rsidR="00373AA0" w:rsidRPr="00742A04">
        <w:t xml:space="preserve"> en cuenta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1344E" w:rsidRPr="00742A04">
        <w:t>los servicios de salud</w:t>
      </w:r>
      <w:r w:rsidR="00545D1B" w:rsidRPr="00742A04">
        <w:t xml:space="preserve"> </w:t>
      </w:r>
      <w:r w:rsidR="00024DBC" w:rsidRPr="00742A04">
        <w:t>y que</w:t>
      </w:r>
      <w:r w:rsidR="00545D1B" w:rsidRPr="00742A04">
        <w:t xml:space="preserve"> </w:t>
      </w:r>
      <w:r w:rsidRPr="00742A04">
        <w:t>dediquen conocimientos y recursos ad</w:t>
      </w:r>
      <w:r w:rsidRPr="00742A04">
        <w:t>e</w:t>
      </w:r>
      <w:r w:rsidRPr="00742A04">
        <w:t xml:space="preserve">cuados para hacer frente a </w:t>
      </w:r>
      <w:r w:rsidR="00502E16" w:rsidRPr="00742A04">
        <w:t>los desafíos</w:t>
      </w:r>
      <w:r w:rsidR="00545D1B" w:rsidRPr="00742A04">
        <w:t xml:space="preserve"> </w:t>
      </w:r>
      <w:r w:rsidRPr="00742A04">
        <w:t xml:space="preserve">especiales </w:t>
      </w:r>
      <w:r w:rsidR="00894371" w:rsidRPr="00742A04">
        <w:t>relacionados</w:t>
      </w:r>
      <w:r w:rsidR="00154FBB" w:rsidRPr="00742A04">
        <w:t xml:space="preserve"> con</w:t>
      </w:r>
      <w:r w:rsidRPr="00742A04">
        <w:t xml:space="preserve"> la</w:t>
      </w:r>
      <w:r w:rsidR="00545D1B" w:rsidRPr="00742A04">
        <w:t xml:space="preserve"> </w:t>
      </w:r>
      <w:r w:rsidRPr="00742A04">
        <w:t xml:space="preserve">salud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6F2" w:rsidRPr="00742A04">
        <w:t xml:space="preserve">de los </w:t>
      </w:r>
      <w:r w:rsidR="007E0DFE" w:rsidRPr="00742A04">
        <w:t>hombres</w:t>
      </w:r>
      <w:r w:rsidR="00545D1B" w:rsidRPr="00742A04">
        <w:t>.</w:t>
      </w:r>
      <w:r w:rsidR="001167D2" w:rsidRPr="00742A04">
        <w:t xml:space="preserve"> </w:t>
      </w:r>
      <w:r w:rsidRPr="00742A04">
        <w:t>E</w:t>
      </w:r>
      <w:r w:rsidR="001167D2" w:rsidRPr="00742A04">
        <w:t xml:space="preserve">l </w:t>
      </w:r>
      <w:r w:rsidR="004A0730" w:rsidRPr="00742A04">
        <w:t>Ministerio</w:t>
      </w:r>
      <w:r w:rsidR="00545D1B" w:rsidRPr="00742A04">
        <w:t xml:space="preserve"> ha</w:t>
      </w:r>
      <w:r w:rsidRPr="00742A04">
        <w:t xml:space="preserve"> instado a</w:t>
      </w:r>
      <w:r w:rsidR="00545D1B" w:rsidRPr="00742A04">
        <w:t xml:space="preserve"> </w:t>
      </w:r>
      <w:r w:rsidRPr="00742A04">
        <w:t>los hospitales administrados por el Gobierno central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a</w:t>
      </w:r>
      <w:r w:rsidR="005E603B" w:rsidRPr="00742A04">
        <w:t>l Consejo</w:t>
      </w:r>
      <w:r w:rsidR="001A3EBF" w:rsidRPr="00742A04">
        <w:t xml:space="preserve"> de Investigaciones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A26AB" w:rsidRPr="00742A04">
        <w:t>Noruega</w:t>
      </w:r>
      <w:r w:rsidR="001E30D6" w:rsidRPr="00742A04">
        <w:t xml:space="preserve"> </w:t>
      </w:r>
      <w:r w:rsidRPr="00742A04">
        <w:t>a que</w:t>
      </w:r>
      <w:r w:rsidR="001E30D6" w:rsidRPr="00742A04">
        <w:t xml:space="preserve"> </w:t>
      </w:r>
      <w:r w:rsidR="005E6919" w:rsidRPr="00742A04">
        <w:t>centr</w:t>
      </w:r>
      <w:r w:rsidRPr="00742A04">
        <w:t>en l</w:t>
      </w:r>
      <w:r w:rsidR="005E6919" w:rsidRPr="00742A04">
        <w:t>a</w:t>
      </w:r>
      <w:r w:rsidRPr="00742A04">
        <w:t xml:space="preserve"> atenci</w:t>
      </w:r>
      <w:r w:rsidR="005E6919" w:rsidRPr="00742A04">
        <w:t>ón en</w:t>
      </w:r>
      <w:r w:rsidR="00545D1B" w:rsidRPr="00742A04">
        <w:t xml:space="preserve"> </w:t>
      </w:r>
      <w:r w:rsidR="003E5775" w:rsidRPr="00742A04">
        <w:t>la perspectiva</w:t>
      </w:r>
      <w:r w:rsidR="00587443" w:rsidRPr="00742A04">
        <w:t xml:space="preserve">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en la elevación</w:t>
      </w:r>
      <w:r w:rsidR="00545D1B" w:rsidRPr="00742A04">
        <w:t xml:space="preserve"> </w:t>
      </w:r>
      <w:r w:rsidRPr="00742A04">
        <w:t>d</w:t>
      </w:r>
      <w:r w:rsidR="00B31D97" w:rsidRPr="00742A04">
        <w:t>el nivel de conciencia</w:t>
      </w:r>
      <w:r w:rsidR="00545D1B" w:rsidRPr="00742A04">
        <w:t xml:space="preserve"> </w:t>
      </w:r>
      <w:r w:rsidRPr="00742A04">
        <w:t xml:space="preserve">acerca </w:t>
      </w:r>
      <w:r w:rsidR="004A0730" w:rsidRPr="00742A04">
        <w:t>de</w:t>
      </w:r>
      <w:r w:rsidRPr="00742A04">
        <w:t xml:space="preserve"> las</w:t>
      </w:r>
      <w:r w:rsidR="00545D1B" w:rsidRPr="00742A04">
        <w:t xml:space="preserve"> </w:t>
      </w:r>
      <w:r w:rsidR="00537384" w:rsidRPr="00742A04">
        <w:t>diferencias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44FDB" w:rsidRPr="00742A04">
        <w:t>la investigación</w:t>
      </w:r>
      <w:r w:rsidR="00545D1B" w:rsidRPr="00742A04">
        <w:t xml:space="preserve"> </w:t>
      </w:r>
      <w:r w:rsidRPr="00742A04">
        <w:t xml:space="preserve">clínica </w:t>
      </w:r>
      <w:r w:rsidR="00877AA0" w:rsidRPr="00742A04">
        <w:t>y</w:t>
      </w:r>
      <w:r w:rsidR="00545D1B" w:rsidRPr="00742A04">
        <w:t xml:space="preserve"> </w:t>
      </w:r>
      <w:r w:rsidRPr="00742A04">
        <w:t>esas</w:t>
      </w:r>
      <w:r w:rsidR="00545D1B" w:rsidRPr="00742A04">
        <w:t xml:space="preserve"> </w:t>
      </w:r>
      <w:r w:rsidR="002E5047" w:rsidRPr="00742A04">
        <w:t>cuestiones</w:t>
      </w:r>
      <w:r w:rsidR="00545D1B" w:rsidRPr="00742A04">
        <w:t xml:space="preserve"> </w:t>
      </w:r>
      <w:r w:rsidR="008E38BC" w:rsidRPr="00742A04">
        <w:t>se han</w:t>
      </w:r>
      <w:r w:rsidR="00545D1B" w:rsidRPr="00742A04">
        <w:t xml:space="preserve"> i</w:t>
      </w:r>
      <w:r w:rsidR="00545D1B" w:rsidRPr="00742A04">
        <w:t>n</w:t>
      </w:r>
      <w:r w:rsidR="00545D1B" w:rsidRPr="00742A04">
        <w:t>corpora</w:t>
      </w:r>
      <w:r w:rsidRPr="00742A04">
        <w:t xml:space="preserve">do a los </w:t>
      </w:r>
      <w:r w:rsidR="005E3A56" w:rsidRPr="00742A04">
        <w:t>nuevos</w:t>
      </w:r>
      <w:r w:rsidR="00545D1B" w:rsidRPr="00742A04">
        <w:t xml:space="preserve"> </w:t>
      </w:r>
      <w:r w:rsidR="00242371" w:rsidRPr="00742A04">
        <w:t>planes</w:t>
      </w:r>
      <w:r w:rsidR="005E3A56" w:rsidRPr="00742A04">
        <w:t xml:space="preserve"> programáticos del Consejo</w:t>
      </w:r>
      <w:r w:rsidR="000A08D8" w:rsidRPr="00742A04">
        <w:t>.</w:t>
      </w:r>
    </w:p>
    <w:p w:rsidR="00545D1B" w:rsidRPr="00742A04" w:rsidRDefault="009E2F15" w:rsidP="001633F4">
      <w:pPr>
        <w:pStyle w:val="SingleTxt"/>
        <w:ind w:firstLine="475"/>
      </w:pPr>
      <w:r w:rsidRPr="00742A04">
        <w:t>En 2005 se presentó el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preven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el </w:t>
      </w:r>
      <w:r w:rsidR="00B31D97" w:rsidRPr="00742A04">
        <w:t>tratamiento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 xml:space="preserve">las </w:t>
      </w:r>
      <w:r w:rsidR="00545D1B" w:rsidRPr="00742A04">
        <w:t>fractu</w:t>
      </w:r>
      <w:r w:rsidRPr="00742A04">
        <w:t>ras osteoporósicas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se elaborarán </w:t>
      </w:r>
      <w:r w:rsidR="008A25D7" w:rsidRPr="00742A04">
        <w:t>directrices</w:t>
      </w:r>
      <w:r w:rsidR="00545D1B" w:rsidRPr="00742A04">
        <w:t xml:space="preserve"> </w:t>
      </w:r>
      <w:r w:rsidRPr="00742A04">
        <w:t>al respecto</w:t>
      </w:r>
      <w:r w:rsidR="00C27C42" w:rsidRPr="00742A04">
        <w:t>.</w:t>
      </w:r>
      <w:r w:rsidR="00545D1B" w:rsidRPr="00742A04">
        <w:t xml:space="preserve"> </w:t>
      </w:r>
      <w:r w:rsidRPr="00742A04">
        <w:t>Los hospit</w:t>
      </w:r>
      <w:r w:rsidRPr="00742A04">
        <w:t>a</w:t>
      </w:r>
      <w:r w:rsidRPr="00742A04">
        <w:t xml:space="preserve">les regionales </w:t>
      </w:r>
      <w:r w:rsidR="00894371">
        <w:t>administrados por el Gobierno</w:t>
      </w:r>
      <w:r w:rsidR="00545D1B" w:rsidRPr="00742A04">
        <w:t xml:space="preserve"> central </w:t>
      </w:r>
      <w:r w:rsidR="00877AA0" w:rsidRPr="00742A04">
        <w:t>y</w:t>
      </w:r>
      <w:r w:rsidR="00545D1B" w:rsidRPr="00742A04">
        <w:t xml:space="preserve"> </w:t>
      </w:r>
      <w:r w:rsidRPr="00742A04">
        <w:t>l</w:t>
      </w:r>
      <w:r w:rsidR="005D2D07" w:rsidRPr="00742A04">
        <w:t>a Dirección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76976" w:rsidRPr="00742A04">
        <w:t>Servi</w:t>
      </w:r>
      <w:r w:rsidRPr="00742A04">
        <w:t>cios S</w:t>
      </w:r>
      <w:r w:rsidR="00176976" w:rsidRPr="00742A04">
        <w:t>o</w:t>
      </w:r>
      <w:r w:rsidR="00176976" w:rsidRPr="00742A04">
        <w:t>cia</w:t>
      </w:r>
      <w:r w:rsidRPr="00742A04">
        <w:t>les y de S</w:t>
      </w:r>
      <w:r w:rsidR="00176976" w:rsidRPr="00742A04">
        <w:t>alud</w:t>
      </w:r>
      <w:r w:rsidR="00545D1B" w:rsidRPr="00742A04">
        <w:t xml:space="preserve"> ha</w:t>
      </w:r>
      <w:r w:rsidRPr="00742A04">
        <w:t>n examinado la</w:t>
      </w:r>
      <w:r w:rsidR="00545D1B" w:rsidRPr="00742A04">
        <w:t xml:space="preserve"> </w:t>
      </w:r>
      <w:r w:rsidR="008F0C8E" w:rsidRPr="00742A04">
        <w:t>organiza</w:t>
      </w:r>
      <w:r w:rsidR="00C14BFF" w:rsidRPr="00742A04">
        <w:t>ción</w:t>
      </w:r>
      <w:r w:rsidR="00FD7D4E" w:rsidRPr="00742A04">
        <w:t xml:space="preserve"> de </w:t>
      </w:r>
      <w:r w:rsidR="002C189D" w:rsidRPr="00742A04">
        <w:t>un</w:t>
      </w:r>
      <w:r w:rsidR="00311327" w:rsidRPr="00742A04">
        <w:t>a encuesta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C189D" w:rsidRPr="00742A04">
        <w:t xml:space="preserve">el </w:t>
      </w:r>
      <w:r w:rsidR="00B31D97" w:rsidRPr="00742A04">
        <w:t>tratamiento</w:t>
      </w:r>
      <w:r w:rsidR="00545D1B" w:rsidRPr="00742A04">
        <w:t xml:space="preserve"> </w:t>
      </w:r>
      <w:r w:rsidR="004A0730" w:rsidRPr="00742A04">
        <w:t>de</w:t>
      </w:r>
      <w:r w:rsidR="002C189D" w:rsidRPr="00742A04">
        <w:t>l</w:t>
      </w:r>
      <w:r w:rsidR="00545D1B" w:rsidRPr="00742A04">
        <w:t xml:space="preserve"> </w:t>
      </w:r>
      <w:r w:rsidR="002C189D" w:rsidRPr="00742A04">
        <w:t>cáncer de mama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2C189D" w:rsidRPr="00742A04">
        <w:t>el</w:t>
      </w:r>
      <w:r w:rsidR="00545D1B" w:rsidRPr="00742A04">
        <w:t xml:space="preserve"> </w:t>
      </w:r>
      <w:r w:rsidR="008A0C75" w:rsidRPr="00742A04">
        <w:t>seguimiento</w:t>
      </w:r>
      <w:r w:rsidR="00545D1B" w:rsidRPr="00742A04">
        <w:t xml:space="preserve"> </w:t>
      </w:r>
      <w:r w:rsidR="002C189D" w:rsidRPr="00742A04">
        <w:t>del</w:t>
      </w:r>
      <w:r w:rsidR="00545D1B" w:rsidRPr="00742A04">
        <w:t xml:space="preserve"> </w:t>
      </w:r>
      <w:r w:rsidR="002C189D" w:rsidRPr="00742A04">
        <w:t>plan ordinario de medicina general</w:t>
      </w:r>
      <w:r w:rsidR="00545D1B" w:rsidRPr="00742A04">
        <w:t xml:space="preserve">, </w:t>
      </w:r>
      <w:r w:rsidR="002C189D" w:rsidRPr="00742A04">
        <w:t>se ha pedido a la Autoridad d</w:t>
      </w:r>
      <w:r w:rsidR="00326185" w:rsidRPr="00742A04">
        <w:t>el Sistema Nacional de Seguridad Social</w:t>
      </w:r>
      <w:r w:rsidR="00545D1B" w:rsidRPr="00742A04">
        <w:t xml:space="preserve"> </w:t>
      </w:r>
      <w:r w:rsidR="002C189D" w:rsidRPr="00742A04">
        <w:t>que incluya</w:t>
      </w:r>
      <w:r w:rsidR="00545D1B" w:rsidRPr="00742A04">
        <w:t xml:space="preserve"> </w:t>
      </w:r>
      <w:r w:rsidR="002C189D" w:rsidRPr="00742A04">
        <w:t xml:space="preserve">variables de género </w:t>
      </w:r>
      <w:r w:rsidR="00C14BFF" w:rsidRPr="00742A04">
        <w:t>en</w:t>
      </w:r>
      <w:r w:rsidR="00545D1B" w:rsidRPr="00742A04">
        <w:t xml:space="preserve"> </w:t>
      </w:r>
      <w:r w:rsidR="004A0730" w:rsidRPr="00742A04">
        <w:t>su</w:t>
      </w:r>
      <w:r w:rsidR="002C189D" w:rsidRPr="00742A04">
        <w:t>s</w:t>
      </w:r>
      <w:r w:rsidR="00545D1B" w:rsidRPr="00742A04">
        <w:t xml:space="preserve"> </w:t>
      </w:r>
      <w:r w:rsidR="0067405D" w:rsidRPr="00742A04">
        <w:t>estadísticas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, </w:t>
      </w:r>
      <w:r w:rsidR="002C189D" w:rsidRPr="00742A04">
        <w:t>con arreglo a</w:t>
      </w:r>
      <w:r w:rsidR="00545D1B" w:rsidRPr="00742A04">
        <w:t xml:space="preserve"> </w:t>
      </w:r>
      <w:r w:rsidR="005E603B" w:rsidRPr="00742A04">
        <w:t>las dire</w:t>
      </w:r>
      <w:r w:rsidR="005E603B" w:rsidRPr="00742A04">
        <w:t>c</w:t>
      </w:r>
      <w:r w:rsidR="005E603B" w:rsidRPr="00742A04">
        <w:t>trices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7D36C8" w:rsidRPr="00742A04">
        <w:t xml:space="preserve">la </w:t>
      </w:r>
      <w:r w:rsidR="002C189D" w:rsidRPr="00742A04">
        <w:t xml:space="preserve">evaluación basada en la </w:t>
      </w:r>
      <w:r w:rsidR="00844FDB" w:rsidRPr="00742A04">
        <w:t>investigación</w:t>
      </w:r>
      <w:r w:rsidR="00935A90" w:rsidRPr="00742A04">
        <w:t>,</w:t>
      </w:r>
      <w:r w:rsidR="00545D1B" w:rsidRPr="00742A04">
        <w:t xml:space="preserve"> </w:t>
      </w:r>
      <w:r w:rsidR="005E603B" w:rsidRPr="00742A04">
        <w:t>el Consejo</w:t>
      </w:r>
      <w:r w:rsidR="001A3EBF" w:rsidRPr="00742A04">
        <w:t xml:space="preserve"> de Investigaciones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2C189D" w:rsidRPr="00742A04">
        <w:t>debe incorporar</w:t>
      </w:r>
      <w:r w:rsidR="001E30D6" w:rsidRPr="00742A04">
        <w:t xml:space="preserve"> una </w:t>
      </w:r>
      <w:r w:rsidR="003E5775" w:rsidRPr="00742A04">
        <w:t>perspectiva</w:t>
      </w:r>
      <w:r w:rsidR="0058744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C189D" w:rsidRPr="00742A04">
        <w:t xml:space="preserve">el </w:t>
      </w:r>
      <w:r w:rsidR="0067405D" w:rsidRPr="00742A04">
        <w:t>análisis</w:t>
      </w:r>
      <w:r w:rsidR="00545D1B" w:rsidRPr="00742A04">
        <w:t xml:space="preserve"> </w:t>
      </w:r>
      <w:r w:rsidR="002C189D" w:rsidRPr="00742A04">
        <w:t>del plan ordin</w:t>
      </w:r>
      <w:r w:rsidR="002C189D" w:rsidRPr="00742A04">
        <w:t>a</w:t>
      </w:r>
      <w:r w:rsidR="002C189D" w:rsidRPr="00742A04">
        <w:t>rio de medicina general</w:t>
      </w:r>
      <w:r w:rsidR="00545D1B" w:rsidRPr="00742A04">
        <w:t xml:space="preserve"> </w:t>
      </w:r>
      <w:r w:rsidR="002C189D" w:rsidRPr="00742A04">
        <w:t>en todos los a</w:t>
      </w:r>
      <w:r w:rsidR="002C189D" w:rsidRPr="00742A04">
        <w:t>s</w:t>
      </w:r>
      <w:r w:rsidR="002C189D" w:rsidRPr="00742A04">
        <w:t>pectos en que sea</w:t>
      </w:r>
      <w:r w:rsidR="00545D1B" w:rsidRPr="00742A04">
        <w:t xml:space="preserve"> </w:t>
      </w:r>
      <w:r w:rsidR="00C27C42" w:rsidRPr="00742A04">
        <w:t>posible</w:t>
      </w:r>
      <w:r w:rsidR="00545D1B" w:rsidRPr="00742A04">
        <w:t>.</w:t>
      </w:r>
    </w:p>
    <w:p w:rsidR="00545D1B" w:rsidRPr="00742A04" w:rsidRDefault="00912890" w:rsidP="001633F4">
      <w:pPr>
        <w:pStyle w:val="SingleTxt"/>
        <w:ind w:firstLine="475"/>
      </w:pPr>
      <w:r w:rsidRPr="00742A04">
        <w:t>El Centro</w:t>
      </w:r>
      <w:r w:rsidR="00CB2022" w:rsidRPr="00742A04">
        <w:t xml:space="preserve"> de Investigaciones sobre la Salud de las Minorías de Noruega</w:t>
      </w:r>
      <w:r w:rsidR="00545D1B" w:rsidRPr="00742A04">
        <w:t xml:space="preserve"> (NAKMI) </w:t>
      </w:r>
      <w:r w:rsidR="002C189D" w:rsidRPr="00742A04">
        <w:t>del Hospital de la Universidad de Ullevål</w:t>
      </w:r>
      <w:r w:rsidR="00545D1B" w:rsidRPr="00742A04">
        <w:t xml:space="preserve"> </w:t>
      </w:r>
      <w:r w:rsidR="002C189D" w:rsidRPr="00742A04">
        <w:t>está trabajando</w:t>
      </w:r>
      <w:r w:rsidR="00545D1B" w:rsidRPr="00742A04">
        <w:t xml:space="preserve"> </w:t>
      </w:r>
      <w:r w:rsidR="002C189D" w:rsidRPr="00742A04">
        <w:t xml:space="preserve">en cuestiones relacionadas con la </w:t>
      </w:r>
      <w:r w:rsidR="00587443" w:rsidRPr="00742A04">
        <w:t>comun</w:t>
      </w:r>
      <w:r w:rsidR="00545D1B" w:rsidRPr="00742A04">
        <w:t>i</w:t>
      </w:r>
      <w:r w:rsidR="00545D1B" w:rsidRPr="00742A04">
        <w:t>ca</w:t>
      </w:r>
      <w:r w:rsidR="00C27C42" w:rsidRPr="00742A04">
        <w:t>ci</w:t>
      </w:r>
      <w:r w:rsidR="00C14BFF" w:rsidRPr="00742A04">
        <w:t>ón</w:t>
      </w:r>
      <w:r w:rsidR="002C189D" w:rsidRPr="00742A04">
        <w:t xml:space="preserve"> multidisciplinaria y transdisciplinaria y trans-cultural</w:t>
      </w:r>
      <w:r w:rsidR="00C27C42" w:rsidRPr="00742A04">
        <w:t>.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F32FC" w:rsidRPr="00742A04">
        <w:t xml:space="preserve">los </w:t>
      </w:r>
      <w:r w:rsidR="00AE7B93" w:rsidRPr="00742A04">
        <w:t>importante</w:t>
      </w:r>
      <w:r w:rsidR="008F32FC" w:rsidRPr="00742A04">
        <w:t>s</w:t>
      </w:r>
      <w:r w:rsidR="00545D1B" w:rsidRPr="00742A04">
        <w:t xml:space="preserve"> </w:t>
      </w:r>
      <w:r w:rsidR="001B4F21" w:rsidRPr="00742A04">
        <w:t>cometidos</w:t>
      </w:r>
      <w:r w:rsidR="00545D1B" w:rsidRPr="00742A04">
        <w:t xml:space="preserve"> </w:t>
      </w:r>
      <w:r w:rsidR="008F32FC" w:rsidRPr="00742A04">
        <w:t>del Centro NAKMI consiste en</w:t>
      </w:r>
      <w:r w:rsidR="00545D1B" w:rsidRPr="00742A04">
        <w:t xml:space="preserve"> </w:t>
      </w:r>
      <w:r w:rsidR="006137EC" w:rsidRPr="00742A04">
        <w:t>fortal</w:t>
      </w:r>
      <w:r w:rsidR="006137EC" w:rsidRPr="00742A04">
        <w:t>e</w:t>
      </w:r>
      <w:r w:rsidR="006137EC" w:rsidRPr="00742A04">
        <w:t>cer</w:t>
      </w:r>
      <w:r w:rsidR="008F32FC" w:rsidRPr="00742A04">
        <w:t xml:space="preserve"> la</w:t>
      </w:r>
      <w:r w:rsidR="00545D1B" w:rsidRPr="00742A04">
        <w:t xml:space="preserve"> </w:t>
      </w:r>
      <w:r w:rsidR="00F43124" w:rsidRPr="00742A04">
        <w:t>capacitación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F32FC" w:rsidRPr="00742A04">
        <w:t xml:space="preserve">la </w:t>
      </w:r>
      <w:r w:rsidR="00581775" w:rsidRPr="00742A04">
        <w:t>orientación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356CA" w:rsidRPr="00742A04">
        <w:t>el personal de la salud</w:t>
      </w:r>
      <w:r w:rsidR="00545D1B" w:rsidRPr="00742A04">
        <w:t xml:space="preserve"> </w:t>
      </w:r>
      <w:r w:rsidR="000F0ACC" w:rsidRPr="00742A04">
        <w:t>a fin de</w:t>
      </w:r>
      <w:r w:rsidR="00545D1B" w:rsidRPr="00742A04">
        <w:t xml:space="preserve"> </w:t>
      </w:r>
      <w:r w:rsidR="008F32FC" w:rsidRPr="00742A04">
        <w:t>ponerlo en condiciones de prestar</w:t>
      </w:r>
      <w:r w:rsidR="00545D1B" w:rsidRPr="00742A04">
        <w:t xml:space="preserve"> </w:t>
      </w:r>
      <w:r w:rsidR="009D1A12" w:rsidRPr="00742A04">
        <w:t>mejor</w:t>
      </w:r>
      <w:r w:rsidR="008F32FC" w:rsidRPr="00742A04">
        <w:t>es</w:t>
      </w:r>
      <w:r w:rsidR="0051344E" w:rsidRPr="00742A04">
        <w:t xml:space="preserve"> servicios de salud</w:t>
      </w:r>
      <w:r w:rsidR="00545D1B" w:rsidRPr="00742A04">
        <w:t xml:space="preserve"> </w:t>
      </w:r>
      <w:r w:rsidR="00F43124" w:rsidRPr="00742A04">
        <w:t>para</w:t>
      </w:r>
      <w:r w:rsidR="008F32FC" w:rsidRPr="00742A04">
        <w:t xml:space="preserve">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8F32FC" w:rsidRPr="00742A04">
        <w:t>las minorías étnicas</w:t>
      </w:r>
      <w:r w:rsidR="00545D1B" w:rsidRPr="00742A04">
        <w:t xml:space="preserve">. </w:t>
      </w:r>
      <w:r w:rsidR="008F32FC" w:rsidRPr="00742A04">
        <w:t>En 2004 se estableció, también en el Hospital de la Universidad de Ullevål, el</w:t>
      </w:r>
      <w:r w:rsidR="00545D1B" w:rsidRPr="00742A04">
        <w:t xml:space="preserve"> </w:t>
      </w:r>
      <w:r w:rsidR="008F32FC" w:rsidRPr="00742A04">
        <w:t>Centro de Recursos Especiales para Estudios sobre la Violencia y el Estrés Tra</w:t>
      </w:r>
      <w:r w:rsidR="008F32FC" w:rsidRPr="00742A04">
        <w:t>u</w:t>
      </w:r>
      <w:r w:rsidR="008F32FC" w:rsidRPr="00742A04">
        <w:t>mático</w:t>
      </w:r>
      <w:r w:rsidR="00545D1B" w:rsidRPr="00742A04">
        <w:t xml:space="preserve"> </w:t>
      </w:r>
      <w:r w:rsidR="008F32FC" w:rsidRPr="00742A04">
        <w:t xml:space="preserve">de Noruega </w:t>
      </w:r>
      <w:r w:rsidR="00545D1B" w:rsidRPr="00742A04">
        <w:t>(</w:t>
      </w:r>
      <w:r w:rsidR="007C341F" w:rsidRPr="00742A04">
        <w:t>NKVTS</w:t>
      </w:r>
      <w:r w:rsidR="00545D1B" w:rsidRPr="00742A04">
        <w:t xml:space="preserve">). </w:t>
      </w:r>
      <w:r w:rsidR="008F32FC" w:rsidRPr="00742A04">
        <w:t>Entre sus</w:t>
      </w:r>
      <w:r w:rsidR="00545D1B" w:rsidRPr="00742A04">
        <w:t xml:space="preserve"> </w:t>
      </w:r>
      <w:r w:rsidR="001B4F21" w:rsidRPr="00742A04">
        <w:t>cometidos</w:t>
      </w:r>
      <w:r w:rsidR="00545D1B" w:rsidRPr="00742A04">
        <w:t xml:space="preserve"> </w:t>
      </w:r>
      <w:r w:rsidR="008F32FC" w:rsidRPr="00742A04">
        <w:t>figura el</w:t>
      </w:r>
      <w:r w:rsidR="002232C2" w:rsidRPr="00742A04">
        <w:t xml:space="preserve"> trabaj</w:t>
      </w:r>
      <w:r w:rsidR="008F32FC" w:rsidRPr="00742A04">
        <w:t>o encaminado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 w:rsidR="008F32FC" w:rsidRPr="00742A04">
        <w:t xml:space="preserve">la </w:t>
      </w:r>
      <w:r w:rsidR="00A05847" w:rsidRPr="00742A04">
        <w:t>violencia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F32FC" w:rsidRPr="00742A04">
        <w:t xml:space="preserve">el </w:t>
      </w:r>
      <w:r w:rsidR="00B86412" w:rsidRPr="00742A04">
        <w:t>abuso</w:t>
      </w:r>
      <w:r w:rsidR="00545D1B" w:rsidRPr="00742A04">
        <w:t xml:space="preserve"> </w:t>
      </w:r>
      <w:r w:rsidR="008F32FC" w:rsidRPr="00742A04">
        <w:t xml:space="preserve">sexual </w:t>
      </w:r>
      <w:r w:rsidR="004D313C" w:rsidRPr="00742A04">
        <w:t>de las mujeres</w:t>
      </w:r>
      <w:r w:rsidR="00545D1B" w:rsidRPr="00742A04">
        <w:t xml:space="preserve">, </w:t>
      </w:r>
      <w:r w:rsidR="008F32FC" w:rsidRPr="00742A04">
        <w:t>así como</w:t>
      </w:r>
      <w:r w:rsidR="00545D1B" w:rsidRPr="00742A04">
        <w:t xml:space="preserve"> </w:t>
      </w:r>
      <w:r w:rsidR="008F32FC" w:rsidRPr="00742A04">
        <w:t xml:space="preserve">a </w:t>
      </w:r>
      <w:r w:rsidR="00A8633B" w:rsidRPr="00742A04">
        <w:t>asegurar que</w:t>
      </w:r>
      <w:r w:rsidR="00545D1B" w:rsidRPr="00742A04">
        <w:t xml:space="preserve"> </w:t>
      </w:r>
      <w:r w:rsidR="008F32FC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8E38BC" w:rsidRPr="00742A04">
        <w:t>ha</w:t>
      </w:r>
      <w:r w:rsidR="008F32FC" w:rsidRPr="00742A04">
        <w:t>ya</w:t>
      </w:r>
      <w:r w:rsidR="008E38BC" w:rsidRPr="00742A04">
        <w:t>n</w:t>
      </w:r>
      <w:r w:rsidR="00545D1B" w:rsidRPr="00742A04">
        <w:t xml:space="preserve"> </w:t>
      </w:r>
      <w:r w:rsidR="008F32FC" w:rsidRPr="00742A04">
        <w:t>sido</w:t>
      </w:r>
      <w:r w:rsidR="00AE655D" w:rsidRPr="00742A04">
        <w:t xml:space="preserve"> 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6412" w:rsidRPr="00742A04">
        <w:t>abuso</w:t>
      </w:r>
      <w:r w:rsidR="00545D1B" w:rsidRPr="00742A04">
        <w:t xml:space="preserve"> rec</w:t>
      </w:r>
      <w:r w:rsidR="008F32FC" w:rsidRPr="00742A04">
        <w:t>iban una</w:t>
      </w:r>
      <w:r w:rsidR="00545D1B" w:rsidRPr="00742A04">
        <w:t xml:space="preserve"> </w:t>
      </w:r>
      <w:r w:rsidR="008F32FC" w:rsidRPr="00742A04">
        <w:t>buena</w:t>
      </w:r>
      <w:r w:rsidR="00545D1B" w:rsidRPr="00742A04">
        <w:t xml:space="preserve"> </w:t>
      </w:r>
      <w:r w:rsidR="00502E16" w:rsidRPr="00742A04">
        <w:t>asiste</w:t>
      </w:r>
      <w:r w:rsidR="00502E16" w:rsidRPr="00742A04">
        <w:t>n</w:t>
      </w:r>
      <w:r w:rsidR="00502E16" w:rsidRPr="00742A04">
        <w:t>cia</w:t>
      </w:r>
      <w:r w:rsidR="00545D1B" w:rsidRPr="00742A04">
        <w:t>.</w:t>
      </w:r>
    </w:p>
    <w:p w:rsidR="000A08D8" w:rsidRPr="00742A04" w:rsidRDefault="00894371" w:rsidP="001633F4">
      <w:pPr>
        <w:pStyle w:val="SingleTxt"/>
        <w:ind w:firstLine="475"/>
      </w:pPr>
      <w:r w:rsidRPr="00742A04">
        <w:t>El Ministerio se propone centrar la atención en el desarrollo del conocimiento relativo a la incidencia, los factores de riesgo, el progreso y el tratamiento de</w:t>
      </w:r>
      <w:r>
        <w:t>l</w:t>
      </w:r>
      <w:r w:rsidRPr="00742A04">
        <w:t xml:space="preserve"> sí</w:t>
      </w:r>
      <w:r w:rsidRPr="00742A04">
        <w:t>n</w:t>
      </w:r>
      <w:r w:rsidRPr="00742A04">
        <w:t xml:space="preserve">drome </w:t>
      </w:r>
      <w:r>
        <w:t xml:space="preserve">de </w:t>
      </w:r>
      <w:r w:rsidRPr="00742A04">
        <w:t xml:space="preserve">fibromialgia. </w:t>
      </w:r>
      <w:r w:rsidR="00F9344D" w:rsidRPr="00742A04">
        <w:t>Se</w:t>
      </w:r>
      <w:r w:rsidR="005E6919" w:rsidRPr="00742A04">
        <w:t xml:space="preserve"> centra</w:t>
      </w:r>
      <w:r w:rsidR="00F9344D" w:rsidRPr="00742A04">
        <w:t xml:space="preserve"> la aten</w:t>
      </w:r>
      <w:r w:rsidR="005E6919" w:rsidRPr="00742A04">
        <w:t>ción en</w:t>
      </w:r>
      <w:r w:rsidR="00545D1B" w:rsidRPr="00742A04">
        <w:t xml:space="preserve"> </w:t>
      </w:r>
      <w:r w:rsidR="003E5775" w:rsidRPr="00742A04">
        <w:t>la perspectiva</w:t>
      </w:r>
      <w:r w:rsidR="00587443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9344D" w:rsidRPr="00742A04">
        <w:t>el</w:t>
      </w:r>
      <w:r w:rsidR="00545D1B" w:rsidRPr="00742A04">
        <w:t xml:space="preserve"> </w:t>
      </w:r>
      <w:r w:rsidR="008A0C75" w:rsidRPr="00742A04">
        <w:t>s</w:t>
      </w:r>
      <w:r w:rsidR="008A0C75" w:rsidRPr="00742A04">
        <w:t>e</w:t>
      </w:r>
      <w:r w:rsidR="008A0C75" w:rsidRPr="00742A04">
        <w:t>guimiento</w:t>
      </w:r>
      <w:r w:rsidR="00F9344D" w:rsidRPr="00742A04">
        <w:t xml:space="preserve"> de los planes de</w:t>
      </w:r>
      <w:r w:rsidR="00545D1B" w:rsidRPr="00742A04">
        <w:t xml:space="preserve"> ac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F9344D" w:rsidRPr="00742A04">
        <w:t>los p</w:t>
      </w:r>
      <w:r w:rsidR="00B2334F" w:rsidRPr="00742A04">
        <w:t>lanes estratégicos</w:t>
      </w:r>
      <w:r w:rsidR="00545D1B" w:rsidRPr="00742A04">
        <w:t xml:space="preserve">, </w:t>
      </w:r>
      <w:r w:rsidR="00AD0883" w:rsidRPr="00742A04">
        <w:t>tales com</w:t>
      </w:r>
      <w:r w:rsidR="0056679F" w:rsidRPr="00742A04">
        <w:t xml:space="preserve">o el </w:t>
      </w:r>
      <w:r w:rsidR="00545D1B" w:rsidRPr="00742A04">
        <w:t xml:space="preserve">Plan </w:t>
      </w:r>
      <w:r w:rsidR="00CB2022" w:rsidRPr="00742A04">
        <w:t>estr</w:t>
      </w:r>
      <w:r w:rsidR="00CB2022" w:rsidRPr="00742A04">
        <w:t>a</w:t>
      </w:r>
      <w:r w:rsidR="00CB2022" w:rsidRPr="00742A04">
        <w:t>tégico para la</w:t>
      </w:r>
      <w:r w:rsidR="00545D1B" w:rsidRPr="00742A04">
        <w:t xml:space="preserve"> preven</w:t>
      </w:r>
      <w:r w:rsidR="00C14BFF" w:rsidRPr="00742A04">
        <w:t xml:space="preserve">ción </w:t>
      </w:r>
      <w:r w:rsidR="00CB2022" w:rsidRPr="00742A04">
        <w:t>del VIH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B2022" w:rsidRPr="00742A04">
        <w:t>las enfermedades de transmisión sexual</w:t>
      </w:r>
      <w:r w:rsidR="00545D1B" w:rsidRPr="00742A04">
        <w:t xml:space="preserve"> (2002), </w:t>
      </w:r>
      <w:r w:rsidR="00CB2022" w:rsidRPr="00742A04">
        <w:t>el</w:t>
      </w:r>
      <w:r w:rsidR="00230F13" w:rsidRPr="00742A04">
        <w:t xml:space="preserve"> </w:t>
      </w:r>
      <w:r w:rsidR="00F650FB" w:rsidRPr="00742A04">
        <w:t>Plan de Acción</w:t>
      </w:r>
      <w:r w:rsidR="00545D1B" w:rsidRPr="00742A04">
        <w:t xml:space="preserve"> </w:t>
      </w:r>
      <w:r w:rsidR="00CB2022" w:rsidRPr="00742A04">
        <w:t>para la</w:t>
      </w:r>
      <w:r w:rsidR="00545D1B" w:rsidRPr="00742A04">
        <w:t xml:space="preserve"> preven</w:t>
      </w:r>
      <w:r w:rsidR="00C14BFF" w:rsidRPr="00742A04">
        <w:t xml:space="preserve">ción </w:t>
      </w:r>
      <w:r w:rsidR="00CB2022" w:rsidRPr="00742A04">
        <w:t>del embarazo no deseado</w:t>
      </w:r>
      <w:r w:rsidR="00545D1B" w:rsidRPr="00742A04">
        <w:t xml:space="preserve"> </w:t>
      </w:r>
      <w:r w:rsidR="00BB4DB1" w:rsidRPr="00742A04">
        <w:t xml:space="preserve">y el </w:t>
      </w:r>
      <w:r w:rsidR="00CB2022" w:rsidRPr="00742A04">
        <w:t>aborto</w:t>
      </w:r>
      <w:r w:rsidR="00C14BFF" w:rsidRPr="00742A04">
        <w:t xml:space="preserve"> </w:t>
      </w:r>
      <w:r w:rsidR="00545D1B" w:rsidRPr="00742A04">
        <w:t xml:space="preserve">(2004-2008), </w:t>
      </w:r>
      <w:r w:rsidR="00CB2022" w:rsidRPr="00742A04">
        <w:t>el</w:t>
      </w:r>
      <w:r w:rsidR="00230F13" w:rsidRPr="00742A04">
        <w:t xml:space="preserve"> </w:t>
      </w:r>
      <w:r w:rsidR="00F650FB" w:rsidRPr="00742A04">
        <w:t>Plan de Acción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650144" w:rsidRPr="00742A04">
        <w:t xml:space="preserve">la </w:t>
      </w:r>
      <w:r w:rsidR="00545D1B" w:rsidRPr="00742A04">
        <w:t>activ</w:t>
      </w:r>
      <w:r w:rsidR="00502E16" w:rsidRPr="00742A04">
        <w:t>idad</w:t>
      </w:r>
      <w:r w:rsidR="00545D1B" w:rsidRPr="00742A04">
        <w:t xml:space="preserve"> </w:t>
      </w:r>
      <w:r w:rsidR="00650144" w:rsidRPr="00742A04">
        <w:t xml:space="preserve">física </w:t>
      </w:r>
      <w:r w:rsidR="00545D1B" w:rsidRPr="00742A04">
        <w:t xml:space="preserve">(2005-2009) </w:t>
      </w:r>
      <w:r w:rsidR="00BB4DB1" w:rsidRPr="00742A04">
        <w:t xml:space="preserve">y el </w:t>
      </w:r>
      <w:r w:rsidR="007C341F" w:rsidRPr="00742A04">
        <w:t>Plan de A</w:t>
      </w:r>
      <w:r w:rsidR="007C341F" w:rsidRPr="00742A04">
        <w:t>c</w:t>
      </w:r>
      <w:r w:rsidR="007C341F" w:rsidRPr="00742A04">
        <w:t>ción de Lucha contra la</w:t>
      </w:r>
      <w:r w:rsidR="00545D1B" w:rsidRPr="00742A04">
        <w:t xml:space="preserve"> </w:t>
      </w:r>
      <w:r w:rsidR="00CB2022" w:rsidRPr="00742A04">
        <w:t>Violencia Doméstica</w:t>
      </w:r>
      <w:r w:rsidR="00545D1B" w:rsidRPr="00742A04">
        <w:t xml:space="preserve"> (2004-2007). </w:t>
      </w:r>
      <w:r w:rsidR="004D313C" w:rsidRPr="00742A04">
        <w:t>Varios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50144" w:rsidRPr="00742A04">
        <w:t>esos</w:t>
      </w:r>
      <w:r w:rsidR="00545D1B" w:rsidRPr="00742A04">
        <w:t xml:space="preserve"> </w:t>
      </w:r>
      <w:r w:rsidR="00242371" w:rsidRPr="00742A04">
        <w:t>planes</w:t>
      </w:r>
      <w:r w:rsidR="00545D1B" w:rsidRPr="00742A04">
        <w:t xml:space="preserve"> </w:t>
      </w:r>
      <w:r w:rsidR="00650144" w:rsidRPr="00742A04">
        <w:t>fu</w:t>
      </w:r>
      <w:r w:rsidR="00E73E8E" w:rsidRPr="00742A04">
        <w:t>er</w:t>
      </w:r>
      <w:r w:rsidR="00650144" w:rsidRPr="00742A04">
        <w:t>o</w:t>
      </w:r>
      <w:r w:rsidR="00E73E8E" w:rsidRPr="00742A04">
        <w:t>n</w:t>
      </w:r>
      <w:r w:rsidR="00545D1B" w:rsidRPr="00742A04">
        <w:t xml:space="preserve"> </w:t>
      </w:r>
      <w:r w:rsidR="00650144" w:rsidRPr="00742A04">
        <w:t>el</w:t>
      </w:r>
      <w:r w:rsidR="00650144" w:rsidRPr="00742A04">
        <w:t>a</w:t>
      </w:r>
      <w:r w:rsidR="00650144" w:rsidRPr="00742A04">
        <w:t>borados</w:t>
      </w:r>
      <w:r w:rsidR="00545D1B" w:rsidRPr="00742A04">
        <w:t xml:space="preserve"> </w:t>
      </w:r>
      <w:r w:rsidR="00C07ED9" w:rsidRPr="00742A04">
        <w:t>en co</w:t>
      </w:r>
      <w:r w:rsidR="00650144" w:rsidRPr="00742A04">
        <w:t>labo</w:t>
      </w:r>
      <w:r w:rsidR="00C07ED9" w:rsidRPr="00742A04">
        <w:t>ración</w:t>
      </w:r>
      <w:r w:rsidR="00C14BFF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4D313C" w:rsidRPr="00742A04">
        <w:t>varios</w:t>
      </w:r>
      <w:r w:rsidR="00545D1B" w:rsidRPr="00742A04">
        <w:t xml:space="preserve"> </w:t>
      </w:r>
      <w:r w:rsidR="00603216" w:rsidRPr="00742A04">
        <w:t>ministerios</w:t>
      </w:r>
      <w:r w:rsidR="00545D1B" w:rsidRPr="00742A04">
        <w:t xml:space="preserve">. </w:t>
      </w:r>
      <w:r w:rsidR="00650144" w:rsidRPr="00742A04">
        <w:t>Se ha puesto en práctica u</w:t>
      </w:r>
      <w:r w:rsidR="00CB2022" w:rsidRPr="00742A04">
        <w:t>n</w:t>
      </w:r>
      <w:r w:rsidR="00545D1B" w:rsidRPr="00742A04">
        <w:t xml:space="preserve"> </w:t>
      </w:r>
      <w:r w:rsidR="00CB2022" w:rsidRPr="00742A04">
        <w:t xml:space="preserve">Plan estratégico </w:t>
      </w:r>
      <w:r w:rsidR="007C341F" w:rsidRPr="00742A04">
        <w:t xml:space="preserve">de lucha contra </w:t>
      </w:r>
      <w:r w:rsidR="00CB2022" w:rsidRPr="00742A04">
        <w:t xml:space="preserve">los trastornos </w:t>
      </w:r>
      <w:r w:rsidR="00F43124" w:rsidRPr="00742A04">
        <w:t xml:space="preserve">de la </w:t>
      </w:r>
      <w:r w:rsidR="00CB2022" w:rsidRPr="00742A04">
        <w:t>alimentación</w:t>
      </w:r>
      <w:r w:rsidR="00650144" w:rsidRPr="00742A04">
        <w:t>, que</w:t>
      </w:r>
      <w:r w:rsidR="00545D1B" w:rsidRPr="00742A04">
        <w:t xml:space="preserve"> </w:t>
      </w:r>
      <w:r w:rsidR="00604011" w:rsidRPr="00742A04">
        <w:t>será</w:t>
      </w:r>
      <w:r w:rsidR="00545D1B" w:rsidRPr="00742A04">
        <w:t xml:space="preserve"> revis</w:t>
      </w:r>
      <w:r w:rsidR="00650144" w:rsidRPr="00742A04">
        <w:t>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 </w:t>
      </w:r>
      <w:r w:rsidR="00230F13" w:rsidRPr="00742A04">
        <w:t>con miras a</w:t>
      </w:r>
      <w:r w:rsidR="00545D1B" w:rsidRPr="00742A04">
        <w:t xml:space="preserve"> continu</w:t>
      </w:r>
      <w:r w:rsidR="00650144" w:rsidRPr="00742A04">
        <w:t>arlo</w:t>
      </w:r>
      <w:r w:rsidR="002E5047" w:rsidRPr="00742A04">
        <w:t xml:space="preserve"> e i</w:t>
      </w:r>
      <w:r w:rsidR="00545D1B" w:rsidRPr="00742A04">
        <w:t>ncorpora</w:t>
      </w:r>
      <w:r w:rsidR="00650144" w:rsidRPr="00742A04">
        <w:t>r</w:t>
      </w:r>
      <w:r w:rsidR="00545D1B" w:rsidRPr="00742A04">
        <w:t xml:space="preserve"> </w:t>
      </w:r>
      <w:r w:rsidR="007C65B3" w:rsidRPr="00742A04">
        <w:t>nueva</w:t>
      </w:r>
      <w:r w:rsidR="00650144" w:rsidRPr="00742A04">
        <w:t>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. </w:t>
      </w:r>
      <w:r w:rsidR="00650144" w:rsidRPr="00742A04">
        <w:t>Una de las esferas pri</w:t>
      </w:r>
      <w:r w:rsidR="00650144" w:rsidRPr="00742A04">
        <w:t>o</w:t>
      </w:r>
      <w:r w:rsidR="00650144" w:rsidRPr="00742A04">
        <w:t>ritarias consiste en el</w:t>
      </w:r>
      <w:r w:rsidR="00545D1B" w:rsidRPr="00742A04">
        <w:t xml:space="preserve">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650144" w:rsidRPr="00742A04">
        <w:t>l</w:t>
      </w:r>
      <w:r w:rsidR="00545D1B" w:rsidRPr="00742A04">
        <w:t xml:space="preserve"> </w:t>
      </w:r>
      <w:r w:rsidR="003E5775" w:rsidRPr="00742A04">
        <w:t>conocimiento</w:t>
      </w:r>
      <w:r w:rsidR="00545D1B" w:rsidRPr="00742A04">
        <w:t xml:space="preserve"> </w:t>
      </w:r>
      <w:r w:rsidR="003E4840" w:rsidRPr="00742A04">
        <w:t>acerca de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50144" w:rsidRPr="00742A04">
        <w:t>los trastornos de la alimentación</w:t>
      </w:r>
      <w:r w:rsidR="00545D1B" w:rsidRPr="00742A04">
        <w:t xml:space="preserve"> </w:t>
      </w:r>
      <w:r w:rsidR="00650144" w:rsidRPr="00742A04">
        <w:t>y el tratamiento de dichos trastornos.</w:t>
      </w:r>
      <w:r w:rsidR="00545D1B" w:rsidRPr="00742A04">
        <w:t xml:space="preserve"> </w:t>
      </w:r>
      <w:r w:rsidR="00650144" w:rsidRPr="00742A04">
        <w:t>E</w:t>
      </w:r>
      <w:r w:rsidR="001167D2" w:rsidRPr="00742A04">
        <w:t xml:space="preserve">l </w:t>
      </w:r>
      <w:r w:rsidR="008F0C8E" w:rsidRPr="00742A04">
        <w:t>Gobierno</w:t>
      </w:r>
      <w:r w:rsidR="00545D1B" w:rsidRPr="00742A04">
        <w:t xml:space="preserve"> ha</w:t>
      </w:r>
      <w:r w:rsidR="00650144" w:rsidRPr="00742A04">
        <w:t xml:space="preserve"> asignado</w:t>
      </w:r>
      <w:r w:rsidR="00545D1B" w:rsidRPr="00742A04">
        <w:t xml:space="preserve"> 10 </w:t>
      </w:r>
      <w:r w:rsidR="008C4612" w:rsidRPr="00742A04">
        <w:t>m</w:t>
      </w:r>
      <w:r w:rsidR="008C4612" w:rsidRPr="00742A04">
        <w:t>i</w:t>
      </w:r>
      <w:r w:rsidR="008C4612" w:rsidRPr="00742A04">
        <w:t>llones de</w:t>
      </w:r>
      <w:r w:rsidR="005E6919" w:rsidRPr="00742A04">
        <w:t xml:space="preserve"> </w:t>
      </w:r>
      <w:r w:rsidR="00650144" w:rsidRPr="00742A04">
        <w:t xml:space="preserve">coronas noruegas </w:t>
      </w:r>
      <w:r w:rsidR="00F43124" w:rsidRPr="00742A04">
        <w:t>para</w:t>
      </w:r>
      <w:r w:rsidR="00B05988" w:rsidRPr="00742A04">
        <w:t xml:space="preserve"> un nuevo</w:t>
      </w:r>
      <w:r w:rsidR="00545D1B" w:rsidRPr="00742A04">
        <w:t xml:space="preserve"> Centr</w:t>
      </w:r>
      <w:r w:rsidR="00650144" w:rsidRPr="00742A04">
        <w:t>o d</w:t>
      </w:r>
      <w:r w:rsidR="00545D1B" w:rsidRPr="00742A04">
        <w:t xml:space="preserve">e </w:t>
      </w:r>
      <w:r w:rsidR="00650144" w:rsidRPr="00742A04">
        <w:t>S</w:t>
      </w:r>
      <w:r w:rsidR="00650144" w:rsidRPr="00742A04">
        <w:t>a</w:t>
      </w:r>
      <w:r w:rsidR="00650144" w:rsidRPr="00742A04">
        <w:t xml:space="preserve">lud </w:t>
      </w:r>
      <w:r w:rsidR="00210DB1" w:rsidRPr="00742A04">
        <w:t>de la</w:t>
      </w:r>
      <w:r w:rsidR="00650144" w:rsidRPr="00742A04">
        <w:t xml:space="preserve"> M</w:t>
      </w:r>
      <w:r w:rsidR="00210DB1" w:rsidRPr="00742A04">
        <w:t>ujer</w:t>
      </w:r>
      <w:r w:rsidR="000A08D8" w:rsidRPr="00742A04">
        <w:t>.</w:t>
      </w:r>
    </w:p>
    <w:p w:rsidR="000A08D8" w:rsidRPr="00742A04" w:rsidRDefault="00B34971" w:rsidP="001633F4">
      <w:pPr>
        <w:pStyle w:val="SingleTxt"/>
        <w:ind w:firstLine="475"/>
      </w:pPr>
      <w:r w:rsidRPr="00742A04">
        <w:t>A partir de</w:t>
      </w:r>
      <w:r w:rsidR="00346339" w:rsidRPr="00742A04">
        <w:t>l</w:t>
      </w:r>
      <w:r w:rsidR="00545D1B" w:rsidRPr="00742A04">
        <w:t xml:space="preserve"> </w:t>
      </w:r>
      <w:r w:rsidR="00194AB3" w:rsidRPr="00742A04">
        <w:t>1° de enero</w:t>
      </w:r>
      <w:r w:rsidR="004A0730" w:rsidRPr="00742A04">
        <w:t xml:space="preserve"> de</w:t>
      </w:r>
      <w:r w:rsidR="00545D1B" w:rsidRPr="00742A04">
        <w:t xml:space="preserve"> 2002, </w:t>
      </w:r>
      <w:r w:rsidR="00346339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346339" w:rsidRPr="00742A04">
        <w:t>del</w:t>
      </w:r>
      <w:r w:rsidR="00545D1B" w:rsidRPr="00742A04">
        <w:t xml:space="preserve"> </w:t>
      </w:r>
      <w:r w:rsidR="00B8584B" w:rsidRPr="00742A04">
        <w:t>grupo de edades</w:t>
      </w:r>
      <w:r w:rsidR="00545D1B" w:rsidRPr="00742A04">
        <w:t xml:space="preserve"> </w:t>
      </w:r>
      <w:r w:rsidR="00346339" w:rsidRPr="00742A04">
        <w:t>de 16 a 19 años tienen</w:t>
      </w:r>
      <w:r w:rsidR="002213CF" w:rsidRPr="00742A04">
        <w:t xml:space="preserve"> acceso</w:t>
      </w:r>
      <w:r w:rsidR="00545D1B" w:rsidRPr="00742A04">
        <w:t xml:space="preserve"> </w:t>
      </w:r>
      <w:r w:rsidR="00346339" w:rsidRPr="00742A04">
        <w:t>gratuito a</w:t>
      </w:r>
      <w:r w:rsidR="00545D1B" w:rsidRPr="00742A04">
        <w:t xml:space="preserve"> </w:t>
      </w:r>
      <w:r w:rsidR="00346339" w:rsidRPr="00742A04">
        <w:t>anticonceptivos hormonales</w:t>
      </w:r>
      <w:r w:rsidR="00C27C42" w:rsidRPr="00742A04">
        <w:t>.</w:t>
      </w:r>
      <w:r w:rsidR="00545D1B" w:rsidRPr="00742A04">
        <w:t xml:space="preserve"> </w:t>
      </w:r>
      <w:r w:rsidR="004A0730" w:rsidRPr="00742A04">
        <w:t>En</w:t>
      </w:r>
      <w:r w:rsidR="00545D1B" w:rsidRPr="00742A04">
        <w:t xml:space="preserve"> </w:t>
      </w:r>
      <w:r w:rsidR="00346339" w:rsidRPr="00742A04">
        <w:t>e</w:t>
      </w:r>
      <w:r w:rsidR="003C25BF" w:rsidRPr="00742A04">
        <w:t>l</w:t>
      </w:r>
      <w:r w:rsidR="00346339" w:rsidRPr="00742A04">
        <w:t xml:space="preserve"> mismo</w:t>
      </w:r>
      <w:r w:rsidR="00545D1B" w:rsidRPr="00742A04">
        <w:t xml:space="preserve"> </w:t>
      </w:r>
      <w:r w:rsidR="004D313C" w:rsidRPr="00742A04">
        <w:t>año</w:t>
      </w:r>
      <w:r w:rsidR="00545D1B" w:rsidRPr="00742A04">
        <w:t xml:space="preserve">, </w:t>
      </w:r>
      <w:r w:rsidR="00346339" w:rsidRPr="00742A04">
        <w:t>las e</w:t>
      </w:r>
      <w:r w:rsidR="00346339" w:rsidRPr="00742A04">
        <w:t>n</w:t>
      </w:r>
      <w:r w:rsidR="00346339" w:rsidRPr="00742A04">
        <w:t>fermeras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46339" w:rsidRPr="00742A04">
        <w:t>parteras</w:t>
      </w:r>
      <w:r w:rsidR="00545D1B" w:rsidRPr="00742A04">
        <w:t xml:space="preserve"> </w:t>
      </w:r>
      <w:r w:rsidR="00346339" w:rsidRPr="00742A04">
        <w:t>fueron autorizadas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46339" w:rsidRPr="00742A04">
        <w:t>recetar</w:t>
      </w:r>
      <w:r w:rsidR="00545D1B" w:rsidRPr="00742A04">
        <w:t xml:space="preserve"> </w:t>
      </w:r>
      <w:r w:rsidR="00346339" w:rsidRPr="00742A04">
        <w:t>anticonceptivos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A2831" w:rsidRPr="00742A04">
        <w:t>este grupo</w:t>
      </w:r>
      <w:r w:rsidR="00B8584B" w:rsidRPr="00742A04">
        <w:t xml:space="preserve"> de edades</w:t>
      </w:r>
      <w:r w:rsidR="00545D1B" w:rsidRPr="00742A04">
        <w:t xml:space="preserve"> </w:t>
      </w:r>
      <w:r w:rsidR="00BC00DF" w:rsidRPr="00742A04">
        <w:t>como</w:t>
      </w:r>
      <w:r w:rsidR="006C1297" w:rsidRPr="00742A04">
        <w:t xml:space="preserve"> medio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E43BF" w:rsidRPr="00742A04">
        <w:t>prevenir</w:t>
      </w:r>
      <w:r w:rsidR="00545D1B" w:rsidRPr="00742A04">
        <w:t xml:space="preserve"> </w:t>
      </w:r>
      <w:r w:rsidR="00BC00DF" w:rsidRPr="00742A04">
        <w:t>los embarazos no deseados</w:t>
      </w:r>
      <w:r w:rsidR="00545D1B" w:rsidRPr="00742A04">
        <w:t xml:space="preserve"> </w:t>
      </w:r>
      <w:r w:rsidR="00BB4DB1" w:rsidRPr="00742A04">
        <w:t xml:space="preserve">y el </w:t>
      </w:r>
      <w:r w:rsidR="00CB2022" w:rsidRPr="00742A04">
        <w:t>aborto</w:t>
      </w:r>
      <w:r w:rsidR="00C14BFF" w:rsidRPr="00742A04">
        <w:t xml:space="preserve"> </w:t>
      </w:r>
      <w:r w:rsidR="00BC00DF" w:rsidRPr="00742A04">
        <w:t>de</w:t>
      </w:r>
      <w:r w:rsidR="00545D1B" w:rsidRPr="00742A04">
        <w:t xml:space="preserve"> </w:t>
      </w:r>
      <w:r w:rsidR="00BC00DF" w:rsidRPr="00742A04">
        <w:t>las ad</w:t>
      </w:r>
      <w:r w:rsidR="00BC00DF" w:rsidRPr="00742A04">
        <w:t>o</w:t>
      </w:r>
      <w:r w:rsidR="00BC00DF" w:rsidRPr="00742A04">
        <w:t>lescentes</w:t>
      </w:r>
      <w:r w:rsidR="00545D1B" w:rsidRPr="00742A04">
        <w:t xml:space="preserve">. </w:t>
      </w:r>
      <w:r w:rsidR="00BC00DF" w:rsidRPr="00742A04">
        <w:t xml:space="preserve">En el </w:t>
      </w:r>
      <w:r w:rsidR="00545D1B" w:rsidRPr="00742A04">
        <w:t>Regla</w:t>
      </w:r>
      <w:r w:rsidR="00BC00DF" w:rsidRPr="00742A04">
        <w:t>mento de</w:t>
      </w:r>
      <w:r w:rsidR="00072AD7" w:rsidRPr="00742A04">
        <w:t xml:space="preserve"> a</w:t>
      </w:r>
      <w:r w:rsidR="00BC00DF" w:rsidRPr="00742A04">
        <w:t>ctividades</w:t>
      </w:r>
      <w:r w:rsidR="00545D1B" w:rsidRPr="00742A04">
        <w:t xml:space="preserve"> municipal</w:t>
      </w:r>
      <w:r w:rsidR="00BC00DF" w:rsidRPr="00742A04">
        <w:t>es</w:t>
      </w:r>
      <w:r w:rsidR="00545D1B" w:rsidRPr="00742A04">
        <w:t xml:space="preserve"> </w:t>
      </w:r>
      <w:r w:rsidR="00BC00DF" w:rsidRPr="00742A04">
        <w:t xml:space="preserve">de promoción de la salud </w:t>
      </w:r>
      <w:r w:rsidR="00877AA0" w:rsidRPr="00742A04">
        <w:t>y</w:t>
      </w:r>
      <w:r w:rsidR="00545D1B" w:rsidRPr="00742A04">
        <w:t xml:space="preserve"> </w:t>
      </w:r>
      <w:r w:rsidR="00642E17" w:rsidRPr="00742A04">
        <w:t>labor preventiva</w:t>
      </w:r>
      <w:r w:rsidR="00545D1B" w:rsidRPr="00742A04">
        <w:t xml:space="preserve"> </w:t>
      </w:r>
      <w:r w:rsidR="00BC00DF" w:rsidRPr="00742A04">
        <w:t>en las</w:t>
      </w:r>
      <w:r w:rsidR="00545D1B" w:rsidRPr="00742A04">
        <w:t xml:space="preserve"> </w:t>
      </w:r>
      <w:r w:rsidR="00BC00DF" w:rsidRPr="00742A04">
        <w:t>clínicas de salud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C00DF" w:rsidRPr="00742A04">
        <w:t xml:space="preserve">el </w:t>
      </w:r>
      <w:r w:rsidR="009C08FB" w:rsidRPr="00742A04">
        <w:t>servicio</w:t>
      </w:r>
      <w:r w:rsidR="00545D1B" w:rsidRPr="00742A04">
        <w:t xml:space="preserve"> </w:t>
      </w:r>
      <w:r w:rsidR="00BC00DF" w:rsidRPr="00742A04">
        <w:t xml:space="preserve">escolar de salud </w:t>
      </w:r>
      <w:r w:rsidR="00545D1B" w:rsidRPr="00742A04">
        <w:t xml:space="preserve">(2003) </w:t>
      </w:r>
      <w:r w:rsidR="00877AA0" w:rsidRPr="00742A04">
        <w:t>y</w:t>
      </w:r>
      <w:r w:rsidR="00545D1B" w:rsidRPr="00742A04">
        <w:t xml:space="preserve"> </w:t>
      </w:r>
      <w:r w:rsidR="005E2D7A" w:rsidRPr="00742A04">
        <w:t>la guía</w:t>
      </w:r>
      <w:r w:rsidR="00545D1B" w:rsidRPr="00742A04">
        <w:t xml:space="preserve"> </w:t>
      </w:r>
      <w:r w:rsidR="00BC00DF" w:rsidRPr="00742A04">
        <w:t>del</w:t>
      </w:r>
      <w:r w:rsidR="00545D1B" w:rsidRPr="00742A04">
        <w:t xml:space="preserve"> regla</w:t>
      </w:r>
      <w:r w:rsidR="00BC00DF" w:rsidRPr="00742A04">
        <w:t>mento</w:t>
      </w:r>
      <w:r w:rsidR="00545D1B" w:rsidRPr="00742A04">
        <w:t xml:space="preserve"> (2004) </w:t>
      </w:r>
      <w:r w:rsidR="00BC00DF" w:rsidRPr="00742A04">
        <w:t>se emplea un</w:t>
      </w:r>
      <w:r w:rsidR="00545D1B" w:rsidRPr="00742A04">
        <w:t xml:space="preserve">a </w:t>
      </w:r>
      <w:r w:rsidR="00BC00DF" w:rsidRPr="00742A04">
        <w:t xml:space="preserve">perspectiva de la salud </w:t>
      </w:r>
      <w:r w:rsidR="004D313C" w:rsidRPr="00742A04">
        <w:t>de las mujeres</w:t>
      </w:r>
      <w:r w:rsidR="00545D1B" w:rsidRPr="00742A04">
        <w:t xml:space="preserve">, </w:t>
      </w:r>
      <w:r w:rsidR="007C3856" w:rsidRPr="00742A04">
        <w:t>especialmente</w:t>
      </w:r>
      <w:r w:rsidR="00545D1B" w:rsidRPr="00742A04">
        <w:t xml:space="preserve"> </w:t>
      </w:r>
      <w:r w:rsidR="00BC00DF" w:rsidRPr="00742A04">
        <w:t>e</w:t>
      </w:r>
      <w:r w:rsidR="004B0EC3" w:rsidRPr="00742A04">
        <w:t>n lo tocante a</w:t>
      </w:r>
      <w:r w:rsidR="00545D1B" w:rsidRPr="00742A04">
        <w:t xml:space="preserve"> </w:t>
      </w:r>
      <w:r w:rsidR="00B31D97" w:rsidRPr="00742A04">
        <w:t>los servicios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116976" w:rsidRPr="00742A04">
        <w:t>las mujeres embarazadas</w:t>
      </w:r>
      <w:r w:rsidR="00545D1B" w:rsidRPr="00742A04">
        <w:t xml:space="preserve">. </w:t>
      </w:r>
      <w:r w:rsidR="005D2D07" w:rsidRPr="00742A04">
        <w:t>La Dire</w:t>
      </w:r>
      <w:r w:rsidR="005D2D07" w:rsidRPr="00742A04">
        <w:t>c</w:t>
      </w:r>
      <w:r w:rsidR="005D2D07" w:rsidRPr="00742A04">
        <w:t>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76976" w:rsidRPr="00742A04">
        <w:t>Servi</w:t>
      </w:r>
      <w:r w:rsidR="00BC00DF" w:rsidRPr="00742A04">
        <w:t>cios S</w:t>
      </w:r>
      <w:r w:rsidR="00176976" w:rsidRPr="00742A04">
        <w:t>ocia</w:t>
      </w:r>
      <w:r w:rsidR="00BC00DF" w:rsidRPr="00742A04">
        <w:t>les y de S</w:t>
      </w:r>
      <w:r w:rsidR="00176976" w:rsidRPr="00742A04">
        <w:t>alud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BC00DF" w:rsidRPr="00742A04">
        <w:t>emitió</w:t>
      </w:r>
      <w:r w:rsidR="00545D1B" w:rsidRPr="00742A04">
        <w:t xml:space="preserve"> </w:t>
      </w:r>
      <w:r w:rsidR="008A25D7" w:rsidRPr="00742A04">
        <w:t>directrices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C00DF" w:rsidRPr="00742A04">
        <w:t xml:space="preserve">la atención del </w:t>
      </w:r>
      <w:r w:rsidR="002E5047" w:rsidRPr="00742A04">
        <w:t>embarazo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2005</w:t>
      </w:r>
      <w:r w:rsidR="000A08D8" w:rsidRPr="00742A04">
        <w:t>.</w:t>
      </w:r>
    </w:p>
    <w:p w:rsidR="000A08D8" w:rsidRPr="00742A04" w:rsidRDefault="004A0730" w:rsidP="001633F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EA776F" w:rsidRPr="00742A04">
        <w:t>marzo de</w:t>
      </w:r>
      <w:r w:rsidR="00545D1B" w:rsidRPr="00742A04">
        <w:t xml:space="preserve"> 2005 </w:t>
      </w:r>
      <w:r w:rsidR="00BC00DF" w:rsidRPr="00742A04">
        <w:t>la</w:t>
      </w:r>
      <w:r w:rsidR="00545D1B" w:rsidRPr="00742A04">
        <w:t xml:space="preserve"> </w:t>
      </w:r>
      <w:r w:rsidR="00D75341" w:rsidRPr="00742A04">
        <w:t>Junta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BC00DF" w:rsidRPr="00742A04">
        <w:t>de Noruega emitió</w:t>
      </w:r>
      <w:r w:rsidR="00545D1B" w:rsidRPr="00742A04">
        <w:t xml:space="preserve"> </w:t>
      </w:r>
      <w:r w:rsidR="00FC59C5" w:rsidRPr="00742A04">
        <w:t xml:space="preserve">un </w:t>
      </w:r>
      <w:r w:rsidR="00657260" w:rsidRPr="00742A04">
        <w:t xml:space="preserve">informe sobre </w:t>
      </w:r>
      <w:r w:rsidR="00BC00DF" w:rsidRPr="00742A04">
        <w:t xml:space="preserve">los servicios </w:t>
      </w:r>
      <w:r w:rsidR="00545D1B" w:rsidRPr="00742A04">
        <w:t>municipal</w:t>
      </w:r>
      <w:r w:rsidR="00BC00DF" w:rsidRPr="00742A04">
        <w:t>es</w:t>
      </w:r>
      <w:r w:rsidR="00545D1B" w:rsidRPr="00742A04">
        <w:t xml:space="preserve"> </w:t>
      </w:r>
      <w:r w:rsidR="0051344E" w:rsidRPr="00742A04">
        <w:t>de salud</w:t>
      </w:r>
      <w:r w:rsidR="00545D1B" w:rsidRPr="00742A04">
        <w:t xml:space="preserve"> </w:t>
      </w:r>
      <w:r w:rsidR="00F43124" w:rsidRPr="00742A04">
        <w:t>para</w:t>
      </w:r>
      <w:r w:rsidR="00BC00DF" w:rsidRPr="00742A04">
        <w:t xml:space="preserve"> los</w:t>
      </w:r>
      <w:r w:rsidR="00545D1B" w:rsidRPr="00742A04">
        <w:t xml:space="preserve"> </w:t>
      </w:r>
      <w:r w:rsidR="00BC00DF" w:rsidRPr="00742A04">
        <w:t>solicitantes de asilo</w:t>
      </w:r>
      <w:r w:rsidR="00545D1B" w:rsidRPr="00742A04">
        <w:t xml:space="preserve"> </w:t>
      </w:r>
      <w:r w:rsidR="00BC00DF" w:rsidRPr="00742A04">
        <w:t xml:space="preserve">llegados recientemente, </w:t>
      </w:r>
      <w:r w:rsidR="00DA461E" w:rsidRPr="00742A04">
        <w:t>los refugiados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BC00DF" w:rsidRPr="00742A04">
        <w:t xml:space="preserve">provenientes </w:t>
      </w:r>
      <w:r w:rsidR="008F0C8E" w:rsidRPr="00742A04">
        <w:t>de</w:t>
      </w:r>
      <w:r w:rsidR="00545D1B" w:rsidRPr="00742A04">
        <w:t xml:space="preserve"> </w:t>
      </w:r>
      <w:r w:rsidR="006B65CD" w:rsidRPr="00742A04">
        <w:t>países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BC00DF" w:rsidRPr="00742A04">
        <w:t>elevada incidencia</w:t>
      </w:r>
      <w:r w:rsidR="00545D1B" w:rsidRPr="00742A04">
        <w:t xml:space="preserve"> </w:t>
      </w:r>
      <w:r w:rsidRPr="00742A04">
        <w:t>de</w:t>
      </w:r>
      <w:r w:rsidR="00BC00DF" w:rsidRPr="00742A04">
        <w:t xml:space="preserve"> la</w:t>
      </w:r>
      <w:r w:rsidR="00545D1B" w:rsidRPr="00742A04">
        <w:t xml:space="preserve"> t</w:t>
      </w:r>
      <w:r w:rsidR="00545D1B" w:rsidRPr="00742A04">
        <w:t>u</w:t>
      </w:r>
      <w:r w:rsidR="00545D1B" w:rsidRPr="00742A04">
        <w:t xml:space="preserve">berculosis </w:t>
      </w:r>
      <w:r w:rsidR="003E5775" w:rsidRPr="00742A04">
        <w:t>que</w:t>
      </w:r>
      <w:r w:rsidR="00545D1B" w:rsidRPr="00742A04">
        <w:t xml:space="preserve"> </w:t>
      </w:r>
      <w:r w:rsidR="006137EC" w:rsidRPr="00742A04">
        <w:t>s</w:t>
      </w:r>
      <w:r w:rsidR="00BC00DF" w:rsidRPr="00742A04">
        <w:t>e</w:t>
      </w:r>
      <w:r w:rsidR="00545D1B" w:rsidRPr="00742A04">
        <w:t xml:space="preserve"> reunifi</w:t>
      </w:r>
      <w:r w:rsidR="00BC00DF" w:rsidRPr="00742A04">
        <w:t>quen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BC00DF" w:rsidRPr="00742A04">
        <w:t xml:space="preserve">sus </w:t>
      </w:r>
      <w:r w:rsidR="003E5775" w:rsidRPr="00742A04">
        <w:t>familias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>.</w:t>
      </w:r>
      <w:r w:rsidR="001167D2" w:rsidRPr="00742A04">
        <w:t xml:space="preserve"> </w:t>
      </w:r>
      <w:r w:rsidR="00736FAD" w:rsidRPr="00742A04">
        <w:t>E</w:t>
      </w:r>
      <w:r w:rsidR="001167D2" w:rsidRPr="00742A04">
        <w:t xml:space="preserve">l </w:t>
      </w:r>
      <w:r w:rsidR="00FB5EDF" w:rsidRPr="00742A04">
        <w:t>informe</w:t>
      </w:r>
      <w:r w:rsidR="00545D1B" w:rsidRPr="00742A04">
        <w:t xml:space="preserve"> </w:t>
      </w:r>
      <w:r w:rsidR="00736FAD" w:rsidRPr="00742A04">
        <w:t>revel</w:t>
      </w:r>
      <w:r w:rsidR="003E5775" w:rsidRPr="00742A04">
        <w:t>a que</w:t>
      </w:r>
      <w:r w:rsidR="00545D1B" w:rsidRPr="00742A04">
        <w:t xml:space="preserve"> </w:t>
      </w:r>
      <w:r w:rsidR="00736FAD" w:rsidRPr="00742A04">
        <w:t xml:space="preserve">en </w:t>
      </w:r>
      <w:r w:rsidR="00FC4C8D" w:rsidRPr="00742A04">
        <w:t xml:space="preserve">muchas </w:t>
      </w:r>
      <w:r w:rsidR="00F43124" w:rsidRPr="00742A04">
        <w:t>municipalidades</w:t>
      </w:r>
      <w:r w:rsidR="00545D1B" w:rsidRPr="00742A04">
        <w:t xml:space="preserve"> </w:t>
      </w:r>
      <w:r w:rsidR="00736FAD" w:rsidRPr="00742A04">
        <w:t>no existe la supervisión de</w:t>
      </w:r>
      <w:r w:rsidR="00545D1B" w:rsidRPr="00742A04">
        <w:t xml:space="preserve"> </w:t>
      </w:r>
      <w:r w:rsidR="005E2D7A" w:rsidRPr="00742A04">
        <w:t>los inmigrant</w:t>
      </w:r>
      <w:r w:rsidR="0081178E" w:rsidRPr="00742A04">
        <w:t xml:space="preserve">es </w:t>
      </w:r>
      <w:r w:rsidR="00736FAD" w:rsidRPr="00742A04">
        <w:t>llegados recie</w:t>
      </w:r>
      <w:r w:rsidR="00736FAD" w:rsidRPr="00742A04">
        <w:t>n</w:t>
      </w:r>
      <w:r w:rsidR="00736FAD" w:rsidRPr="00742A04">
        <w:t xml:space="preserve">temente </w:t>
      </w:r>
      <w:r w:rsidR="0081178E" w:rsidRPr="00742A04">
        <w:t>que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417824" w:rsidRPr="00742A04">
        <w:t>nece</w:t>
      </w:r>
      <w:r w:rsidR="00736FAD" w:rsidRPr="00742A04">
        <w:t>saria</w:t>
      </w:r>
      <w:r w:rsidR="00545D1B" w:rsidRPr="00742A04">
        <w:t xml:space="preserve"> </w:t>
      </w:r>
      <w:r w:rsidR="00736FAD" w:rsidRPr="00742A04">
        <w:t>para hacer su seguimiento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36FAD" w:rsidRPr="00742A04">
        <w:t>las</w:t>
      </w:r>
      <w:r w:rsidR="00545D1B" w:rsidRPr="00742A04">
        <w:t xml:space="preserve"> </w:t>
      </w:r>
      <w:r w:rsidR="00A8633B" w:rsidRPr="00742A04">
        <w:t>esferas</w:t>
      </w:r>
      <w:r w:rsidR="00545D1B" w:rsidRPr="00742A04">
        <w:t xml:space="preserve"> </w:t>
      </w:r>
      <w:r w:rsidR="001167D2" w:rsidRPr="00742A04">
        <w:t xml:space="preserve">que </w:t>
      </w:r>
      <w:r w:rsidR="008E38BC" w:rsidRPr="00742A04">
        <w:t>se han</w:t>
      </w:r>
      <w:r w:rsidR="00545D1B" w:rsidRPr="00742A04">
        <w:t xml:space="preserve"> inve</w:t>
      </w:r>
      <w:r w:rsidR="00545D1B" w:rsidRPr="00742A04">
        <w:t>s</w:t>
      </w:r>
      <w:r w:rsidR="00545D1B" w:rsidRPr="00742A04">
        <w:t>tiga</w:t>
      </w:r>
      <w:r w:rsidR="00736FAD" w:rsidRPr="00742A04">
        <w:t>do</w:t>
      </w:r>
      <w:r w:rsidR="00545D1B" w:rsidRPr="00742A04">
        <w:t xml:space="preserve">. </w:t>
      </w:r>
      <w:r w:rsidR="00736FAD" w:rsidRPr="00742A04">
        <w:t>Este aspecto será abordado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36FAD" w:rsidRPr="00742A04">
        <w:t>la</w:t>
      </w:r>
      <w:r w:rsidR="00545D1B" w:rsidRPr="00742A04">
        <w:t xml:space="preserve"> </w:t>
      </w:r>
      <w:r w:rsidR="00736FAD" w:rsidRPr="00742A04">
        <w:t xml:space="preserve">circular </w:t>
      </w:r>
      <w:r w:rsidR="001B4F21" w:rsidRPr="00742A04">
        <w:t>anual</w:t>
      </w:r>
      <w:r w:rsidR="00545D1B" w:rsidRPr="00742A04">
        <w:t xml:space="preserve"> </w:t>
      </w:r>
      <w:r w:rsidR="00894371" w:rsidRPr="00742A04">
        <w:t>dirigida</w:t>
      </w:r>
      <w:r w:rsidR="00736FAD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F43124" w:rsidRPr="00742A04">
        <w:t>las municipalid</w:t>
      </w:r>
      <w:r w:rsidR="00F43124" w:rsidRPr="00742A04">
        <w:t>a</w:t>
      </w:r>
      <w:r w:rsidR="00F43124" w:rsidRPr="00742A04">
        <w:t>des</w:t>
      </w:r>
      <w:r w:rsidR="00545D1B" w:rsidRPr="00742A04">
        <w:t>.</w:t>
      </w:r>
      <w:r w:rsidR="001167D2" w:rsidRPr="00742A04">
        <w:t xml:space="preserve"> </w:t>
      </w:r>
      <w:r w:rsidR="00736FAD" w:rsidRPr="00742A04">
        <w:t>E</w:t>
      </w:r>
      <w:r w:rsidR="001167D2" w:rsidRPr="00742A04">
        <w:t xml:space="preserve">l </w:t>
      </w:r>
      <w:r w:rsidR="00FB5EDF" w:rsidRPr="00742A04">
        <w:t>informe</w:t>
      </w:r>
      <w:r w:rsidR="00545D1B" w:rsidRPr="00742A04">
        <w:t xml:space="preserve"> </w:t>
      </w:r>
      <w:r w:rsidR="00736FAD" w:rsidRPr="00742A04">
        <w:t>no dice nada</w:t>
      </w:r>
      <w:r w:rsidR="00545D1B" w:rsidRPr="00742A04">
        <w:t xml:space="preserve"> </w:t>
      </w:r>
      <w:r w:rsidR="003E4840" w:rsidRPr="00742A04">
        <w:t>acerca de</w:t>
      </w:r>
      <w:r w:rsidR="00736FAD" w:rsidRPr="00742A04">
        <w:t xml:space="preserve"> las</w:t>
      </w:r>
      <w:r w:rsidR="00545D1B" w:rsidRPr="00742A04">
        <w:t xml:space="preserve"> </w:t>
      </w:r>
      <w:r w:rsidR="00537384" w:rsidRPr="00742A04">
        <w:t>diferencias de género</w:t>
      </w:r>
      <w:r w:rsidR="00545D1B" w:rsidRPr="00742A04">
        <w:t xml:space="preserve">, </w:t>
      </w:r>
      <w:r w:rsidR="00736FAD" w:rsidRPr="00742A04">
        <w:t>salvo que la</w:t>
      </w:r>
      <w:r w:rsidR="00545D1B" w:rsidRPr="00742A04">
        <w:t xml:space="preserve"> </w:t>
      </w:r>
      <w:r w:rsidR="00B0197C" w:rsidRPr="00742A04">
        <w:t>may</w:t>
      </w:r>
      <w:r w:rsidR="00B0197C" w:rsidRPr="00742A04">
        <w:t>o</w:t>
      </w:r>
      <w:r w:rsidR="00B0197C" w:rsidRPr="00742A04">
        <w:t>ría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36FAD" w:rsidRPr="00742A04">
        <w:t xml:space="preserve">los </w:t>
      </w:r>
      <w:r w:rsidR="00BC00DF" w:rsidRPr="00742A04">
        <w:t>solicitantes de asilo</w:t>
      </w:r>
      <w:r w:rsidR="00736FAD" w:rsidRPr="00742A04">
        <w:t xml:space="preserve"> o </w:t>
      </w:r>
      <w:r w:rsidR="00DA461E" w:rsidRPr="00742A04">
        <w:t>refugiados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736FAD" w:rsidRPr="00742A04">
        <w:t>de sexo masculino</w:t>
      </w:r>
      <w:r w:rsidR="00545D1B" w:rsidRPr="00742A04">
        <w:t>.</w:t>
      </w:r>
      <w:r w:rsidR="001167D2" w:rsidRPr="00742A04">
        <w:t xml:space="preserve"> </w:t>
      </w:r>
      <w:r w:rsidR="00736FAD" w:rsidRPr="00742A04">
        <w:t>En e</w:t>
      </w:r>
      <w:r w:rsidR="001167D2" w:rsidRPr="00742A04">
        <w:t>l</w:t>
      </w:r>
      <w:r w:rsidR="00736FAD" w:rsidRPr="00742A04">
        <w:t xml:space="preserve"> </w:t>
      </w:r>
      <w:r w:rsidR="00FB5EDF" w:rsidRPr="00742A04">
        <w:t>informe</w:t>
      </w:r>
      <w:r w:rsidR="00545D1B" w:rsidRPr="00742A04">
        <w:t xml:space="preserve"> </w:t>
      </w:r>
      <w:r w:rsidR="00CB0748" w:rsidRPr="00742A04">
        <w:t xml:space="preserve">no </w:t>
      </w:r>
      <w:r w:rsidR="00736FAD" w:rsidRPr="00742A04">
        <w:t xml:space="preserve">se </w:t>
      </w:r>
      <w:r w:rsidR="00CB0748" w:rsidRPr="00742A04">
        <w:t>examina</w:t>
      </w:r>
      <w:r w:rsidR="00545D1B" w:rsidRPr="00742A04">
        <w:t xml:space="preserve"> </w:t>
      </w:r>
      <w:r w:rsidR="002213CF" w:rsidRPr="00742A04">
        <w:t>el acceso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51344E" w:rsidRPr="00742A04">
        <w:t>los servicios de salud</w:t>
      </w:r>
      <w:r w:rsidR="00545D1B" w:rsidRPr="00742A04">
        <w:t xml:space="preserve"> </w:t>
      </w:r>
      <w:r w:rsidR="008F0C8E" w:rsidRPr="00742A04">
        <w:t>de</w:t>
      </w:r>
      <w:r w:rsidR="00CB0748" w:rsidRPr="00742A04">
        <w:t>sde</w:t>
      </w:r>
      <w:r w:rsidR="00CF2F77" w:rsidRPr="00742A04">
        <w:t xml:space="preserve"> una perspectiva</w:t>
      </w:r>
      <w:r w:rsidR="00587443" w:rsidRPr="00742A04">
        <w:t xml:space="preserve"> de género</w:t>
      </w:r>
      <w:r w:rsidR="00545D1B" w:rsidRPr="00742A04">
        <w:t xml:space="preserve">. </w:t>
      </w:r>
      <w:r w:rsidR="00AC1BF5" w:rsidRPr="00742A04">
        <w:t>El e</w:t>
      </w:r>
      <w:r w:rsidR="00AC1BF5" w:rsidRPr="00742A04">
        <w:t>s</w:t>
      </w:r>
      <w:r w:rsidR="00AC1BF5" w:rsidRPr="00742A04">
        <w:t>tablecimiento</w:t>
      </w:r>
      <w:r w:rsidR="00545D1B" w:rsidRPr="00742A04">
        <w:t xml:space="preserve"> </w:t>
      </w:r>
      <w:r w:rsidR="00893DBB" w:rsidRPr="00742A04">
        <w:t xml:space="preserve">del </w:t>
      </w:r>
      <w:r w:rsidR="00912890" w:rsidRPr="00742A04">
        <w:t>Centro</w:t>
      </w:r>
      <w:r w:rsidR="00CB2022" w:rsidRPr="00742A04">
        <w:t xml:space="preserve"> de Investigaciones sobre la Salud de las Minorías de N</w:t>
      </w:r>
      <w:r w:rsidR="00CB2022" w:rsidRPr="00742A04">
        <w:t>o</w:t>
      </w:r>
      <w:r w:rsidR="00CB2022" w:rsidRPr="00742A04">
        <w:t>ruega</w:t>
      </w:r>
      <w:r w:rsidR="00545D1B" w:rsidRPr="00742A04">
        <w:t xml:space="preserve"> (NAKMI) </w:t>
      </w:r>
      <w:r w:rsidR="00CB0748" w:rsidRPr="00742A04">
        <w:t>en</w:t>
      </w:r>
      <w:r w:rsidR="00545D1B" w:rsidRPr="00742A04">
        <w:t xml:space="preserve"> </w:t>
      </w:r>
      <w:r w:rsidR="002C189D" w:rsidRPr="00742A04">
        <w:t>el Hospital de la Universidad de Ullevål</w:t>
      </w:r>
      <w:r w:rsidR="00545D1B" w:rsidRPr="00742A04">
        <w:t xml:space="preserve"> </w:t>
      </w:r>
      <w:r w:rsidR="00CB0748" w:rsidRPr="00742A04">
        <w:t>surgió de un</w:t>
      </w:r>
      <w:r w:rsidR="003E4840" w:rsidRPr="00742A04">
        <w:t>a iniciativa</w:t>
      </w:r>
      <w:r w:rsidR="0030626A" w:rsidRPr="00742A04">
        <w:t xml:space="preserve"> del </w:t>
      </w:r>
      <w:r w:rsidRPr="00742A04">
        <w:t>Ministerio</w:t>
      </w:r>
      <w:r w:rsidR="00545D1B" w:rsidRPr="00742A04">
        <w:t xml:space="preserve">. </w:t>
      </w:r>
      <w:r w:rsidR="00CB0748" w:rsidRPr="00742A04">
        <w:t>E</w:t>
      </w:r>
      <w:r w:rsidR="00B306AA" w:rsidRPr="00742A04">
        <w:t>l objetivo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="00CB0748" w:rsidRPr="00742A04">
        <w:t xml:space="preserve">un </w:t>
      </w:r>
      <w:r w:rsidR="00B31D97" w:rsidRPr="00742A04">
        <w:t>tratamiento</w:t>
      </w:r>
      <w:r w:rsidR="00545D1B" w:rsidRPr="00742A04">
        <w:t xml:space="preserve"> </w:t>
      </w:r>
      <w:r w:rsidR="00CB0748" w:rsidRPr="00742A04">
        <w:t xml:space="preserve">médico igualitario </w:t>
      </w:r>
      <w:r w:rsidR="00F43124" w:rsidRPr="00742A04">
        <w:t>para</w:t>
      </w:r>
      <w:r w:rsidR="00CB0748" w:rsidRPr="00742A04">
        <w:t xml:space="preserve"> toda</w:t>
      </w:r>
      <w:r w:rsidR="00545D1B" w:rsidRPr="00742A04">
        <w:t xml:space="preserve"> </w:t>
      </w:r>
      <w:r w:rsidR="00DD710E" w:rsidRPr="00742A04">
        <w:t>la población</w:t>
      </w:r>
      <w:r w:rsidR="00C27C42" w:rsidRPr="00742A04">
        <w:t>.</w:t>
      </w:r>
      <w:r w:rsidR="00545D1B" w:rsidRPr="00742A04">
        <w:t xml:space="preserve"> </w:t>
      </w:r>
      <w:r w:rsidR="00736FAD" w:rsidRPr="00742A04">
        <w:t>El trabajo del Centro NAKMI</w:t>
      </w:r>
      <w:r w:rsidR="00545D1B" w:rsidRPr="00742A04">
        <w:t xml:space="preserve"> </w:t>
      </w:r>
      <w:r w:rsidR="00BB4DB1" w:rsidRPr="00742A04">
        <w:t>es</w:t>
      </w:r>
      <w:r w:rsidR="00736FAD" w:rsidRPr="00742A04">
        <w:t>tá</w:t>
      </w:r>
      <w:r w:rsidR="00545D1B" w:rsidRPr="00742A04">
        <w:t xml:space="preserve"> concentra</w:t>
      </w:r>
      <w:r w:rsidR="00736FAD" w:rsidRPr="00742A04">
        <w:t>do e</w:t>
      </w:r>
      <w:r w:rsidR="00545D1B" w:rsidRPr="00742A04">
        <w:t>n</w:t>
      </w:r>
      <w:r w:rsidR="00736FAD" w:rsidRPr="00742A04">
        <w:t xml:space="preserve"> las</w:t>
      </w:r>
      <w:r w:rsidR="00545D1B" w:rsidRPr="00742A04">
        <w:t xml:space="preserve"> </w:t>
      </w:r>
      <w:r w:rsidR="00736FAD" w:rsidRPr="00742A04">
        <w:t xml:space="preserve">cuestiones </w:t>
      </w:r>
      <w:r w:rsidR="00545D1B" w:rsidRPr="00742A04">
        <w:t>mult</w:t>
      </w:r>
      <w:r w:rsidR="00545D1B" w:rsidRPr="00742A04">
        <w:t>i</w:t>
      </w:r>
      <w:r w:rsidR="002C189D" w:rsidRPr="00742A04">
        <w:t>disciplinaria</w:t>
      </w:r>
      <w:r w:rsidR="00736FAD" w:rsidRPr="00742A04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trans</w:t>
      </w:r>
      <w:r w:rsidR="002C189D" w:rsidRPr="00742A04">
        <w:t>disciplin</w:t>
      </w:r>
      <w:r w:rsidR="002C189D" w:rsidRPr="00742A04">
        <w:t>a</w:t>
      </w:r>
      <w:r w:rsidR="002C189D" w:rsidRPr="00742A04">
        <w:t>ria</w:t>
      </w:r>
      <w:r w:rsidR="00736FAD" w:rsidRPr="00742A04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36FAD" w:rsidRPr="00742A04">
        <w:t xml:space="preserve">la </w:t>
      </w:r>
      <w:r w:rsidR="00587443" w:rsidRPr="00742A04">
        <w:t>comun</w:t>
      </w:r>
      <w:r w:rsidR="00545D1B" w:rsidRPr="00742A04">
        <w:t>ica</w:t>
      </w:r>
      <w:r w:rsidR="00C27C42" w:rsidRPr="00742A04">
        <w:t>ci</w:t>
      </w:r>
      <w:r w:rsidR="00C14BFF" w:rsidRPr="00742A04">
        <w:t>ón</w:t>
      </w:r>
      <w:r w:rsidR="00736FAD" w:rsidRPr="00742A04">
        <w:t xml:space="preserve"> transcultural</w:t>
      </w:r>
      <w:r w:rsidR="000A08D8" w:rsidRPr="00742A04">
        <w:t>.</w:t>
      </w:r>
    </w:p>
    <w:p w:rsidR="00545D1B" w:rsidRPr="00742A04" w:rsidRDefault="004D313C" w:rsidP="001633F4">
      <w:pPr>
        <w:pStyle w:val="SingleTxt"/>
        <w:ind w:firstLine="475"/>
      </w:pPr>
      <w:r w:rsidRPr="00742A04">
        <w:t>En el otoño</w:t>
      </w:r>
      <w:r w:rsidR="00F43124" w:rsidRPr="00742A04">
        <w:t xml:space="preserve"> de</w:t>
      </w:r>
      <w:r w:rsidR="00545D1B" w:rsidRPr="00742A04">
        <w:t xml:space="preserve"> 2006 </w:t>
      </w:r>
      <w:r w:rsidR="008F0C8E" w:rsidRPr="00742A04">
        <w:t>el Gobierno</w:t>
      </w:r>
      <w:r w:rsidR="00545D1B" w:rsidRPr="00742A04">
        <w:t xml:space="preserve"> </w:t>
      </w:r>
      <w:r w:rsidR="00736FAD" w:rsidRPr="00742A04">
        <w:t>presentará</w:t>
      </w:r>
      <w:r w:rsidR="00545D1B" w:rsidRPr="00742A04">
        <w:t xml:space="preserve"> </w:t>
      </w:r>
      <w:r w:rsidR="000472FC" w:rsidRPr="00742A04">
        <w:t>al Storting un informe</w:t>
      </w:r>
      <w:r w:rsidR="00545D1B" w:rsidRPr="00742A04">
        <w:t xml:space="preserve">, </w:t>
      </w:r>
      <w:r w:rsidR="00736FAD" w:rsidRPr="00742A04">
        <w:t>cuyo tema</w:t>
      </w:r>
      <w:r w:rsidR="000B41AF" w:rsidRPr="00742A04">
        <w:t xml:space="preserve"> principal</w:t>
      </w:r>
      <w:r w:rsidR="00545D1B" w:rsidRPr="00742A04">
        <w:t xml:space="preserve"> </w:t>
      </w:r>
      <w:r w:rsidR="00604011" w:rsidRPr="00742A04">
        <w:t>será</w:t>
      </w:r>
      <w:r w:rsidR="00736FAD" w:rsidRPr="00742A04">
        <w:t>n las</w:t>
      </w:r>
      <w:r w:rsidR="00545D1B" w:rsidRPr="00742A04">
        <w:t xml:space="preserve"> </w:t>
      </w:r>
      <w:r w:rsidR="00041F24" w:rsidRPr="00742A04">
        <w:t>formas</w:t>
      </w:r>
      <w:r w:rsidR="00545D1B" w:rsidRPr="00742A04">
        <w:t xml:space="preserve"> </w:t>
      </w:r>
      <w:r w:rsidR="00736FAD" w:rsidRPr="00742A04">
        <w:t xml:space="preserve">futuras </w:t>
      </w:r>
      <w:r w:rsidR="004A0730" w:rsidRPr="00742A04">
        <w:t>de</w:t>
      </w:r>
      <w:r w:rsidR="00545D1B" w:rsidRPr="00742A04">
        <w:t xml:space="preserve"> </w:t>
      </w:r>
      <w:r w:rsidR="00736FAD" w:rsidRPr="00742A04">
        <w:t>cuidado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736FAD" w:rsidRPr="00742A04">
        <w:t>las personas de edad</w:t>
      </w:r>
      <w:r w:rsidR="00545D1B" w:rsidRPr="00742A04">
        <w:t xml:space="preserve">, </w:t>
      </w:r>
      <w:r w:rsidR="00B82A08" w:rsidRPr="00742A04">
        <w:t>las personas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76655" w:rsidRPr="00742A04">
        <w:t>discapacidades funcionales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36FAD" w:rsidRPr="00742A04">
        <w:t>otra</w:t>
      </w:r>
      <w:r w:rsidR="00053E81" w:rsidRPr="00742A04">
        <w:t>s</w:t>
      </w:r>
      <w:r w:rsidR="00736FAD" w:rsidRPr="00742A04">
        <w:t xml:space="preserve"> 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ne</w:t>
      </w:r>
      <w:r w:rsidR="00736FAD" w:rsidRPr="00742A04">
        <w:t>cesitan</w:t>
      </w:r>
      <w:r w:rsidR="00545D1B" w:rsidRPr="00742A04">
        <w:t xml:space="preserve"> </w:t>
      </w:r>
      <w:r w:rsidR="00502E16" w:rsidRPr="00742A04">
        <w:t>asiste</w:t>
      </w:r>
      <w:r w:rsidR="00502E16" w:rsidRPr="00742A04">
        <w:t>n</w:t>
      </w:r>
      <w:r w:rsidR="00502E16" w:rsidRPr="00742A04">
        <w:t>cia</w:t>
      </w:r>
      <w:r w:rsidR="00545D1B" w:rsidRPr="00742A04">
        <w:t xml:space="preserve">. </w:t>
      </w:r>
      <w:r w:rsidR="006F5EFD" w:rsidRPr="00742A04">
        <w:t>Los</w:t>
      </w:r>
      <w:r w:rsidR="00545D1B" w:rsidRPr="00742A04">
        <w:t xml:space="preserve"> </w:t>
      </w:r>
      <w:r w:rsidR="00176976" w:rsidRPr="00742A04">
        <w:t>servicios sociales y de salud</w:t>
      </w:r>
      <w:r w:rsidR="00545D1B" w:rsidRPr="00742A04">
        <w:t xml:space="preserve"> </w:t>
      </w:r>
      <w:r w:rsidR="006F5EFD" w:rsidRPr="00742A04">
        <w:t>municipal se enfrentan a graves problemas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6F5EFD" w:rsidRPr="00742A04">
        <w:t>la creciente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F5EFD" w:rsidRPr="00742A04">
        <w:t>personas de edad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6F5EFD" w:rsidRPr="00742A04">
        <w:t>se enfrentan a un fuerte</w:t>
      </w:r>
      <w:r w:rsidR="007A665B" w:rsidRPr="00742A04">
        <w:t xml:space="preserve"> crecimiento</w:t>
      </w:r>
      <w:r w:rsidR="00545D1B" w:rsidRPr="00742A04">
        <w:t xml:space="preserve"> </w:t>
      </w:r>
      <w:r w:rsidR="006F5EFD" w:rsidRPr="00742A04">
        <w:t>d</w:t>
      </w:r>
      <w:r w:rsidR="00C14BFF" w:rsidRPr="00742A04">
        <w:t>e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1178E" w:rsidRPr="00742A04">
        <w:t>grupos</w:t>
      </w:r>
      <w:r w:rsidR="006F5EFD" w:rsidRPr="00742A04">
        <w:t xml:space="preserve"> de </w:t>
      </w:r>
      <w:r w:rsidR="00894371" w:rsidRPr="00742A04">
        <w:t>usuarios</w:t>
      </w:r>
      <w:r w:rsidR="00894371">
        <w:t xml:space="preserve"> </w:t>
      </w:r>
      <w:r w:rsidR="00894371" w:rsidRPr="00742A04">
        <w:t>más</w:t>
      </w:r>
      <w:r w:rsidR="006F5EFD" w:rsidRPr="00742A04">
        <w:t xml:space="preserve"> jóvenes</w:t>
      </w:r>
      <w:r w:rsidR="00545D1B" w:rsidRPr="00742A04">
        <w:t xml:space="preserve">. </w:t>
      </w:r>
      <w:r w:rsidR="006F5EFD" w:rsidRPr="00742A04">
        <w:t>El i</w:t>
      </w:r>
      <w:r w:rsidR="00B31D97" w:rsidRPr="00742A04">
        <w:t>nforme</w:t>
      </w:r>
      <w:r w:rsidR="00545D1B" w:rsidRPr="00742A04">
        <w:t xml:space="preserve"> </w:t>
      </w:r>
      <w:r w:rsidR="006F5EFD" w:rsidRPr="00742A04">
        <w:t>ti</w:t>
      </w:r>
      <w:r w:rsidR="006F5EFD" w:rsidRPr="00742A04">
        <w:t>e</w:t>
      </w:r>
      <w:r w:rsidR="006F5EFD" w:rsidRPr="00742A04">
        <w:t>ne la finalidad de</w:t>
      </w:r>
      <w:r w:rsidR="00545D1B" w:rsidRPr="00742A04">
        <w:t xml:space="preserve"> formula</w:t>
      </w:r>
      <w:r w:rsidR="006F5EFD" w:rsidRPr="00742A04">
        <w:t>r</w:t>
      </w:r>
      <w:r w:rsidR="00545D1B" w:rsidRPr="00742A04">
        <w:t xml:space="preserve"> </w:t>
      </w:r>
      <w:r w:rsidR="00B2334F" w:rsidRPr="00742A04">
        <w:t>estrategias</w:t>
      </w:r>
      <w:r w:rsidR="00545D1B" w:rsidRPr="00742A04">
        <w:t xml:space="preserve"> </w:t>
      </w:r>
      <w:r w:rsidR="006F5EFD" w:rsidRPr="00742A04">
        <w:t>a largo plazo para hacer frente a</w:t>
      </w:r>
      <w:r w:rsidR="00545D1B" w:rsidRPr="00742A04">
        <w:t xml:space="preserve"> </w:t>
      </w:r>
      <w:r w:rsidR="00502E16" w:rsidRPr="00742A04">
        <w:t xml:space="preserve">los </w:t>
      </w:r>
      <w:r w:rsidR="006F5EFD" w:rsidRPr="00742A04">
        <w:t xml:space="preserve">futuros </w:t>
      </w:r>
      <w:r w:rsidR="00502E16" w:rsidRPr="00742A04">
        <w:t>desafíos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F5EFD" w:rsidRPr="00742A04">
        <w:t>el</w:t>
      </w:r>
      <w:r w:rsidR="00545D1B" w:rsidRPr="00742A04">
        <w:t xml:space="preserve"> se</w:t>
      </w:r>
      <w:r w:rsidR="00545D1B" w:rsidRPr="00742A04">
        <w:t>c</w:t>
      </w:r>
      <w:r w:rsidR="00545D1B" w:rsidRPr="00742A04">
        <w:t>tor</w:t>
      </w:r>
      <w:r w:rsidR="006F5EFD" w:rsidRPr="00742A04">
        <w:t xml:space="preserve"> del cuidado</w:t>
      </w:r>
      <w:r w:rsidR="00545D1B" w:rsidRPr="00742A04">
        <w:t>.</w:t>
      </w:r>
    </w:p>
    <w:p w:rsidR="00545D1B" w:rsidRPr="00742A04" w:rsidRDefault="001167D2" w:rsidP="001633F4">
      <w:pPr>
        <w:pStyle w:val="SingleTxt"/>
        <w:ind w:firstLine="475"/>
        <w:rPr>
          <w:b/>
        </w:rPr>
      </w:pPr>
      <w:r w:rsidRPr="00742A04">
        <w:t>La mayoría</w:t>
      </w:r>
      <w:r w:rsidR="00545D1B" w:rsidRPr="00742A04">
        <w:t xml:space="preserve"> </w:t>
      </w:r>
      <w:r w:rsidR="004A0730" w:rsidRPr="00742A04">
        <w:t>de</w:t>
      </w:r>
      <w:r w:rsidR="006F5EFD" w:rsidRPr="00742A04">
        <w:t xml:space="preserve"> los</w:t>
      </w:r>
      <w:r w:rsidR="00545D1B" w:rsidRPr="00742A04">
        <w:t xml:space="preserve"> </w:t>
      </w:r>
      <w:r w:rsidR="003D75F0" w:rsidRPr="00742A04">
        <w:t>receptores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F5EFD" w:rsidRPr="00742A04">
        <w:t>los servicios de cuidado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6F5EFD" w:rsidRPr="00742A04">
        <w:t>Por co</w:t>
      </w:r>
      <w:r w:rsidR="006F5EFD" w:rsidRPr="00742A04">
        <w:t>n</w:t>
      </w:r>
      <w:r w:rsidR="006F5EFD" w:rsidRPr="00742A04">
        <w:t>siguiente, los</w:t>
      </w:r>
      <w:r w:rsidR="00545D1B" w:rsidRPr="00742A04">
        <w:t xml:space="preserve"> </w:t>
      </w:r>
      <w:r w:rsidR="00600894" w:rsidRPr="00742A04">
        <w:t>problemas de salud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F5EFD" w:rsidRPr="00742A04">
        <w:t>los ancianos</w:t>
      </w:r>
      <w:r w:rsidR="00545D1B" w:rsidRPr="00742A04">
        <w:t xml:space="preserve"> </w:t>
      </w:r>
      <w:r w:rsidR="006F5EFD" w:rsidRPr="00742A04">
        <w:t>de</w:t>
      </w:r>
      <w:r w:rsidR="00545D1B" w:rsidRPr="00742A04">
        <w:t>be</w:t>
      </w:r>
      <w:r w:rsidR="006F5EFD" w:rsidRPr="00742A04">
        <w:t>n</w:t>
      </w:r>
      <w:r w:rsidR="00545D1B" w:rsidRPr="00742A04">
        <w:t xml:space="preserve"> consider</w:t>
      </w:r>
      <w:r w:rsidR="006F5EFD" w:rsidRPr="00742A04">
        <w:t>arse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F5EFD" w:rsidRPr="00742A04">
        <w:t>examinarse</w:t>
      </w:r>
      <w:r w:rsidR="008C4612" w:rsidRPr="00742A04">
        <w:t xml:space="preserve"> </w:t>
      </w:r>
      <w:r w:rsidR="006F5EFD" w:rsidRPr="00742A04">
        <w:t xml:space="preserve">desde la </w:t>
      </w:r>
      <w:r w:rsidR="00032AA7" w:rsidRPr="00742A04">
        <w:t>perspectiva</w:t>
      </w:r>
      <w:r w:rsidR="006F5EFD" w:rsidRPr="00742A04">
        <w:t xml:space="preserve"> de las mujeres</w:t>
      </w:r>
      <w:r w:rsidR="00545D1B" w:rsidRPr="00742A04">
        <w:t xml:space="preserve">. </w:t>
      </w:r>
      <w:r w:rsidR="006F5EFD" w:rsidRPr="00742A04">
        <w:t>Será sumamente importante la er</w:t>
      </w:r>
      <w:r w:rsidR="00545D1B" w:rsidRPr="00742A04">
        <w:t>radica</w:t>
      </w:r>
      <w:r w:rsidR="006F5EFD" w:rsidRPr="00742A04">
        <w:t>ción de las</w:t>
      </w:r>
      <w:r w:rsidR="00545D1B" w:rsidRPr="00742A04">
        <w:t xml:space="preserve"> </w:t>
      </w:r>
      <w:r w:rsidR="006F5EFD" w:rsidRPr="00742A04">
        <w:t xml:space="preserve">desigualdades </w:t>
      </w:r>
      <w:r w:rsidR="00545D1B" w:rsidRPr="00742A04">
        <w:t>social</w:t>
      </w:r>
      <w:r w:rsidR="006F5EFD" w:rsidRPr="00742A04">
        <w:t>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F5EFD" w:rsidRPr="00742A04">
        <w:t xml:space="preserve">las </w:t>
      </w:r>
      <w:r w:rsidR="00DC0DB8" w:rsidRPr="00742A04">
        <w:t>medidas</w:t>
      </w:r>
      <w:r w:rsidR="00545D1B" w:rsidRPr="00742A04">
        <w:t xml:space="preserve"> </w:t>
      </w:r>
      <w:r w:rsidR="00B31D97" w:rsidRPr="00742A04">
        <w:t>para mejorar</w:t>
      </w:r>
      <w:r w:rsidR="00545D1B" w:rsidRPr="00742A04">
        <w:t xml:space="preserve"> </w:t>
      </w:r>
      <w:r w:rsidR="006F5EFD" w:rsidRPr="00742A04">
        <w:t>la vida</w:t>
      </w:r>
      <w:r w:rsidR="00D76655" w:rsidRPr="00742A04">
        <w:t xml:space="preserve"> cotidia</w:t>
      </w:r>
      <w:r w:rsidR="006F5EFD" w:rsidRPr="00742A04">
        <w:t>na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6F5EFD" w:rsidRPr="00742A04">
        <w:t xml:space="preserve">las </w:t>
      </w:r>
      <w:r w:rsidR="00176976" w:rsidRPr="00742A04">
        <w:t>muj</w:t>
      </w:r>
      <w:r w:rsidR="00176976" w:rsidRPr="00742A04">
        <w:t>e</w:t>
      </w:r>
      <w:r w:rsidR="00176976" w:rsidRPr="00742A04">
        <w:t>res de edad</w:t>
      </w:r>
      <w:r w:rsidR="00545D1B" w:rsidRPr="00742A04">
        <w:t xml:space="preserve">. </w:t>
      </w:r>
      <w:r w:rsidR="00501EE5" w:rsidRPr="00742A04">
        <w:t>Esto</w:t>
      </w:r>
      <w:r w:rsidR="00545D1B" w:rsidRPr="00742A04">
        <w:t xml:space="preserve"> </w:t>
      </w:r>
      <w:r w:rsidR="0051344E" w:rsidRPr="00742A04">
        <w:t>plantea un desafío especial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894371" w:rsidRPr="00742A04">
        <w:t>los médicos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1344E" w:rsidRPr="00742A04">
        <w:t>los servicios de s</w:t>
      </w:r>
      <w:r w:rsidR="0051344E" w:rsidRPr="00742A04">
        <w:t>a</w:t>
      </w:r>
      <w:r w:rsidR="0051344E" w:rsidRPr="00742A04">
        <w:t>lud</w:t>
      </w:r>
      <w:r w:rsidR="00501EE5" w:rsidRPr="00742A04">
        <w:t xml:space="preserve"> especializados</w:t>
      </w:r>
      <w:r w:rsidR="00545D1B" w:rsidRPr="00742A04">
        <w:t>.</w:t>
      </w:r>
    </w:p>
    <w:p w:rsidR="00545D1B" w:rsidRPr="00742A04" w:rsidRDefault="004173B8" w:rsidP="00B76C53">
      <w:pPr>
        <w:pStyle w:val="SingleTxt"/>
        <w:keepNext/>
        <w:rPr>
          <w:b/>
        </w:rPr>
      </w:pPr>
      <w:r w:rsidRPr="00742A04">
        <w:rPr>
          <w:b/>
        </w:rPr>
        <w:t>Mutilación genital femenina</w:t>
      </w:r>
    </w:p>
    <w:p w:rsidR="00545D1B" w:rsidRPr="00742A04" w:rsidRDefault="009F3123" w:rsidP="001633F4">
      <w:pPr>
        <w:pStyle w:val="SingleTxt"/>
        <w:ind w:firstLine="475"/>
      </w:pPr>
      <w:r w:rsidRPr="00742A04">
        <w:t>Se ha incorpora</w:t>
      </w:r>
      <w:r w:rsidR="00EE16A2" w:rsidRPr="00742A04">
        <w:t>do</w:t>
      </w:r>
      <w:r w:rsidRPr="00742A04">
        <w:t xml:space="preserve"> a l</w:t>
      </w:r>
      <w:r w:rsidR="001E30D6" w:rsidRPr="00742A04">
        <w:t xml:space="preserve">a </w:t>
      </w:r>
      <w:r w:rsidR="00F97F41" w:rsidRPr="00742A04">
        <w:t>Ley</w:t>
      </w:r>
      <w:r w:rsidR="00545D1B" w:rsidRPr="00742A04">
        <w:t xml:space="preserve"> </w:t>
      </w:r>
      <w:r w:rsidRPr="00742A04">
        <w:t>sobre</w:t>
      </w:r>
      <w:r w:rsidR="00545D1B" w:rsidRPr="00742A04">
        <w:t xml:space="preserve"> prohibi</w:t>
      </w:r>
      <w:r w:rsidR="00C14BFF" w:rsidRPr="00742A04">
        <w:t xml:space="preserve">ción </w:t>
      </w:r>
      <w:r w:rsidRPr="00742A04">
        <w:t>de</w:t>
      </w:r>
      <w:r w:rsidR="00545D1B" w:rsidRPr="00742A04">
        <w:t xml:space="preserve"> </w:t>
      </w:r>
      <w:r w:rsidR="000220D6" w:rsidRPr="00742A04">
        <w:t>la mutilación genital femen</w:t>
      </w:r>
      <w:r w:rsidR="000220D6" w:rsidRPr="00742A04">
        <w:t>i</w:t>
      </w:r>
      <w:r w:rsidR="000220D6" w:rsidRPr="00742A04">
        <w:t>na</w:t>
      </w:r>
      <w:r w:rsidRPr="00742A04">
        <w:t xml:space="preserve"> una nueva disposición</w:t>
      </w:r>
      <w:r w:rsidR="00C14BFF" w:rsidRPr="00742A04">
        <w:t xml:space="preserve"> </w:t>
      </w:r>
      <w:r w:rsidRPr="00742A04">
        <w:t>con arreglo a la cual</w:t>
      </w:r>
      <w:r w:rsidR="00545D1B" w:rsidRPr="00742A04">
        <w:t xml:space="preserve"> </w:t>
      </w:r>
      <w:r w:rsidRPr="00742A04">
        <w:t>los grupos profesionales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11327" w:rsidRPr="00742A04">
        <w:t>los</w:t>
      </w:r>
      <w:r w:rsidR="00380AC9" w:rsidRPr="00742A04">
        <w:t xml:space="preserve"> emple</w:t>
      </w:r>
      <w:r w:rsidR="00380AC9" w:rsidRPr="00742A04">
        <w:t>a</w:t>
      </w:r>
      <w:r w:rsidR="00380AC9" w:rsidRPr="00742A04">
        <w:t>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determinadas</w:t>
      </w:r>
      <w:r w:rsidR="00545D1B" w:rsidRPr="00742A04">
        <w:t xml:space="preserve"> </w:t>
      </w:r>
      <w:r w:rsidR="00EC1B22" w:rsidRPr="00742A04">
        <w:t>empresa</w:t>
      </w:r>
      <w:r w:rsidR="00545D1B" w:rsidRPr="00742A04">
        <w:t xml:space="preserve">s </w:t>
      </w:r>
      <w:r w:rsidRPr="00742A04">
        <w:t>tienen el</w:t>
      </w:r>
      <w:r w:rsidR="00545D1B" w:rsidRPr="00742A04">
        <w:t xml:space="preserve"> </w:t>
      </w:r>
      <w:r w:rsidR="00963214" w:rsidRPr="00742A04">
        <w:t>deber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mutila</w:t>
      </w:r>
      <w:r w:rsidR="00C27C42" w:rsidRPr="00742A04">
        <w:t>ci</w:t>
      </w:r>
      <w:r w:rsidR="00C14BFF" w:rsidRPr="00742A04">
        <w:t>ón</w:t>
      </w:r>
      <w:r w:rsidRPr="00742A04">
        <w:t xml:space="preserve"> gen</w:t>
      </w:r>
      <w:r w:rsidRPr="00742A04">
        <w:t>i</w:t>
      </w:r>
      <w:r w:rsidRPr="00742A04">
        <w:t>tal</w:t>
      </w:r>
      <w:r w:rsidR="00C27C42" w:rsidRPr="00742A04">
        <w:t>.</w:t>
      </w:r>
      <w:r w:rsidR="00545D1B" w:rsidRPr="00742A04">
        <w:t xml:space="preserve"> </w:t>
      </w:r>
      <w:r w:rsidRPr="00742A04">
        <w:t>Esta</w:t>
      </w:r>
      <w:r w:rsidR="00545D1B" w:rsidRPr="00742A04">
        <w:t xml:space="preserve"> </w:t>
      </w:r>
      <w:r w:rsidR="002E2883" w:rsidRPr="00742A04">
        <w:t>disposición</w:t>
      </w:r>
      <w:r w:rsidR="005E6919" w:rsidRPr="00742A04">
        <w:t xml:space="preserve"> </w:t>
      </w:r>
      <w:r w:rsidR="009A12C2" w:rsidRPr="00742A04">
        <w:t>entr</w:t>
      </w:r>
      <w:r w:rsidRPr="00742A04">
        <w:t>ó</w:t>
      </w:r>
      <w:r w:rsidR="009A12C2" w:rsidRPr="00742A04">
        <w:t xml:space="preserve"> en vigor</w:t>
      </w:r>
      <w:r w:rsidR="00545D1B" w:rsidRPr="00742A04">
        <w:t xml:space="preserve"> </w:t>
      </w:r>
      <w:r w:rsidR="002F3238" w:rsidRPr="00742A04">
        <w:t xml:space="preserve">el 1° de </w:t>
      </w:r>
      <w:r w:rsidR="005C39D4" w:rsidRPr="00742A04">
        <w:t>septiembre</w:t>
      </w:r>
      <w:r w:rsidR="003E5775" w:rsidRPr="00742A04">
        <w:t xml:space="preserve"> de</w:t>
      </w:r>
      <w:r w:rsidR="00545D1B" w:rsidRPr="00742A04">
        <w:t xml:space="preserve"> 2004. </w:t>
      </w:r>
      <w:r w:rsidR="006B65CD"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46C41" w:rsidRPr="00742A04">
        <w:t>la dispos</w:t>
      </w:r>
      <w:r w:rsidR="00146C41" w:rsidRPr="00742A04">
        <w:t>i</w:t>
      </w:r>
      <w:r w:rsidR="00146C41" w:rsidRPr="00742A04">
        <w:t>ción</w:t>
      </w:r>
      <w:r w:rsidR="005E6919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F2F77" w:rsidRPr="00742A04">
        <w:t>asegurar</w:t>
      </w:r>
      <w:r w:rsidRPr="00742A04">
        <w:t xml:space="preserve"> una</w:t>
      </w:r>
      <w:r w:rsidR="00545D1B" w:rsidRPr="00742A04">
        <w:t xml:space="preserve"> </w:t>
      </w:r>
      <w:r w:rsidR="009D1A12" w:rsidRPr="00742A04">
        <w:t>mejor</w:t>
      </w:r>
      <w:r w:rsidR="00545D1B" w:rsidRPr="00742A04">
        <w:t xml:space="preserve"> protec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5E6919" w:rsidRPr="00742A04">
        <w:t>las niñas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Pr="00742A04">
        <w:t>puedan ser</w:t>
      </w:r>
      <w:r w:rsidR="00AE655D" w:rsidRPr="00742A04">
        <w:t xml:space="preserve"> víctimas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Pr="00742A04">
        <w:t>m</w:t>
      </w:r>
      <w:r w:rsidRPr="00742A04">
        <w:t>u</w:t>
      </w:r>
      <w:r w:rsidRPr="00742A04">
        <w:t>tilación genital</w:t>
      </w:r>
      <w:r w:rsidR="00C27C42" w:rsidRPr="00742A04">
        <w:t>.</w:t>
      </w:r>
    </w:p>
    <w:p w:rsidR="000A08D8" w:rsidRPr="00742A04" w:rsidRDefault="009F3123" w:rsidP="001633F4">
      <w:pPr>
        <w:pStyle w:val="SingleTxt"/>
        <w:ind w:firstLine="475"/>
      </w:pPr>
      <w:r w:rsidRPr="00742A04">
        <w:t>El</w:t>
      </w:r>
      <w:r w:rsidR="00545D1B" w:rsidRPr="00742A04">
        <w:t xml:space="preserve"> </w:t>
      </w:r>
      <w:r w:rsidR="00963214" w:rsidRPr="00742A04">
        <w:t>deber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 w:rsidRPr="00742A04">
        <w:t>la mutilación genital</w:t>
      </w:r>
      <w:r w:rsidR="00C14BFF" w:rsidRPr="00742A04">
        <w:t xml:space="preserve"> </w:t>
      </w:r>
      <w:r w:rsidR="008E5EBF" w:rsidRPr="00742A04">
        <w:t>se aplica</w:t>
      </w:r>
      <w:r w:rsidR="00CF2F77" w:rsidRPr="00742A04">
        <w:t xml:space="preserve"> a </w:t>
      </w:r>
      <w:r w:rsidRPr="00742A04">
        <w:t>los trabajadores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80AC9" w:rsidRPr="00742A04">
        <w:t>los empleados</w:t>
      </w:r>
      <w:r w:rsidR="00545D1B" w:rsidRPr="00742A04">
        <w:t xml:space="preserve"> </w:t>
      </w:r>
      <w:r w:rsidRPr="00742A04">
        <w:t>d</w:t>
      </w:r>
      <w:r w:rsidR="00C14BFF" w:rsidRPr="00742A04">
        <w:t>e</w:t>
      </w:r>
      <w:r w:rsidR="00545D1B" w:rsidRPr="00742A04">
        <w:t xml:space="preserve"> </w:t>
      </w:r>
      <w:r w:rsidR="00242371" w:rsidRPr="00742A04">
        <w:t>las guarderías</w:t>
      </w:r>
      <w:r w:rsidR="00545D1B" w:rsidRPr="00742A04">
        <w:t xml:space="preserve">, </w:t>
      </w:r>
      <w:r w:rsidR="006D7D2F" w:rsidRPr="00742A04">
        <w:t>los servicios de bienestar infantil</w:t>
      </w:r>
      <w:r w:rsidR="00545D1B" w:rsidRPr="00742A04">
        <w:t xml:space="preserve">, </w:t>
      </w:r>
      <w:r w:rsidRPr="00742A04">
        <w:t xml:space="preserve">los </w:t>
      </w:r>
      <w:r w:rsidR="00176976" w:rsidRPr="00742A04">
        <w:t>servicios sociales y de salud</w:t>
      </w:r>
      <w:r w:rsidR="00545D1B" w:rsidRPr="00742A04">
        <w:t xml:space="preserve">, </w:t>
      </w:r>
      <w:r w:rsidR="003E5775" w:rsidRPr="00742A04">
        <w:t>las escuelas</w:t>
      </w:r>
      <w:r w:rsidR="00545D1B" w:rsidRPr="00742A04">
        <w:t xml:space="preserve">, </w:t>
      </w:r>
      <w:r w:rsidR="00E90329" w:rsidRPr="00742A04">
        <w:t>los servicios de guarderías</w:t>
      </w:r>
      <w:r w:rsidR="00545D1B" w:rsidRPr="00742A04">
        <w:t xml:space="preserve"> </w:t>
      </w:r>
      <w:r w:rsidR="00B75B05" w:rsidRPr="00742A04">
        <w:t>para escolares</w:t>
      </w:r>
      <w:r w:rsidR="00545D1B" w:rsidRPr="00742A04">
        <w:t xml:space="preserve">, </w:t>
      </w:r>
      <w:r w:rsidR="00E90329" w:rsidRPr="00742A04">
        <w:t xml:space="preserve">las </w:t>
      </w:r>
      <w:r w:rsidR="00230F13" w:rsidRPr="00742A04">
        <w:t>comunidades religiosas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90329" w:rsidRPr="00742A04">
        <w:t>los jefes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86279" w:rsidRPr="00742A04">
        <w:t>líderes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30F13" w:rsidRPr="00742A04">
        <w:t>comunidades religiosas</w:t>
      </w:r>
      <w:r w:rsidR="00545D1B" w:rsidRPr="00742A04">
        <w:t xml:space="preserve">. </w:t>
      </w:r>
      <w:r w:rsidR="00E90329" w:rsidRPr="00742A04">
        <w:t>Dichas</w:t>
      </w:r>
      <w:r w:rsidR="00545D1B" w:rsidRPr="00742A04">
        <w:t xml:space="preserve"> </w:t>
      </w:r>
      <w:r w:rsidR="00A8681A" w:rsidRPr="00742A04">
        <w:t>personas</w:t>
      </w:r>
      <w:r w:rsidR="00545D1B" w:rsidRPr="00742A04">
        <w:t xml:space="preserve"> </w:t>
      </w:r>
      <w:r w:rsidR="00E90329" w:rsidRPr="00742A04">
        <w:t>tienen</w:t>
      </w:r>
      <w:r w:rsidR="00545D1B" w:rsidRPr="00742A04">
        <w:t xml:space="preserve"> </w:t>
      </w:r>
      <w:r w:rsidR="00802868" w:rsidRPr="00742A04">
        <w:t>contacto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5E6919" w:rsidRPr="00742A04">
        <w:t>las niñas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97F41" w:rsidRPr="00742A04">
        <w:t>su</w:t>
      </w:r>
      <w:r w:rsidR="00116976" w:rsidRPr="00742A04">
        <w:t xml:space="preserve"> trabajo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90329" w:rsidRPr="00742A04">
        <w:t>el</w:t>
      </w:r>
      <w:r w:rsidR="00545D1B" w:rsidRPr="00742A04">
        <w:t xml:space="preserve"> </w:t>
      </w:r>
      <w:r w:rsidR="00154FBB" w:rsidRPr="00742A04">
        <w:t>ejercicio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46C55" w:rsidRPr="00742A04">
        <w:t>sus</w:t>
      </w:r>
      <w:r w:rsidR="006F4432" w:rsidRPr="00742A04">
        <w:t xml:space="preserve"> profesiones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46C55" w:rsidRPr="00742A04">
        <w:t>sus</w:t>
      </w:r>
      <w:r w:rsidR="00FB34C1" w:rsidRPr="00742A04">
        <w:t xml:space="preserve"> lug</w:t>
      </w:r>
      <w:r w:rsidR="00FB34C1" w:rsidRPr="00742A04">
        <w:t>a</w:t>
      </w:r>
      <w:r w:rsidR="00FB34C1" w:rsidRPr="00742A04">
        <w:t>res de trabajo</w:t>
      </w:r>
      <w:r w:rsidR="00545D1B" w:rsidRPr="00742A04">
        <w:t xml:space="preserve"> </w:t>
      </w:r>
      <w:r w:rsidR="00E90329" w:rsidRPr="00742A04">
        <w:t>tienen</w:t>
      </w:r>
      <w:r w:rsidR="00545D1B" w:rsidRPr="00742A04">
        <w:t xml:space="preserve"> </w:t>
      </w:r>
      <w:r w:rsidR="00E90329" w:rsidRPr="00742A04">
        <w:t>responsabilidades</w:t>
      </w:r>
      <w:r w:rsidR="00545D1B" w:rsidRPr="00742A04">
        <w:t xml:space="preserve"> </w:t>
      </w:r>
      <w:r w:rsidR="00E90329" w:rsidRPr="00742A04">
        <w:t xml:space="preserve">especiales </w:t>
      </w:r>
      <w:r w:rsidR="005E2D7A" w:rsidRPr="00742A04">
        <w:t xml:space="preserve">en relación con </w:t>
      </w:r>
      <w:r w:rsidR="002F3238" w:rsidRPr="00742A04">
        <w:t>los 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3079C" w:rsidRPr="00742A04">
        <w:t>los padres y madres</w:t>
      </w:r>
      <w:r w:rsidR="000A08D8" w:rsidRPr="00742A04">
        <w:t>.</w:t>
      </w:r>
    </w:p>
    <w:p w:rsidR="000A08D8" w:rsidRPr="00742A04" w:rsidRDefault="008F0C8E" w:rsidP="001633F4">
      <w:pPr>
        <w:pStyle w:val="SingleTxt"/>
        <w:ind w:firstLine="475"/>
      </w:pPr>
      <w:r w:rsidRPr="00742A04">
        <w:t>El Gobierno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032136" w:rsidRPr="00742A04">
        <w:t>aprobó enmiendas</w:t>
      </w:r>
      <w:r w:rsidR="00EE16A2" w:rsidRPr="00742A04">
        <w:t xml:space="preserve"> a l</w:t>
      </w:r>
      <w:r w:rsidR="001E30D6" w:rsidRPr="00742A04">
        <w:t xml:space="preserve">a </w:t>
      </w:r>
      <w:r w:rsidR="00230F13" w:rsidRPr="00742A04">
        <w:t>Ley</w:t>
      </w:r>
      <w:r w:rsidR="00545D1B" w:rsidRPr="00742A04">
        <w:t xml:space="preserve"> </w:t>
      </w:r>
      <w:r w:rsidR="005448DD" w:rsidRPr="00742A04">
        <w:t>N° 4</w:t>
      </w:r>
      <w:r w:rsidR="005448DD">
        <w:t xml:space="preserve">, </w:t>
      </w:r>
      <w:r w:rsidR="004A0730" w:rsidRPr="00742A04">
        <w:t>de</w:t>
      </w:r>
      <w:r w:rsidR="00545D1B" w:rsidRPr="00742A04">
        <w:t xml:space="preserve"> 15 </w:t>
      </w:r>
      <w:r w:rsidR="00CE1CFC" w:rsidRPr="00742A04">
        <w:t>de diciembre de</w:t>
      </w:r>
      <w:r w:rsidR="00545D1B" w:rsidRPr="00742A04">
        <w:t xml:space="preserve"> 1995</w:t>
      </w:r>
      <w:r w:rsidR="00EE16A2" w:rsidRPr="00742A04">
        <w:t>,</w:t>
      </w:r>
      <w:r w:rsidR="00545D1B" w:rsidRPr="00742A04">
        <w:t xml:space="preserve"> </w:t>
      </w:r>
      <w:r w:rsidR="00EA6AC2" w:rsidRPr="00742A04">
        <w:t>relativ</w:t>
      </w:r>
      <w:r w:rsidR="00EE16A2" w:rsidRPr="00742A04">
        <w:t>a</w:t>
      </w:r>
      <w:r w:rsidR="005448DD">
        <w:t xml:space="preserve"> a</w:t>
      </w:r>
      <w:r w:rsidR="00EE16A2" w:rsidRPr="00742A04">
        <w:t xml:space="preserve"> l</w:t>
      </w:r>
      <w:r w:rsidR="001E30D6" w:rsidRPr="00742A04">
        <w:t xml:space="preserve">a </w:t>
      </w:r>
      <w:r w:rsidR="008E5EBF" w:rsidRPr="00742A04">
        <w:t>prohibición</w:t>
      </w:r>
      <w:r w:rsidR="00C14BFF" w:rsidRPr="00742A04">
        <w:t xml:space="preserve"> </w:t>
      </w:r>
      <w:r w:rsidR="00EE16A2" w:rsidRPr="00742A04">
        <w:t>de la</w:t>
      </w:r>
      <w:r w:rsidR="00545D1B" w:rsidRPr="00742A04">
        <w:t xml:space="preserve"> </w:t>
      </w:r>
      <w:r w:rsidR="004173B8" w:rsidRPr="00742A04">
        <w:t>mutilación genital</w:t>
      </w:r>
      <w:r w:rsidR="006137EC" w:rsidRPr="00742A04">
        <w:t>; véase</w:t>
      </w:r>
      <w:r w:rsidR="00545D1B" w:rsidRPr="00742A04">
        <w:t xml:space="preserve"> </w:t>
      </w:r>
      <w:r w:rsidR="00EE16A2" w:rsidRPr="00742A04">
        <w:t>e</w:t>
      </w:r>
      <w:r w:rsidR="00831F07" w:rsidRPr="00742A04">
        <w:t>l</w:t>
      </w:r>
      <w:r w:rsidR="00EE16A2" w:rsidRPr="00742A04">
        <w:t xml:space="preserve"> apartado h) del p</w:t>
      </w:r>
      <w:r w:rsidR="00EE16A2" w:rsidRPr="00742A04">
        <w:t>á</w:t>
      </w:r>
      <w:r w:rsidR="00EE16A2" w:rsidRPr="00742A04">
        <w:t>rrafo 3 del</w:t>
      </w:r>
      <w:r w:rsidR="00831F07" w:rsidRPr="00742A04">
        <w:t xml:space="preserve"> artículo </w:t>
      </w:r>
      <w:r w:rsidR="00545D1B" w:rsidRPr="00742A04">
        <w:t xml:space="preserve">12 </w:t>
      </w:r>
      <w:r w:rsidR="008A38B9" w:rsidRPr="00742A04">
        <w:t>del Código Penal</w:t>
      </w:r>
      <w:r w:rsidR="00545D1B" w:rsidRPr="00742A04">
        <w:t xml:space="preserve">. </w:t>
      </w:r>
      <w:r w:rsidR="00EE16A2" w:rsidRPr="00742A04">
        <w:t>La mutilación genital</w:t>
      </w:r>
      <w:r w:rsidR="00C14BFF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EE16A2" w:rsidRPr="00742A04">
        <w:t>un delito penal</w:t>
      </w:r>
      <w:r w:rsidR="00545D1B" w:rsidRPr="00742A04">
        <w:t xml:space="preserve">, </w:t>
      </w:r>
      <w:r w:rsidR="0030626A" w:rsidRPr="00742A04">
        <w:t>también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B75B05" w:rsidRPr="00742A04">
        <w:t>tie</w:t>
      </w:r>
      <w:r w:rsidR="00EE16A2" w:rsidRPr="00742A04">
        <w:t>ne</w:t>
      </w:r>
      <w:r w:rsidR="00B75B05" w:rsidRPr="00742A04">
        <w:t xml:space="preserve"> lugar</w:t>
      </w:r>
      <w:r w:rsidR="00545D1B" w:rsidRPr="00742A04">
        <w:t xml:space="preserve"> </w:t>
      </w:r>
      <w:r w:rsidR="00EE16A2" w:rsidRPr="00742A04">
        <w:t>en el extranjero</w:t>
      </w:r>
      <w:r w:rsidR="00545D1B" w:rsidRPr="00742A04">
        <w:t xml:space="preserve">, </w:t>
      </w:r>
      <w:r w:rsidR="00232DF9" w:rsidRPr="00742A04">
        <w:t>si</w:t>
      </w:r>
      <w:r w:rsidR="00545D1B" w:rsidRPr="00742A04">
        <w:t xml:space="preserve"> </w:t>
      </w:r>
      <w:r w:rsidR="00EE16A2" w:rsidRPr="00742A04">
        <w:t>la practica un</w:t>
      </w:r>
      <w:r w:rsidR="00545D1B" w:rsidRPr="00742A04">
        <w:t xml:space="preserve"> </w:t>
      </w:r>
      <w:r w:rsidR="009B24F7" w:rsidRPr="00742A04">
        <w:t>nacional de Noruega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8E5EBF" w:rsidRPr="00742A04">
        <w:t xml:space="preserve">una persona </w:t>
      </w:r>
      <w:r w:rsidR="00545D1B" w:rsidRPr="00742A04">
        <w:t>resident</w:t>
      </w:r>
      <w:r w:rsidR="00EE16A2" w:rsidRPr="00742A04">
        <w:t>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="00232DF9" w:rsidRPr="00742A04">
        <w:t>Si</w:t>
      </w:r>
      <w:r w:rsidR="00545D1B" w:rsidRPr="00742A04">
        <w:t xml:space="preserve"> </w:t>
      </w:r>
      <w:r w:rsidR="009F3123" w:rsidRPr="00742A04">
        <w:t>los grupos profesionales</w:t>
      </w:r>
      <w:r w:rsidR="00545D1B" w:rsidRPr="00742A04">
        <w:t xml:space="preserve"> </w:t>
      </w:r>
      <w:r w:rsidR="005448DD">
        <w:t>mencionados</w:t>
      </w:r>
      <w:r w:rsidR="00B92550" w:rsidRPr="00742A04">
        <w:t xml:space="preserve"> no hacen lo necesario para impedir que una niña sufra mutilación genital</w:t>
      </w:r>
      <w:r w:rsidR="00545D1B" w:rsidRPr="00742A04">
        <w:t xml:space="preserve">, </w:t>
      </w:r>
      <w:r w:rsidR="000B41AF" w:rsidRPr="00742A04">
        <w:t>siempre que</w:t>
      </w:r>
      <w:r w:rsidR="00545D1B" w:rsidRPr="00742A04">
        <w:t xml:space="preserve">  </w:t>
      </w:r>
      <w:r w:rsidR="00B92550" w:rsidRPr="00742A04">
        <w:t>haya</w:t>
      </w:r>
      <w:r w:rsidR="005448DD">
        <w:t>n</w:t>
      </w:r>
      <w:r w:rsidR="00B92550" w:rsidRPr="00742A04">
        <w:t xml:space="preserve"> tenido </w:t>
      </w:r>
      <w:r w:rsidR="003E5775" w:rsidRPr="00742A04">
        <w:t>conocimiento</w:t>
      </w:r>
      <w:r w:rsidR="00545D1B" w:rsidRPr="00742A04">
        <w:t xml:space="preserve"> </w:t>
      </w:r>
      <w:r w:rsidR="00B92550" w:rsidRPr="00742A04">
        <w:t>de que ello podía ocurrir</w:t>
      </w:r>
      <w:r w:rsidR="00545D1B" w:rsidRPr="00742A04">
        <w:t xml:space="preserve">, </w:t>
      </w:r>
      <w:r w:rsidR="00B92550" w:rsidRPr="00742A04">
        <w:t>la pena</w:t>
      </w:r>
      <w:r w:rsidR="00545D1B" w:rsidRPr="00742A04">
        <w:t xml:space="preserve"> </w:t>
      </w:r>
      <w:r w:rsidR="00B92550" w:rsidRPr="00742A04">
        <w:t>será de</w:t>
      </w:r>
      <w:r w:rsidR="00545D1B" w:rsidRPr="00742A04">
        <w:t xml:space="preserve"> </w:t>
      </w:r>
      <w:r w:rsidR="00B92550" w:rsidRPr="00742A04">
        <w:t>prisión</w:t>
      </w:r>
      <w:r w:rsidR="00545D1B" w:rsidRPr="00742A04">
        <w:t xml:space="preserve"> </w:t>
      </w:r>
      <w:r w:rsidR="00B92550" w:rsidRPr="00742A04">
        <w:t>por un término máximo de</w:t>
      </w:r>
      <w:r w:rsidR="00CC4794" w:rsidRPr="00742A04">
        <w:t xml:space="preserve"> </w:t>
      </w:r>
      <w:r w:rsidR="00C01C28" w:rsidRPr="00742A04">
        <w:t>un año</w:t>
      </w:r>
      <w:r w:rsidR="000A08D8" w:rsidRPr="00742A04">
        <w:t>.</w:t>
      </w:r>
    </w:p>
    <w:p w:rsidR="000A08D8" w:rsidRPr="00742A04" w:rsidRDefault="0038081E" w:rsidP="001633F4">
      <w:pPr>
        <w:pStyle w:val="SingleTxt"/>
        <w:ind w:firstLine="475"/>
      </w:pPr>
      <w:r w:rsidRPr="00742A04">
        <w:t>El Plan</w:t>
      </w:r>
      <w:r w:rsidR="00F650FB" w:rsidRPr="00742A04">
        <w:t xml:space="preserve"> de Acción</w:t>
      </w:r>
      <w:r w:rsidR="00545D1B" w:rsidRPr="00742A04">
        <w:t xml:space="preserve"> Re</w:t>
      </w:r>
      <w:r w:rsidR="007C65B3" w:rsidRPr="00742A04">
        <w:t>n</w:t>
      </w:r>
      <w:r w:rsidR="00B92550" w:rsidRPr="00742A04">
        <w:t>o</w:t>
      </w:r>
      <w:r w:rsidR="007C65B3" w:rsidRPr="00742A04">
        <w:t>va</w:t>
      </w:r>
      <w:r w:rsidR="00545D1B" w:rsidRPr="00742A04">
        <w:t>d</w:t>
      </w:r>
      <w:r w:rsidR="00B92550" w:rsidRPr="00742A04">
        <w:t>os E</w:t>
      </w:r>
      <w:r w:rsidR="00502E16" w:rsidRPr="00742A04">
        <w:t>sfuerzos</w:t>
      </w:r>
      <w:r w:rsidR="00545D1B" w:rsidRPr="00742A04">
        <w:t xml:space="preserve"> </w:t>
      </w:r>
      <w:r w:rsidR="005319F1">
        <w:t>de L</w:t>
      </w:r>
      <w:r w:rsidR="007C341F" w:rsidRPr="00742A04">
        <w:t>ucha contra la</w:t>
      </w:r>
      <w:r w:rsidR="00545D1B" w:rsidRPr="00742A04">
        <w:t xml:space="preserve"> Mutila</w:t>
      </w:r>
      <w:r w:rsidR="00C14BFF" w:rsidRPr="00742A04">
        <w:t xml:space="preserve">ción </w:t>
      </w:r>
      <w:r w:rsidR="00B92550" w:rsidRPr="00742A04">
        <w:t xml:space="preserve">Genital </w:t>
      </w:r>
      <w:r w:rsidR="00545D1B" w:rsidRPr="00742A04">
        <w:t xml:space="preserve">2002 </w:t>
      </w:r>
      <w:r w:rsidR="00B92550" w:rsidRPr="00742A04">
        <w:t>se aplicó</w:t>
      </w:r>
      <w:r w:rsidR="00545D1B" w:rsidRPr="00742A04">
        <w:t xml:space="preserve"> </w:t>
      </w:r>
      <w:r w:rsidR="00B92550" w:rsidRPr="00742A04">
        <w:t>des</w:t>
      </w:r>
      <w:r w:rsidR="008F0C8E" w:rsidRPr="00742A04">
        <w:t>de</w:t>
      </w:r>
      <w:r w:rsidR="00545D1B" w:rsidRPr="00742A04">
        <w:t xml:space="preserve"> 2002 </w:t>
      </w:r>
      <w:r w:rsidR="00B92550" w:rsidRPr="00742A04">
        <w:t>hasta finales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2004.</w:t>
      </w:r>
      <w:r w:rsidR="00B92550" w:rsidRPr="00742A04">
        <w:t xml:space="preserve"> E</w:t>
      </w:r>
      <w:r w:rsidR="001167D2" w:rsidRPr="00742A04">
        <w:t xml:space="preserve">l </w:t>
      </w:r>
      <w:r w:rsidR="008F0C8E" w:rsidRPr="00742A04">
        <w:t>Gobierno</w:t>
      </w:r>
      <w:r w:rsidR="00545D1B" w:rsidRPr="00742A04">
        <w:t xml:space="preserve"> organi</w:t>
      </w:r>
      <w:r w:rsidR="00B92550" w:rsidRPr="00742A04">
        <w:t>zó las</w:t>
      </w:r>
      <w:r w:rsidR="00545D1B" w:rsidRPr="00742A04">
        <w:t xml:space="preserve"> </w:t>
      </w:r>
      <w:r w:rsidR="00614C7D" w:rsidRPr="00742A04">
        <w:t>activid</w:t>
      </w:r>
      <w:r w:rsidR="00614C7D" w:rsidRPr="00742A04">
        <w:t>a</w:t>
      </w:r>
      <w:r w:rsidR="00614C7D" w:rsidRPr="00742A04">
        <w:t>des</w:t>
      </w:r>
      <w:r w:rsidR="00545D1B" w:rsidRPr="00742A04">
        <w:t xml:space="preserve"> </w:t>
      </w:r>
      <w:r w:rsidR="00B92550" w:rsidRPr="00742A04">
        <w:t>dentro de</w:t>
      </w:r>
      <w:r w:rsidR="00545D1B" w:rsidRPr="00742A04">
        <w:t xml:space="preserve"> 33 </w:t>
      </w:r>
      <w:r w:rsidR="00DC0DB8" w:rsidRPr="00742A04">
        <w:t>medidas</w:t>
      </w:r>
      <w:r w:rsidR="00545D1B" w:rsidRPr="00742A04">
        <w:t xml:space="preserve">, </w:t>
      </w:r>
      <w:r w:rsidR="00232DF9" w:rsidRPr="00742A04">
        <w:t>entre otras cosas</w:t>
      </w:r>
      <w:r w:rsidR="00545D1B" w:rsidRPr="00742A04">
        <w:t xml:space="preserve"> </w:t>
      </w:r>
      <w:r w:rsidR="00B92550" w:rsidRPr="00742A04">
        <w:t>mediante</w:t>
      </w:r>
      <w:r w:rsidR="00545D1B" w:rsidRPr="00742A04">
        <w:t xml:space="preserve"> </w:t>
      </w:r>
      <w:r w:rsidR="0077058E" w:rsidRPr="00742A04">
        <w:t>un proyecto</w:t>
      </w:r>
      <w:r w:rsidR="00B92550" w:rsidRPr="00742A04">
        <w:t xml:space="preserve"> e</w:t>
      </w:r>
      <w:r w:rsidR="00545D1B" w:rsidRPr="00742A04">
        <w:t xml:space="preserve">special </w:t>
      </w:r>
      <w:r w:rsidR="00B92550" w:rsidRPr="00742A04">
        <w:t>denom</w:t>
      </w:r>
      <w:r w:rsidR="00B92550" w:rsidRPr="00742A04">
        <w:t>i</w:t>
      </w:r>
      <w:r w:rsidR="00B92550" w:rsidRPr="00742A04">
        <w:t>nado “</w:t>
      </w:r>
      <w:r w:rsidR="00CA313E" w:rsidRPr="00742A04">
        <w:t>OK –</w:t>
      </w:r>
      <w:r w:rsidR="00545D1B" w:rsidRPr="00742A04">
        <w:t xml:space="preserve"> </w:t>
      </w:r>
      <w:r w:rsidR="00CA313E" w:rsidRPr="00742A04">
        <w:t>Cuidados y conocimientos para la l</w:t>
      </w:r>
      <w:r w:rsidR="007C341F" w:rsidRPr="00742A04">
        <w:t>ucha contra la</w:t>
      </w:r>
      <w:r w:rsidR="00545D1B" w:rsidRPr="00742A04">
        <w:t xml:space="preserve"> </w:t>
      </w:r>
      <w:r w:rsidR="00CA313E" w:rsidRPr="00742A04">
        <w:t>circuncisión femen</w:t>
      </w:r>
      <w:r w:rsidR="00CA313E" w:rsidRPr="00742A04">
        <w:t>i</w:t>
      </w:r>
      <w:r w:rsidR="00CA313E" w:rsidRPr="00742A04">
        <w:t>na</w:t>
      </w:r>
      <w:r w:rsidR="00B92550" w:rsidRPr="00742A04">
        <w:t>”</w:t>
      </w:r>
      <w:r w:rsidR="00545D1B" w:rsidRPr="00742A04">
        <w:t xml:space="preserve">. </w:t>
      </w:r>
      <w:r w:rsidR="00495D7B" w:rsidRPr="00742A04">
        <w:t>Un</w:t>
      </w:r>
      <w:r w:rsidR="00B92550" w:rsidRPr="00742A04">
        <w:t>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92550" w:rsidRPr="00742A04">
        <w:t>las</w:t>
      </w:r>
      <w:r w:rsidR="00545D1B" w:rsidRPr="00742A04">
        <w:t xml:space="preserve"> </w:t>
      </w:r>
      <w:r w:rsidR="00F43124" w:rsidRPr="00742A04">
        <w:t>prioridades</w:t>
      </w:r>
      <w:r w:rsidR="00545D1B" w:rsidRPr="00742A04">
        <w:t xml:space="preserve"> </w:t>
      </w:r>
      <w:r w:rsidR="00B92550" w:rsidRPr="00742A04">
        <w:t>consistía en</w:t>
      </w:r>
      <w:r w:rsidR="00545D1B" w:rsidRPr="00742A04">
        <w:t xml:space="preserve"> </w:t>
      </w:r>
      <w:r w:rsidR="00B92550" w:rsidRPr="00742A04">
        <w:t>elabor</w:t>
      </w:r>
      <w:r w:rsidR="00E44A9D" w:rsidRPr="00742A04">
        <w:t>ar</w:t>
      </w:r>
      <w:r w:rsidR="00545D1B" w:rsidRPr="00742A04">
        <w:t xml:space="preserve"> </w:t>
      </w:r>
      <w:r w:rsidR="00587443" w:rsidRPr="00742A04">
        <w:t>métodos</w:t>
      </w:r>
      <w:r w:rsidR="002E5047" w:rsidRPr="00742A04">
        <w:t xml:space="preserve"> e </w:t>
      </w:r>
      <w:r w:rsidR="003C5A2B" w:rsidRPr="00742A04">
        <w:t>instrumentos</w:t>
      </w:r>
      <w:r w:rsidR="00545D1B" w:rsidRPr="00742A04">
        <w:t xml:space="preserve"> </w:t>
      </w:r>
      <w:r w:rsidR="00B92550" w:rsidRPr="00742A04">
        <w:t>para llegar a los</w:t>
      </w:r>
      <w:r w:rsidR="00545D1B" w:rsidRPr="00742A04">
        <w:t xml:space="preserve"> </w:t>
      </w:r>
      <w:r w:rsidR="0081178E" w:rsidRPr="00742A04">
        <w:t>grupos</w:t>
      </w:r>
      <w:r w:rsidR="00545D1B" w:rsidRPr="00742A04">
        <w:t xml:space="preserve"> </w:t>
      </w:r>
      <w:r w:rsidR="00B92550" w:rsidRPr="00742A04">
        <w:t xml:space="preserve">afectados </w:t>
      </w:r>
      <w:r w:rsidR="00877AA0" w:rsidRPr="00742A04">
        <w:t>y</w:t>
      </w:r>
      <w:r w:rsidR="00545D1B" w:rsidRPr="00742A04">
        <w:t xml:space="preserve"> </w:t>
      </w:r>
      <w:r w:rsidR="00B31D97" w:rsidRPr="00742A04">
        <w:t>para mejorar</w:t>
      </w:r>
      <w:r w:rsidR="00545D1B" w:rsidRPr="00742A04">
        <w:t xml:space="preserve"> </w:t>
      </w:r>
      <w:r w:rsidR="00837D84" w:rsidRPr="00742A04">
        <w:t>la competencia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92550" w:rsidRPr="00742A04">
        <w:t xml:space="preserve">los organismos </w:t>
      </w:r>
      <w:r w:rsidR="00CE1CFC" w:rsidRPr="00742A04">
        <w:t>ofi</w:t>
      </w:r>
      <w:r w:rsidR="00545D1B" w:rsidRPr="00742A04">
        <w:t xml:space="preserve">ciales. </w:t>
      </w:r>
      <w:r w:rsidR="00B92550" w:rsidRPr="00742A04">
        <w:t>El proyecto OK</w:t>
      </w:r>
      <w:r w:rsidR="00545D1B" w:rsidRPr="00742A04">
        <w:t xml:space="preserve"> </w:t>
      </w:r>
      <w:r w:rsidR="004F2F8A" w:rsidRPr="00742A04">
        <w:t>produjo</w:t>
      </w:r>
      <w:r w:rsidR="00545D1B" w:rsidRPr="00742A04">
        <w:t xml:space="preserve"> informa</w:t>
      </w:r>
      <w:r w:rsidR="00C14BFF" w:rsidRPr="00742A04">
        <w:t xml:space="preserve">ción </w:t>
      </w:r>
      <w:r w:rsidR="00F43124" w:rsidRPr="00742A04">
        <w:t>para</w:t>
      </w:r>
      <w:r w:rsidR="00545D1B" w:rsidRPr="00742A04">
        <w:t xml:space="preserve"> </w:t>
      </w:r>
      <w:r w:rsidR="00B92550" w:rsidRPr="00742A04">
        <w:t xml:space="preserve">las </w:t>
      </w:r>
      <w:r w:rsidR="00E83B7A" w:rsidRPr="00742A04">
        <w:t>j</w:t>
      </w:r>
      <w:r w:rsidR="00B92550" w:rsidRPr="00742A04">
        <w:t>ó</w:t>
      </w:r>
      <w:r w:rsidR="00E83B7A" w:rsidRPr="00742A04">
        <w:t>ven</w:t>
      </w:r>
      <w:r w:rsidR="00B92550" w:rsidRPr="00742A04">
        <w:t>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B92550" w:rsidRPr="00742A04">
        <w:t>corran</w:t>
      </w:r>
      <w:r w:rsidR="00545D1B" w:rsidRPr="00742A04">
        <w:t xml:space="preserve"> </w:t>
      </w:r>
      <w:r w:rsidR="00DB2F4E" w:rsidRPr="00742A04">
        <w:t>riesgo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92550" w:rsidRPr="00742A04">
        <w:t>sufrir mut</w:t>
      </w:r>
      <w:r w:rsidR="00B92550" w:rsidRPr="00742A04">
        <w:t>i</w:t>
      </w:r>
      <w:r w:rsidR="00B92550" w:rsidRPr="00742A04">
        <w:t>lación genital y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92550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495D7B" w:rsidRPr="00742A04">
        <w:t>ya</w:t>
      </w:r>
      <w:r w:rsidR="00545D1B" w:rsidRPr="00742A04">
        <w:t xml:space="preserve"> </w:t>
      </w:r>
      <w:r w:rsidR="00B92550" w:rsidRPr="00742A04">
        <w:t>ha</w:t>
      </w:r>
      <w:r w:rsidR="005448DD">
        <w:t>ya</w:t>
      </w:r>
      <w:r w:rsidR="00B92550" w:rsidRPr="00742A04">
        <w:t>n sido</w:t>
      </w:r>
      <w:r w:rsidR="00545D1B" w:rsidRPr="00742A04">
        <w:t xml:space="preserve"> mutila</w:t>
      </w:r>
      <w:r w:rsidR="00B92550" w:rsidRPr="00742A04">
        <w:t>das</w:t>
      </w:r>
      <w:r w:rsidR="00545D1B" w:rsidRPr="00742A04">
        <w:t xml:space="preserve">, </w:t>
      </w:r>
      <w:r w:rsidR="00B92550" w:rsidRPr="00742A04">
        <w:t>así como material</w:t>
      </w:r>
      <w:r w:rsidR="00545D1B" w:rsidRPr="00742A04">
        <w:t xml:space="preserve"> </w:t>
      </w:r>
      <w:r w:rsidR="00B92550" w:rsidRPr="00742A04">
        <w:t>i</w:t>
      </w:r>
      <w:r w:rsidR="00B92550" w:rsidRPr="00742A04">
        <w:t>n</w:t>
      </w:r>
      <w:r w:rsidR="00B92550" w:rsidRPr="00742A04">
        <w:t xml:space="preserve">formativo </w:t>
      </w:r>
      <w:r w:rsidR="00545D1B" w:rsidRPr="00742A04">
        <w:t xml:space="preserve">general </w:t>
      </w:r>
      <w:r w:rsidR="00B92550" w:rsidRPr="00742A04">
        <w:t xml:space="preserve">de carácter </w:t>
      </w:r>
      <w:r w:rsidR="003E5775" w:rsidRPr="00742A04">
        <w:t>preventi</w:t>
      </w:r>
      <w:r w:rsidR="00B92550" w:rsidRPr="00742A04">
        <w:t>vo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92550" w:rsidRPr="00742A04">
        <w:t>los grupos minoritarios</w:t>
      </w:r>
      <w:r w:rsidR="00545D1B" w:rsidRPr="00742A04">
        <w:t xml:space="preserve"> </w:t>
      </w:r>
      <w:r w:rsidR="00B92550" w:rsidRPr="00742A04">
        <w:t>cuya</w:t>
      </w:r>
      <w:r w:rsidR="00545D1B" w:rsidRPr="00742A04">
        <w:t xml:space="preserve"> </w:t>
      </w:r>
      <w:r w:rsidR="006C1297" w:rsidRPr="00742A04">
        <w:t>cultur</w:t>
      </w:r>
      <w:r w:rsidR="00B92550" w:rsidRPr="00742A04">
        <w:t>a</w:t>
      </w:r>
      <w:r w:rsidR="008E5EBF" w:rsidRPr="00742A04">
        <w:t xml:space="preserve"> comprend</w:t>
      </w:r>
      <w:r w:rsidR="00B92550" w:rsidRPr="00742A04">
        <w:t>a esta</w:t>
      </w:r>
      <w:r w:rsidR="00545D1B" w:rsidRPr="00742A04">
        <w:t xml:space="preserve"> tradi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B92550" w:rsidRPr="00742A04">
        <w:t>Se han hecho</w:t>
      </w:r>
      <w:r w:rsidR="00502E16" w:rsidRPr="00742A04">
        <w:t xml:space="preserve"> esfuerzos</w:t>
      </w:r>
      <w:r w:rsidR="00545D1B" w:rsidRPr="00742A04">
        <w:t xml:space="preserve"> </w:t>
      </w:r>
      <w:r w:rsidR="00B92550" w:rsidRPr="00742A04">
        <w:t>por transmitir</w:t>
      </w:r>
      <w:r w:rsidR="00545D1B" w:rsidRPr="00742A04">
        <w:t xml:space="preserve"> informa</w:t>
      </w:r>
      <w:r w:rsidR="00C14BFF" w:rsidRPr="00742A04">
        <w:t xml:space="preserve">ción </w:t>
      </w:r>
      <w:r w:rsidR="00B92550" w:rsidRPr="00742A04">
        <w:t>por d</w:t>
      </w:r>
      <w:r w:rsidR="00B92550" w:rsidRPr="00742A04">
        <w:t>i</w:t>
      </w:r>
      <w:r w:rsidR="00B92550" w:rsidRPr="00742A04">
        <w:t>versos conductos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B92550" w:rsidRPr="00742A04">
        <w:t xml:space="preserve">el </w:t>
      </w:r>
      <w:r w:rsidR="00D75341" w:rsidRPr="00742A04">
        <w:t>cine</w:t>
      </w:r>
      <w:r w:rsidR="00B92550" w:rsidRPr="00742A04">
        <w:t xml:space="preserve"> y</w:t>
      </w:r>
      <w:r w:rsidR="00545D1B" w:rsidRPr="00742A04">
        <w:t xml:space="preserve"> </w:t>
      </w:r>
      <w:r w:rsidR="00B92550" w:rsidRPr="00742A04">
        <w:t>el teatro y folletos,</w:t>
      </w:r>
      <w:r w:rsidR="00545D1B" w:rsidRPr="00742A04">
        <w:t xml:space="preserve"> poe</w:t>
      </w:r>
      <w:r w:rsidR="00B92550" w:rsidRPr="00742A04">
        <w:t>sías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92550" w:rsidRPr="00742A04">
        <w:t>canciones</w:t>
      </w:r>
      <w:r w:rsidR="000A08D8" w:rsidRPr="00742A04">
        <w:t>.</w:t>
      </w:r>
    </w:p>
    <w:p w:rsidR="000A08D8" w:rsidRPr="00742A04" w:rsidRDefault="0058094F" w:rsidP="001633F4">
      <w:pPr>
        <w:pStyle w:val="SingleTxt"/>
        <w:ind w:firstLine="475"/>
      </w:pPr>
      <w:r w:rsidRPr="00742A04">
        <w:t>A fin de</w:t>
      </w:r>
      <w:r w:rsidR="00545D1B" w:rsidRPr="00742A04">
        <w:t xml:space="preserve"> </w:t>
      </w:r>
      <w:r w:rsidR="00B31D97" w:rsidRPr="00742A04">
        <w:t>intensificar</w:t>
      </w:r>
      <w:r w:rsidR="00545D1B" w:rsidRPr="00742A04">
        <w:t xml:space="preserve"> </w:t>
      </w:r>
      <w:r w:rsidR="00D53D79" w:rsidRPr="00742A04">
        <w:t>la lucha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D53D79" w:rsidRPr="00742A04">
        <w:t>l</w:t>
      </w:r>
      <w:r w:rsidR="005448DD">
        <w:t>a</w:t>
      </w:r>
      <w:r w:rsidR="00D53D79" w:rsidRPr="00742A04">
        <w:t xml:space="preserve"> </w:t>
      </w:r>
      <w:r w:rsidR="009F3123" w:rsidRPr="00742A04">
        <w:t>mutilación genital</w:t>
      </w:r>
      <w:r w:rsidR="00C14BFF" w:rsidRPr="00742A04">
        <w:t xml:space="preserve"> </w:t>
      </w:r>
      <w:r w:rsidR="00877AA0" w:rsidRPr="00742A04">
        <w:t>y</w:t>
      </w:r>
      <w:r w:rsidR="00D53D79" w:rsidRPr="00742A04">
        <w:t xml:space="preserve"> e</w:t>
      </w:r>
      <w:r w:rsidR="00E575DB" w:rsidRPr="00742A04">
        <w:t xml:space="preserve">l </w:t>
      </w:r>
      <w:r w:rsidR="005E2D7A" w:rsidRPr="00742A04">
        <w:t>seguimiento</w:t>
      </w:r>
      <w:r w:rsidR="00545D1B" w:rsidRPr="00742A04">
        <w:t xml:space="preserve"> </w:t>
      </w:r>
      <w:r w:rsidR="00D53D79" w:rsidRPr="00742A04">
        <w:t>de la</w:t>
      </w:r>
      <w:r w:rsidR="00545D1B" w:rsidRPr="00742A04">
        <w:t xml:space="preserve"> Resolu</w:t>
      </w:r>
      <w:r w:rsidR="00C14BFF" w:rsidRPr="00742A04">
        <w:t xml:space="preserve">ción </w:t>
      </w:r>
      <w:r w:rsidR="00D53D79" w:rsidRPr="00742A04">
        <w:t xml:space="preserve">del Storting </w:t>
      </w:r>
      <w:r w:rsidR="00F97F41" w:rsidRPr="00742A04">
        <w:t>N°</w:t>
      </w:r>
      <w:r w:rsidR="00545D1B" w:rsidRPr="00742A04">
        <w:t xml:space="preserve"> 385 (2004-2005), </w:t>
      </w:r>
      <w:r w:rsidR="00D53D79" w:rsidRPr="00742A04">
        <w:t>se han iniciado</w:t>
      </w:r>
      <w:r w:rsidR="00116976" w:rsidRPr="00742A04">
        <w:t xml:space="preserve"> trabajo</w:t>
      </w:r>
      <w:r w:rsidR="00D53D79" w:rsidRPr="00742A04">
        <w:t>s de estudio de las consecuencias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53D79" w:rsidRPr="00742A04">
        <w:t>la i</w:t>
      </w:r>
      <w:r w:rsidR="00D165B5" w:rsidRPr="00742A04">
        <w:t>ntroducción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53D79" w:rsidRPr="00742A04">
        <w:t xml:space="preserve">la </w:t>
      </w:r>
      <w:r w:rsidR="00545D1B" w:rsidRPr="00742A04">
        <w:t>observa</w:t>
      </w:r>
      <w:r w:rsidR="00C14BFF" w:rsidRPr="00742A04">
        <w:t xml:space="preserve">ción </w:t>
      </w:r>
      <w:r w:rsidR="00D53D79" w:rsidRPr="00742A04">
        <w:t xml:space="preserve">clínica </w:t>
      </w:r>
      <w:r w:rsidR="004A0730" w:rsidRPr="00742A04">
        <w:t>de</w:t>
      </w:r>
      <w:r w:rsidR="00545D1B" w:rsidRPr="00742A04">
        <w:t xml:space="preserve"> </w:t>
      </w:r>
      <w:r w:rsidR="00D53D79" w:rsidRPr="00742A04">
        <w:t>los órganos</w:t>
      </w:r>
      <w:r w:rsidR="00545D1B" w:rsidRPr="00742A04">
        <w:t xml:space="preserve"> genit</w:t>
      </w:r>
      <w:r w:rsidR="00545D1B" w:rsidRPr="00742A04">
        <w:t>a</w:t>
      </w:r>
      <w:r w:rsidR="00545D1B" w:rsidRPr="00742A04">
        <w:t>l</w:t>
      </w:r>
      <w:r w:rsidR="00D53D79" w:rsidRPr="00742A04">
        <w:t>es</w:t>
      </w:r>
      <w:r w:rsidR="00545D1B" w:rsidRPr="00742A04">
        <w:t xml:space="preserve"> </w:t>
      </w:r>
      <w:r w:rsidR="004A0730" w:rsidRPr="00742A04">
        <w:t>de</w:t>
      </w:r>
      <w:r w:rsidR="009D1A12" w:rsidRPr="00742A04">
        <w:t xml:space="preserve"> todos los </w:t>
      </w:r>
      <w:r w:rsidR="002F3238" w:rsidRPr="00742A04">
        <w:t>niños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D53D79" w:rsidRPr="00742A04">
        <w:t>los exá</w:t>
      </w:r>
      <w:r w:rsidR="00C27C42" w:rsidRPr="00742A04">
        <w:t>men</w:t>
      </w:r>
      <w:r w:rsidR="00D53D79" w:rsidRPr="00742A04">
        <w:t>e</w:t>
      </w:r>
      <w:r w:rsidR="00545D1B" w:rsidRPr="00742A04">
        <w:t>s</w:t>
      </w:r>
      <w:r w:rsidR="00D53D79" w:rsidRPr="00742A04">
        <w:t xml:space="preserve"> médicos</w:t>
      </w:r>
      <w:r w:rsidR="00545D1B" w:rsidRPr="00742A04">
        <w:t>,</w:t>
      </w:r>
      <w:r w:rsidR="002E5047" w:rsidRPr="00742A04">
        <w:t xml:space="preserve"> e i</w:t>
      </w:r>
      <w:r w:rsidR="00545D1B" w:rsidRPr="00742A04">
        <w:t>nvestiga</w:t>
      </w:r>
      <w:r w:rsidR="00D53D79" w:rsidRPr="00742A04">
        <w:t>ción del p</w:t>
      </w:r>
      <w:r w:rsidR="00D53D79" w:rsidRPr="00742A04">
        <w:t>o</w:t>
      </w:r>
      <w:r w:rsidR="00D53D79" w:rsidRPr="00742A04">
        <w:t>sible alcance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2E16" w:rsidRPr="00742A04">
        <w:t>tal</w:t>
      </w:r>
      <w:r w:rsidR="00D53D79" w:rsidRPr="00742A04">
        <w:t>es</w:t>
      </w:r>
      <w:r w:rsidR="00545D1B" w:rsidRPr="00742A04">
        <w:t xml:space="preserve"> </w:t>
      </w:r>
      <w:r w:rsidR="00D53D79" w:rsidRPr="00742A04">
        <w:t>exámenes, así como la</w:t>
      </w:r>
      <w:r w:rsidR="00545D1B" w:rsidRPr="00742A04">
        <w:t xml:space="preserve"> consider</w:t>
      </w:r>
      <w:r w:rsidR="00D53D79" w:rsidRPr="00742A04">
        <w:t>ación de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D53D79" w:rsidRPr="00742A04">
        <w:t>deberían ser</w:t>
      </w:r>
      <w:r w:rsidR="00545D1B" w:rsidRPr="00742A04">
        <w:t xml:space="preserve"> </w:t>
      </w:r>
      <w:r w:rsidR="003315C7" w:rsidRPr="00742A04">
        <w:t>oblig</w:t>
      </w:r>
      <w:r w:rsidR="003315C7" w:rsidRPr="00742A04">
        <w:t>a</w:t>
      </w:r>
      <w:r w:rsidR="003315C7" w:rsidRPr="00742A04">
        <w:t>to</w:t>
      </w:r>
      <w:r w:rsidR="00D53D79" w:rsidRPr="00742A04">
        <w:t>rio</w:t>
      </w:r>
      <w:r w:rsidR="003315C7" w:rsidRPr="00742A04">
        <w:t>s</w:t>
      </w:r>
      <w:r w:rsidR="000A08D8" w:rsidRPr="00742A04">
        <w:t>.</w:t>
      </w:r>
    </w:p>
    <w:p w:rsidR="000A08D8" w:rsidRPr="00742A04" w:rsidRDefault="004A0730" w:rsidP="001633F4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C93381" w:rsidRPr="00742A04">
        <w:t>Gobierno Local y Desarrollo Regional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D53D79" w:rsidRPr="00742A04">
        <w:t xml:space="preserve">está </w:t>
      </w:r>
      <w:r w:rsidR="00545D1B" w:rsidRPr="00742A04">
        <w:t>coord</w:t>
      </w:r>
      <w:r w:rsidR="00545D1B" w:rsidRPr="00742A04">
        <w:t>i</w:t>
      </w:r>
      <w:r w:rsidR="00545D1B" w:rsidRPr="00742A04">
        <w:t>na</w:t>
      </w:r>
      <w:r w:rsidR="00B14198">
        <w:t>ndo, e</w:t>
      </w:r>
      <w:r w:rsidR="00894371" w:rsidRPr="00742A04">
        <w:t>n</w:t>
      </w:r>
      <w:r w:rsidR="00C07ED9" w:rsidRPr="00742A04">
        <w:t xml:space="preserve"> cooperación</w:t>
      </w:r>
      <w:r w:rsidR="00C14BFF" w:rsidRPr="00742A04">
        <w:t xml:space="preserve"> </w:t>
      </w:r>
      <w:r w:rsidRPr="00742A04">
        <w:t>con</w:t>
      </w:r>
      <w:r w:rsidR="00545D1B" w:rsidRPr="00742A04">
        <w:t xml:space="preserve"> </w:t>
      </w: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7C341F" w:rsidRPr="00742A04">
        <w:t>Justicia</w:t>
      </w:r>
      <w:r w:rsidR="00545D1B" w:rsidRPr="00742A04">
        <w:t xml:space="preserve"> </w:t>
      </w:r>
      <w:r w:rsidR="00BB4DB1" w:rsidRPr="00742A04">
        <w:t xml:space="preserve">y el </w:t>
      </w:r>
      <w:r w:rsidRPr="00742A04">
        <w:t>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7C341F" w:rsidRPr="00742A04">
        <w:t>y Se</w:t>
      </w:r>
      <w:r w:rsidR="007C341F" w:rsidRPr="00742A04">
        <w:t>r</w:t>
      </w:r>
      <w:r w:rsidR="007C341F" w:rsidRPr="00742A04">
        <w:t>vicios Asistenciales</w:t>
      </w:r>
      <w:r w:rsidR="00D53D79" w:rsidRPr="00742A04">
        <w:t>,</w:t>
      </w:r>
      <w:r w:rsidR="00545D1B" w:rsidRPr="00742A04">
        <w:t xml:space="preserve"> </w:t>
      </w:r>
      <w:r w:rsidR="00D53D79" w:rsidRPr="00742A04">
        <w:t>un proyecto por el cual</w:t>
      </w:r>
      <w:r w:rsidR="00545D1B" w:rsidRPr="00742A04">
        <w:t>,</w:t>
      </w:r>
      <w:r w:rsidR="008C4612" w:rsidRPr="00742A04">
        <w:t xml:space="preserve"> </w:t>
      </w:r>
      <w:r w:rsidR="00D53D79" w:rsidRPr="00742A04">
        <w:t xml:space="preserve">a partir </w:t>
      </w:r>
      <w:r w:rsidR="008C4612" w:rsidRPr="00742A04">
        <w:t xml:space="preserve">de </w:t>
      </w:r>
      <w:r w:rsidR="00CE1CFC" w:rsidRPr="00742A04">
        <w:t>diciembre de</w:t>
      </w:r>
      <w:r w:rsidR="00545D1B" w:rsidRPr="00742A04">
        <w:t xml:space="preserve"> 2004, </w:t>
      </w:r>
      <w:r w:rsidR="00D53D79" w:rsidRPr="00742A04">
        <w:t xml:space="preserve">en </w:t>
      </w:r>
      <w:r w:rsidR="00B14198">
        <w:t>c</w:t>
      </w:r>
      <w:r w:rsidR="00B14198">
        <w:t>o</w:t>
      </w:r>
      <w:r w:rsidR="00B14198">
        <w:t xml:space="preserve">nexión </w:t>
      </w:r>
      <w:r w:rsidRPr="00742A04">
        <w:t>con</w:t>
      </w:r>
      <w:r w:rsidR="00545D1B" w:rsidRPr="00742A04">
        <w:t xml:space="preserve"> </w:t>
      </w:r>
      <w:r w:rsidR="00D53D79" w:rsidRPr="00742A04">
        <w:t xml:space="preserve">las entrevistas relacionadas con el </w:t>
      </w:r>
      <w:r w:rsidR="00072AD7" w:rsidRPr="00742A04">
        <w:t>asilo</w:t>
      </w:r>
      <w:r w:rsidR="00545D1B" w:rsidRPr="00742A04">
        <w:t xml:space="preserve">, </w:t>
      </w:r>
      <w:r w:rsidR="006137EC" w:rsidRPr="00742A04">
        <w:t>s</w:t>
      </w:r>
      <w:r w:rsidR="00D53D79" w:rsidRPr="00742A04">
        <w:t>e</w:t>
      </w:r>
      <w:r w:rsidR="00545D1B" w:rsidRPr="00742A04">
        <w:t xml:space="preserve"> inform</w:t>
      </w:r>
      <w:r w:rsidR="00D53D79" w:rsidRPr="00742A04">
        <w:t>a a</w:t>
      </w:r>
      <w:r w:rsidR="00545D1B" w:rsidRPr="00742A04">
        <w:t xml:space="preserve"> </w:t>
      </w:r>
      <w:r w:rsidR="00D53D79" w:rsidRPr="00742A04">
        <w:t xml:space="preserve">los solicitantes de asilo que </w:t>
      </w:r>
      <w:r w:rsidR="00CA313E" w:rsidRPr="00742A04">
        <w:t>el matrimonio forzado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3D79" w:rsidRPr="00742A04">
        <w:t xml:space="preserve">la </w:t>
      </w:r>
      <w:r w:rsidR="009F3123" w:rsidRPr="00742A04">
        <w:t>mutilación genital</w:t>
      </w:r>
      <w:r w:rsidR="00C14BFF" w:rsidRPr="00742A04">
        <w:t xml:space="preserve"> </w:t>
      </w:r>
      <w:r w:rsidR="00D53D79" w:rsidRPr="00742A04">
        <w:t>está</w:t>
      </w:r>
      <w:r w:rsidR="006137EC" w:rsidRPr="00742A04">
        <w:t>n</w:t>
      </w:r>
      <w:r w:rsidR="00545D1B" w:rsidRPr="00742A04">
        <w:t xml:space="preserve"> </w:t>
      </w:r>
      <w:r w:rsidR="00D53D79" w:rsidRPr="00742A04">
        <w:t>prohi</w:t>
      </w:r>
      <w:r w:rsidR="0073426C" w:rsidRPr="00742A04">
        <w:t>b</w:t>
      </w:r>
      <w:r w:rsidR="00D53D79" w:rsidRPr="00742A04">
        <w:t>idos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</w:t>
      </w:r>
      <w:r w:rsidR="00EA26AB" w:rsidRPr="00742A04">
        <w:t>e</w:t>
      </w:r>
      <w:r w:rsidR="00EA26AB" w:rsidRPr="00742A04">
        <w:t>ga</w:t>
      </w:r>
      <w:r w:rsidR="00545D1B" w:rsidRPr="00742A04">
        <w:t xml:space="preserve">. </w:t>
      </w:r>
      <w:r w:rsidR="00D53D79" w:rsidRPr="00742A04">
        <w:t>Los solicitantes de asilo</w:t>
      </w:r>
      <w:r w:rsidR="00545D1B" w:rsidRPr="00742A04">
        <w:t xml:space="preserve"> </w:t>
      </w:r>
      <w:r w:rsidR="007D4688" w:rsidRPr="00742A04">
        <w:t>debe</w:t>
      </w:r>
      <w:r w:rsidR="00D53D79" w:rsidRPr="00742A04">
        <w:t>n firmar un</w:t>
      </w:r>
      <w:r w:rsidR="00545D1B" w:rsidRPr="00742A04">
        <w:t xml:space="preserve"> </w:t>
      </w:r>
      <w:r w:rsidR="00D53D79" w:rsidRPr="00742A04">
        <w:t>documento</w:t>
      </w:r>
      <w:r w:rsidR="00545D1B" w:rsidRPr="00742A04">
        <w:t xml:space="preserve"> </w:t>
      </w:r>
      <w:r w:rsidR="00D53D79" w:rsidRPr="00742A04">
        <w:t>en el que conste que han</w:t>
      </w:r>
      <w:r w:rsidR="00545D1B" w:rsidRPr="00742A04">
        <w:t xml:space="preserve"> </w:t>
      </w:r>
      <w:r w:rsidR="00644C8F" w:rsidRPr="00742A04">
        <w:t>r</w:t>
      </w:r>
      <w:r w:rsidR="00644C8F" w:rsidRPr="00742A04">
        <w:t>e</w:t>
      </w:r>
      <w:r w:rsidR="00644C8F" w:rsidRPr="00742A04">
        <w:t>cibi</w:t>
      </w:r>
      <w:r w:rsidR="00D53D79" w:rsidRPr="00742A04">
        <w:t>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3D79" w:rsidRPr="00742A04">
        <w:t>comprendido esa</w:t>
      </w:r>
      <w:r w:rsidR="00545D1B" w:rsidRPr="00742A04">
        <w:t xml:space="preserve"> informa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Pr="00742A04">
        <w:t>En</w:t>
      </w:r>
      <w:r w:rsidR="00545D1B" w:rsidRPr="00742A04">
        <w:t xml:space="preserve"> 2006 </w:t>
      </w:r>
      <w:r w:rsidR="00D53D79" w:rsidRPr="00742A04">
        <w:t>esta</w:t>
      </w:r>
      <w:r w:rsidR="00545D1B" w:rsidRPr="00742A04">
        <w:t xml:space="preserve"> me</w:t>
      </w:r>
      <w:r w:rsidR="00D53D79" w:rsidRPr="00742A04">
        <w:t>dida se aplicará</w:t>
      </w:r>
      <w:r w:rsidR="00545D1B" w:rsidRPr="00742A04">
        <w:t xml:space="preserve"> </w:t>
      </w:r>
      <w:r w:rsidR="008F7F9D" w:rsidRPr="00742A04">
        <w:t xml:space="preserve">también </w:t>
      </w:r>
      <w:r w:rsidR="00D53D79" w:rsidRPr="00742A04">
        <w:t>en el caso de</w:t>
      </w:r>
      <w:r w:rsidR="00545D1B" w:rsidRPr="00742A04">
        <w:t xml:space="preserve"> </w:t>
      </w:r>
      <w:r w:rsidR="00D53D79" w:rsidRPr="00742A04">
        <w:t xml:space="preserve">los refugiados en vías de </w:t>
      </w:r>
      <w:r w:rsidR="00FD7D4E" w:rsidRPr="00742A04">
        <w:t>reasentamiento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53D79" w:rsidRPr="00742A04">
        <w:t xml:space="preserve">a los miembros de </w:t>
      </w:r>
      <w:r w:rsidR="005C6D40" w:rsidRPr="00742A04">
        <w:t>familia</w:t>
      </w:r>
      <w:r w:rsidR="00D53D79" w:rsidRPr="00742A04">
        <w:t>s</w:t>
      </w:r>
      <w:r w:rsidR="00545D1B" w:rsidRPr="00742A04">
        <w:t xml:space="preserve"> </w:t>
      </w:r>
      <w:r w:rsidR="00D53D79" w:rsidRPr="00742A04">
        <w:t>r</w:t>
      </w:r>
      <w:r w:rsidR="00D53D79" w:rsidRPr="00742A04">
        <w:t>e</w:t>
      </w:r>
      <w:r w:rsidR="00D53D79" w:rsidRPr="00742A04">
        <w:t>unificadas provenientes de los</w:t>
      </w:r>
      <w:r w:rsidR="00545D1B" w:rsidRPr="00742A04">
        <w:t xml:space="preserve"> </w:t>
      </w:r>
      <w:r w:rsidR="006B65CD" w:rsidRPr="00742A04">
        <w:t>países</w:t>
      </w:r>
      <w:r w:rsidR="00545D1B" w:rsidRPr="00742A04">
        <w:t xml:space="preserve"> </w:t>
      </w:r>
      <w:r w:rsidR="00D53D79" w:rsidRPr="00742A04">
        <w:t>pertinentes en carácter de</w:t>
      </w:r>
      <w:r w:rsidR="00545D1B" w:rsidRPr="00742A04">
        <w:t xml:space="preserve"> </w:t>
      </w:r>
      <w:r w:rsidR="00F66D39" w:rsidRPr="00742A04">
        <w:t>proyecto piloto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5D2D07" w:rsidRPr="00742A04">
        <w:t>distritos policiales</w:t>
      </w:r>
      <w:r w:rsidR="00D53D79" w:rsidRPr="00742A04">
        <w:t xml:space="preserve"> centrales</w:t>
      </w:r>
      <w:r w:rsidR="00545D1B" w:rsidRPr="00742A04">
        <w:t>.</w:t>
      </w:r>
      <w:r w:rsidR="001167D2" w:rsidRPr="00742A04">
        <w:t xml:space="preserve"> </w:t>
      </w:r>
      <w:r w:rsidR="00D53D79" w:rsidRPr="00742A04">
        <w:t>E</w:t>
      </w:r>
      <w:r w:rsidR="001167D2" w:rsidRPr="00742A04">
        <w:t>l</w:t>
      </w:r>
      <w:r w:rsidR="00D53D79" w:rsidRPr="00742A04">
        <w:t xml:space="preserve"> </w:t>
      </w:r>
      <w:r w:rsidRPr="00742A04">
        <w:t>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C93381" w:rsidRPr="00742A04">
        <w:t>Gobierno Local y Desarrollo R</w:t>
      </w:r>
      <w:r w:rsidR="00C93381" w:rsidRPr="00742A04">
        <w:t>e</w:t>
      </w:r>
      <w:r w:rsidR="00C93381" w:rsidRPr="00742A04">
        <w:t>gional</w:t>
      </w:r>
      <w:r w:rsidR="00545D1B" w:rsidRPr="00742A04">
        <w:t xml:space="preserve"> </w:t>
      </w:r>
      <w:r w:rsidR="00912890" w:rsidRPr="00742A04">
        <w:t>ha elaborado</w:t>
      </w:r>
      <w:r w:rsidR="00FF39FE" w:rsidRPr="00742A04">
        <w:t xml:space="preserve"> </w:t>
      </w:r>
      <w:r w:rsidR="00D53D79" w:rsidRPr="00742A04">
        <w:t>el</w:t>
      </w:r>
      <w:r w:rsidR="00FF39FE" w:rsidRPr="00742A04">
        <w:t xml:space="preserve"> </w:t>
      </w:r>
      <w:r w:rsidR="00D53D79" w:rsidRPr="00742A04">
        <w:t>mandato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9B122F" w:rsidRPr="00742A04">
        <w:t>un grupo</w:t>
      </w:r>
      <w:r w:rsidR="005E2D7A" w:rsidRPr="00742A04">
        <w:t xml:space="preserve"> de trabajo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D53D79" w:rsidRPr="00742A04">
        <w:t>informará</w:t>
      </w:r>
      <w:r w:rsidR="00657260" w:rsidRPr="00742A04">
        <w:t xml:space="preserve"> sobre </w:t>
      </w:r>
      <w:r w:rsidR="00F66D39" w:rsidRPr="00742A04">
        <w:t>el proyecto piloto</w:t>
      </w:r>
      <w:r w:rsidR="00545D1B" w:rsidRPr="00742A04">
        <w:t xml:space="preserve">. </w:t>
      </w:r>
      <w:r w:rsidR="00DD5E1A" w:rsidRPr="00742A04">
        <w:t>El grupo</w:t>
      </w:r>
      <w:r w:rsidR="005E2D7A" w:rsidRPr="00742A04">
        <w:t xml:space="preserve"> de trabajo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BB4DB1" w:rsidRPr="00742A04">
        <w:t>es</w:t>
      </w:r>
      <w:r w:rsidR="00D53D79" w:rsidRPr="00742A04">
        <w:t>tá encabezado</w:t>
      </w:r>
      <w:r w:rsidR="00545D1B" w:rsidRPr="00742A04">
        <w:t xml:space="preserve"> </w:t>
      </w:r>
      <w:r w:rsidR="00614C7D" w:rsidRPr="00742A04">
        <w:t xml:space="preserve">por la </w:t>
      </w:r>
      <w:r w:rsidR="008A38B9" w:rsidRPr="00742A04">
        <w:t>Dirección de Inm</w:t>
      </w:r>
      <w:r w:rsidR="00545D1B" w:rsidRPr="00742A04">
        <w:t>i</w:t>
      </w:r>
      <w:r w:rsidR="00545D1B" w:rsidRPr="00742A04">
        <w:t>gra</w:t>
      </w:r>
      <w:r w:rsidR="00D53D79" w:rsidRPr="00742A04">
        <w:t>ció</w:t>
      </w:r>
      <w:r w:rsidR="00545D1B" w:rsidRPr="00742A04">
        <w:t>n/</w:t>
      </w:r>
      <w:r w:rsidR="005D2D07" w:rsidRPr="00742A04">
        <w:t>Dirección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Integra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Divers</w:t>
      </w:r>
      <w:r w:rsidR="00502E16" w:rsidRPr="00742A04">
        <w:t>idad</w:t>
      </w:r>
      <w:r w:rsidR="00545D1B" w:rsidRPr="00742A04">
        <w:t xml:space="preserve">, </w:t>
      </w:r>
      <w:r w:rsidR="000472FC" w:rsidRPr="00742A04">
        <w:t>presentará</w:t>
      </w:r>
      <w:r w:rsidR="00545D1B" w:rsidRPr="00742A04">
        <w:t xml:space="preserve"> </w:t>
      </w:r>
      <w:r w:rsidR="00FC59C5" w:rsidRPr="00742A04">
        <w:t xml:space="preserve">un </w:t>
      </w:r>
      <w:r w:rsidR="00657260" w:rsidRPr="00742A04">
        <w:t xml:space="preserve">informe sobre </w:t>
      </w:r>
      <w:r w:rsidR="004F2F8A" w:rsidRPr="00742A04">
        <w:t>la i</w:t>
      </w:r>
      <w:r w:rsidR="004F2F8A" w:rsidRPr="00742A04">
        <w:t>m</w:t>
      </w:r>
      <w:r w:rsidR="004F2F8A" w:rsidRPr="00742A04">
        <w:t>plementación</w:t>
      </w:r>
      <w:r w:rsidR="00C14BFF" w:rsidRPr="00742A04">
        <w:t xml:space="preserve"> </w:t>
      </w:r>
      <w:r w:rsidR="00D53D79" w:rsidRPr="00742A04">
        <w:t xml:space="preserve">práctica </w:t>
      </w:r>
      <w:r w:rsidR="0077058E" w:rsidRPr="00742A04">
        <w:t>del pr</w:t>
      </w:r>
      <w:r w:rsidR="0077058E" w:rsidRPr="00742A04">
        <w:t>o</w:t>
      </w:r>
      <w:r w:rsidR="0077058E" w:rsidRPr="00742A04">
        <w:t>yecto</w:t>
      </w:r>
      <w:r w:rsidR="00545D1B" w:rsidRPr="00742A04">
        <w:t xml:space="preserve"> </w:t>
      </w:r>
      <w:r w:rsidR="00D53D79" w:rsidRPr="00742A04">
        <w:t>a más tardar el</w:t>
      </w:r>
      <w:r w:rsidR="00545D1B" w:rsidRPr="00742A04">
        <w:t xml:space="preserve"> 15 </w:t>
      </w:r>
      <w:r w:rsidR="00A5364F" w:rsidRPr="00742A04">
        <w:t>febrero de</w:t>
      </w:r>
      <w:r w:rsidR="00545D1B" w:rsidRPr="00742A04">
        <w:t xml:space="preserve"> 2006</w:t>
      </w:r>
      <w:r w:rsidR="000A08D8" w:rsidRPr="00742A04">
        <w:t>.</w:t>
      </w:r>
    </w:p>
    <w:p w:rsidR="000A08D8" w:rsidRPr="00742A04" w:rsidRDefault="00F82622" w:rsidP="001633F4">
      <w:pPr>
        <w:pStyle w:val="SingleTxt"/>
        <w:ind w:firstLine="475"/>
      </w:pPr>
      <w:r w:rsidRPr="00742A04">
        <w:t>Puede consultarse un banco de</w:t>
      </w:r>
      <w:r w:rsidR="00545D1B" w:rsidRPr="00742A04">
        <w:t xml:space="preserve"> informa</w:t>
      </w:r>
      <w:r w:rsidR="00C14BFF" w:rsidRPr="00742A04">
        <w:t xml:space="preserve">ción </w:t>
      </w:r>
      <w:r w:rsidRPr="00742A04">
        <w:t>en</w:t>
      </w:r>
      <w:r w:rsidR="00545D1B" w:rsidRPr="00742A04">
        <w:t xml:space="preserve"> </w:t>
      </w:r>
      <w:r w:rsidR="002213CF" w:rsidRPr="00742A04">
        <w:t xml:space="preserve">el </w:t>
      </w:r>
      <w:r w:rsidRPr="00742A04">
        <w:t xml:space="preserve">sitio Web del </w:t>
      </w:r>
      <w:r w:rsidR="002213CF" w:rsidRPr="00742A04">
        <w:t>proyecto</w:t>
      </w:r>
      <w:r w:rsidRPr="00742A04">
        <w:t>,</w:t>
      </w:r>
      <w:r w:rsidR="00545D1B" w:rsidRPr="00742A04">
        <w:t xml:space="preserve"> </w:t>
      </w:r>
      <w:hyperlink r:id="rId20" w:history="1">
        <w:r w:rsidR="00545D1B" w:rsidRPr="00742A04">
          <w:rPr>
            <w:rStyle w:val="Hyperlink"/>
          </w:rPr>
          <w:t>www.okprosjekt.no</w:t>
        </w:r>
      </w:hyperlink>
      <w:r w:rsidR="00AF226C" w:rsidRPr="00742A04">
        <w:t>,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E41F3" w:rsidRPr="00742A04">
        <w:t>tres</w:t>
      </w:r>
      <w:r w:rsidR="00545D1B" w:rsidRPr="00742A04">
        <w:t xml:space="preserve"> </w:t>
      </w:r>
      <w:r w:rsidR="00D3378F" w:rsidRPr="00742A04">
        <w:t>idioma</w:t>
      </w:r>
      <w:r w:rsidR="00545D1B" w:rsidRPr="00742A04">
        <w:t xml:space="preserve">s. </w:t>
      </w:r>
      <w:r w:rsidR="00B92550" w:rsidRPr="00742A04">
        <w:t>El proyecto OK</w:t>
      </w:r>
      <w:r w:rsidR="00545D1B" w:rsidRPr="00742A04">
        <w:t xml:space="preserve"> </w:t>
      </w:r>
      <w:r w:rsidR="00AF226C" w:rsidRPr="00742A04">
        <w:t>terminó</w:t>
      </w:r>
      <w:r w:rsidR="00545D1B" w:rsidRPr="00742A04">
        <w:t xml:space="preserve"> </w:t>
      </w:r>
      <w:r w:rsidR="00AF226C" w:rsidRPr="00742A04">
        <w:t>el</w:t>
      </w:r>
      <w:r w:rsidR="00545D1B" w:rsidRPr="00742A04">
        <w:t xml:space="preserve"> 31 </w:t>
      </w:r>
      <w:r w:rsidR="00CE1CFC" w:rsidRPr="00742A04">
        <w:t>de diciembre de</w:t>
      </w:r>
      <w:r w:rsidR="00545D1B" w:rsidRPr="00742A04">
        <w:t xml:space="preserve"> 2004. </w:t>
      </w:r>
      <w:r w:rsidR="00AF226C" w:rsidRPr="00742A04">
        <w:t xml:space="preserve">Posteriormente, </w:t>
      </w:r>
      <w:r w:rsidR="00DD5E1A" w:rsidRPr="00742A04">
        <w:t>la experiencia</w:t>
      </w:r>
      <w:r w:rsidR="00545D1B" w:rsidRPr="00742A04">
        <w:t xml:space="preserve"> </w:t>
      </w:r>
      <w:r w:rsidR="00AF226C" w:rsidRPr="00742A04">
        <w:t xml:space="preserve">obtenida mediante </w:t>
      </w:r>
      <w:r w:rsidR="0077058E" w:rsidRPr="00742A04">
        <w:t>el proyecto</w:t>
      </w:r>
      <w:r w:rsidR="00545D1B" w:rsidRPr="00742A04">
        <w:t xml:space="preserve"> </w:t>
      </w:r>
      <w:r w:rsidR="00AF226C" w:rsidRPr="00742A04">
        <w:t>fue</w:t>
      </w:r>
      <w:r w:rsidR="00545D1B" w:rsidRPr="00742A04">
        <w:t xml:space="preserve"> transfer</w:t>
      </w:r>
      <w:r w:rsidR="00AF226C" w:rsidRPr="00742A04">
        <w:t>ida</w:t>
      </w:r>
      <w:r w:rsidR="00545D1B" w:rsidRPr="00742A04">
        <w:t xml:space="preserve"> </w:t>
      </w:r>
      <w:r w:rsidR="0030626A" w:rsidRPr="00742A04">
        <w:t>a</w:t>
      </w:r>
      <w:r w:rsidR="00912890" w:rsidRPr="00742A04">
        <w:t>l Centro</w:t>
      </w:r>
      <w:r w:rsidR="00CB2022" w:rsidRPr="00742A04">
        <w:t xml:space="preserve"> de Investigaciones sobre la Salud de las Minorías de Noruega</w:t>
      </w:r>
      <w:r w:rsidR="00545D1B" w:rsidRPr="00742A04">
        <w:t xml:space="preserve"> (NAKMI), </w:t>
      </w:r>
      <w:r w:rsidR="00E575DB" w:rsidRPr="00742A04">
        <w:t>que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F226C" w:rsidRPr="00742A04">
        <w:t>una dependencia estatal</w:t>
      </w:r>
      <w:r w:rsidR="00545D1B" w:rsidRPr="00742A04">
        <w:t xml:space="preserve"> establ</w:t>
      </w:r>
      <w:r w:rsidR="00AF226C" w:rsidRPr="00742A04">
        <w:t>ecida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AF226C" w:rsidRPr="00742A04">
        <w:t>el</w:t>
      </w:r>
      <w:r w:rsidR="00545D1B" w:rsidRPr="00742A04">
        <w:t xml:space="preserve"> </w:t>
      </w:r>
      <w:r w:rsidR="00D75341" w:rsidRPr="00742A04">
        <w:t>anterior</w:t>
      </w:r>
      <w:r w:rsidR="00545D1B" w:rsidRPr="00742A04">
        <w:t xml:space="preserve"> </w:t>
      </w:r>
      <w:r w:rsidR="00B6265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F226C" w:rsidRPr="00742A04">
        <w:t>ub</w:t>
      </w:r>
      <w:r w:rsidR="00AF226C" w:rsidRPr="00742A04">
        <w:t>i</w:t>
      </w:r>
      <w:r w:rsidR="00AF226C" w:rsidRPr="00742A04">
        <w:t>ca</w:t>
      </w:r>
      <w:r w:rsidR="00545D1B" w:rsidRPr="00742A04">
        <w:t>d</w:t>
      </w:r>
      <w:r w:rsidR="00AF226C" w:rsidRPr="00742A04">
        <w:t>a en</w:t>
      </w:r>
      <w:r w:rsidR="00545D1B" w:rsidRPr="00742A04">
        <w:t xml:space="preserve"> </w:t>
      </w:r>
      <w:r w:rsidR="002C189D" w:rsidRPr="00742A04">
        <w:t>el Hospital de la Universidad de Ullevål</w:t>
      </w:r>
      <w:r w:rsidR="00545D1B" w:rsidRPr="00742A04">
        <w:t xml:space="preserve">. </w:t>
      </w:r>
      <w:r w:rsidR="006B65CD"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F226C" w:rsidRPr="00742A04">
        <w:t>esto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F226C" w:rsidRPr="00742A04">
        <w:t>reunir</w:t>
      </w:r>
      <w:r w:rsidR="00545D1B" w:rsidRPr="00742A04">
        <w:t xml:space="preserve"> </w:t>
      </w:r>
      <w:r w:rsidR="00DD5E1A" w:rsidRPr="00742A04">
        <w:t>la experiencia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F226C" w:rsidRPr="00742A04">
        <w:t xml:space="preserve">el </w:t>
      </w:r>
      <w:r w:rsidR="003E5775" w:rsidRPr="00742A04">
        <w:t>conocimiento</w:t>
      </w:r>
      <w:r w:rsidR="00545D1B" w:rsidRPr="00742A04">
        <w:t xml:space="preserve"> </w:t>
      </w:r>
      <w:r w:rsidR="00AF226C" w:rsidRPr="00742A04">
        <w:t>obtenidos mediante</w:t>
      </w:r>
      <w:r w:rsidR="00545D1B" w:rsidRPr="00742A04">
        <w:t xml:space="preserve"> </w:t>
      </w:r>
      <w:r w:rsidR="00B92550" w:rsidRPr="00742A04">
        <w:t>el proyecto OK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95D7B" w:rsidRPr="00742A04">
        <w:t>un</w:t>
      </w:r>
      <w:r w:rsidR="00AF226C" w:rsidRPr="00742A04">
        <w:t xml:space="preserve"> lugar</w:t>
      </w:r>
      <w:r w:rsidR="00545D1B" w:rsidRPr="00742A04">
        <w:t xml:space="preserve"> </w:t>
      </w:r>
      <w:r w:rsidR="00AF226C" w:rsidRPr="00742A04">
        <w:t>para que siga siendo accesible</w:t>
      </w:r>
      <w:r w:rsidR="00AC5D28" w:rsidRPr="00742A04">
        <w:t xml:space="preserve"> y </w:t>
      </w:r>
      <w:r w:rsidR="00AF226C" w:rsidRPr="00742A04">
        <w:t>se actualice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44A9D" w:rsidRPr="00742A04">
        <w:t>desarroll</w:t>
      </w:r>
      <w:r w:rsidR="00AF226C" w:rsidRPr="00742A04">
        <w:t>e</w:t>
      </w:r>
      <w:r w:rsidR="00545D1B" w:rsidRPr="00742A04">
        <w:t xml:space="preserve">. </w:t>
      </w:r>
      <w:r w:rsidR="0030626A" w:rsidRPr="00742A04">
        <w:t>Además de</w:t>
      </w:r>
      <w:r w:rsidR="00545D1B" w:rsidRPr="00742A04">
        <w:t xml:space="preserve"> </w:t>
      </w:r>
      <w:r w:rsidR="00AF226C" w:rsidRPr="00742A04">
        <w:t>ello</w:t>
      </w:r>
      <w:r w:rsidR="00545D1B" w:rsidRPr="00742A04">
        <w:t xml:space="preserve">, </w:t>
      </w:r>
      <w:r w:rsidR="001B4F21" w:rsidRPr="00742A04">
        <w:t xml:space="preserve">cada uno </w:t>
      </w:r>
      <w:r w:rsidR="00C076F2" w:rsidRPr="00742A04">
        <w:t xml:space="preserve">de los </w:t>
      </w:r>
      <w:r w:rsidR="001B4F21" w:rsidRPr="00742A04">
        <w:t>ministerios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4F2F8A" w:rsidRPr="00742A04">
        <w:t>responsable</w:t>
      </w:r>
      <w:r w:rsidR="00AF226C" w:rsidRPr="00742A04">
        <w:t xml:space="preserve"> de</w:t>
      </w:r>
      <w:r w:rsidR="00545D1B" w:rsidRPr="00742A04">
        <w:t xml:space="preserve"> </w:t>
      </w:r>
      <w:r w:rsidR="00E32F2A" w:rsidRPr="00742A04">
        <w:t>la lucha contra</w:t>
      </w:r>
      <w:r w:rsidR="00545D1B" w:rsidRPr="00742A04">
        <w:t xml:space="preserve"> </w:t>
      </w:r>
      <w:r w:rsidR="00AF226C" w:rsidRPr="00742A04">
        <w:t xml:space="preserve">la </w:t>
      </w:r>
      <w:r w:rsidR="009F3123" w:rsidRPr="00742A04">
        <w:t>mutilación genital</w:t>
      </w:r>
      <w:r w:rsidR="00C14BFF" w:rsidRPr="00742A04">
        <w:t xml:space="preserve"> </w:t>
      </w:r>
      <w:r w:rsidR="00C07ED9" w:rsidRPr="00742A04">
        <w:t>dentro de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7C65B3" w:rsidRPr="00742A04">
        <w:t>propi</w:t>
      </w:r>
      <w:r w:rsidR="00AF226C" w:rsidRPr="00742A04">
        <w:t>a esfera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E5EBF" w:rsidRPr="00742A04">
        <w:t>responsabilidad</w:t>
      </w:r>
      <w:r w:rsidR="00545D1B" w:rsidRPr="00742A04">
        <w:t>.</w:t>
      </w:r>
      <w:r w:rsidR="001167D2" w:rsidRPr="00742A04">
        <w:t xml:space="preserve"> </w:t>
      </w:r>
      <w:r w:rsidR="00AF226C" w:rsidRPr="00742A04">
        <w:t>E</w:t>
      </w:r>
      <w:r w:rsidR="001167D2" w:rsidRPr="00742A04">
        <w:t>l</w:t>
      </w:r>
      <w:r w:rsidR="00AF226C" w:rsidRPr="00742A04">
        <w:t xml:space="preserve"> </w:t>
      </w:r>
      <w:r w:rsidR="008F0C8E" w:rsidRPr="00742A04">
        <w:t>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4F2F8A" w:rsidRPr="00742A04">
        <w:t>re</w:t>
      </w:r>
      <w:r w:rsidR="004F2F8A" w:rsidRPr="00742A04">
        <w:t>s</w:t>
      </w:r>
      <w:r w:rsidR="004F2F8A" w:rsidRPr="00742A04">
        <w:t>ponsable</w:t>
      </w:r>
      <w:r w:rsidR="00545D1B" w:rsidRPr="00742A04">
        <w:t xml:space="preserve"> </w:t>
      </w:r>
      <w:r w:rsidR="00AF226C" w:rsidRPr="00742A04">
        <w:t>de la</w:t>
      </w:r>
      <w:r w:rsidR="00545D1B" w:rsidRPr="00742A04">
        <w:t xml:space="preserve"> ac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AF226C" w:rsidRPr="00742A04">
        <w:t xml:space="preserve">la </w:t>
      </w:r>
      <w:r w:rsidR="00545D1B" w:rsidRPr="00742A04">
        <w:t>coo</w:t>
      </w:r>
      <w:r w:rsidR="00545D1B" w:rsidRPr="00742A04">
        <w:t>r</w:t>
      </w:r>
      <w:r w:rsidR="00545D1B" w:rsidRPr="00742A04">
        <w:t>dina</w:t>
      </w:r>
      <w:r w:rsidR="00C14BFF" w:rsidRPr="00742A04">
        <w:t xml:space="preserve">ción </w:t>
      </w:r>
      <w:r w:rsidR="00FC4C8D" w:rsidRPr="00742A04">
        <w:t>a nivel nacional</w:t>
      </w:r>
      <w:r w:rsidR="000A08D8" w:rsidRPr="00742A04">
        <w:t>.</w:t>
      </w:r>
    </w:p>
    <w:p w:rsidR="00A835F7" w:rsidRPr="00742A04" w:rsidRDefault="00A835F7" w:rsidP="00A835F7">
      <w:pPr>
        <w:pStyle w:val="H1"/>
        <w:spacing w:line="120" w:lineRule="exact"/>
        <w:ind w:left="1267"/>
        <w:rPr>
          <w:bCs/>
          <w:sz w:val="10"/>
        </w:rPr>
      </w:pPr>
      <w:bookmarkStart w:id="65" w:name="_Toc147129480"/>
    </w:p>
    <w:p w:rsidR="00545D1B" w:rsidRPr="00742A04" w:rsidRDefault="00814B5D" w:rsidP="00A835F7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13</w:t>
      </w:r>
      <w:bookmarkEnd w:id="65"/>
    </w:p>
    <w:p w:rsidR="00A835F7" w:rsidRPr="00742A04" w:rsidRDefault="00A835F7" w:rsidP="00A835F7">
      <w:pPr>
        <w:pStyle w:val="H1"/>
        <w:spacing w:line="120" w:lineRule="exact"/>
        <w:ind w:left="1267"/>
        <w:rPr>
          <w:bCs/>
          <w:sz w:val="10"/>
        </w:rPr>
      </w:pPr>
      <w:bookmarkStart w:id="66" w:name="_Toc147129481"/>
    </w:p>
    <w:p w:rsidR="00A835F7" w:rsidRPr="00742A04" w:rsidRDefault="00814B5D" w:rsidP="008920C7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</w:t>
      </w:r>
      <w:smartTag w:uri="urn:schemas-microsoft-com:office:smarttags" w:element="metricconverter">
        <w:smartTagPr>
          <w:attr w:name="ProductID" w:val="13 a"/>
        </w:smartTagPr>
        <w:r w:rsidR="00545D1B" w:rsidRPr="00742A04">
          <w:rPr>
            <w:bCs/>
          </w:rPr>
          <w:t xml:space="preserve">13 </w:t>
        </w:r>
        <w:r w:rsidR="00545D1B" w:rsidRPr="00742A04">
          <w:rPr>
            <w:bCs/>
            <w:i/>
          </w:rPr>
          <w:t>a</w:t>
        </w:r>
      </w:smartTag>
      <w:r w:rsidR="00545D1B" w:rsidRPr="00742A04">
        <w:rPr>
          <w:bCs/>
        </w:rPr>
        <w:t xml:space="preserve"> </w:t>
      </w:r>
    </w:p>
    <w:p w:rsidR="00545D1B" w:rsidRPr="00742A04" w:rsidRDefault="00B83FEB" w:rsidP="008920C7">
      <w:pPr>
        <w:pStyle w:val="H23"/>
        <w:ind w:left="1267"/>
        <w:rPr>
          <w:bCs/>
        </w:rPr>
      </w:pPr>
      <w:r w:rsidRPr="00742A04">
        <w:rPr>
          <w:bCs/>
        </w:rPr>
        <w:t>Derecho a prestaciones familiares</w:t>
      </w:r>
      <w:bookmarkEnd w:id="66"/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</w:p>
    <w:p w:rsidR="000A08D8" w:rsidRPr="00742A04" w:rsidRDefault="0046110E" w:rsidP="001633F4">
      <w:pPr>
        <w:pStyle w:val="SingleTxt"/>
        <w:ind w:firstLine="475"/>
      </w:pPr>
      <w:r w:rsidRPr="00742A04">
        <w:t>Cabe remitirse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81EAA" w:rsidRPr="00742A04">
        <w:t>los anteriores informes de Noruega</w:t>
      </w:r>
      <w:r w:rsidR="000A08D8" w:rsidRPr="00742A04">
        <w:t>.</w:t>
      </w:r>
    </w:p>
    <w:p w:rsidR="00A835F7" w:rsidRPr="00742A04" w:rsidRDefault="00A835F7" w:rsidP="00A835F7">
      <w:pPr>
        <w:pStyle w:val="H1"/>
        <w:spacing w:line="120" w:lineRule="exact"/>
        <w:ind w:left="1267"/>
        <w:rPr>
          <w:bCs/>
          <w:sz w:val="10"/>
        </w:rPr>
      </w:pPr>
      <w:bookmarkStart w:id="67" w:name="_Toc147129482"/>
    </w:p>
    <w:p w:rsidR="00A835F7" w:rsidRPr="00742A04" w:rsidRDefault="00814B5D" w:rsidP="008920C7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A835F7" w:rsidRPr="00742A04">
        <w:rPr>
          <w:bCs/>
        </w:rPr>
        <w:t xml:space="preserve"> 13 </w:t>
      </w:r>
      <w:r w:rsidR="00A835F7" w:rsidRPr="00742A04">
        <w:rPr>
          <w:bCs/>
          <w:i/>
        </w:rPr>
        <w:t>b</w:t>
      </w:r>
    </w:p>
    <w:p w:rsidR="00545D1B" w:rsidRPr="00742A04" w:rsidRDefault="00B83FEB" w:rsidP="008920C7">
      <w:pPr>
        <w:pStyle w:val="H23"/>
        <w:ind w:left="1267"/>
        <w:rPr>
          <w:bCs/>
        </w:rPr>
      </w:pPr>
      <w:r w:rsidRPr="00742A04">
        <w:rPr>
          <w:bCs/>
        </w:rPr>
        <w:t>Derechos económicos</w:t>
      </w:r>
      <w:bookmarkEnd w:id="67"/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</w:p>
    <w:p w:rsidR="000A08D8" w:rsidRPr="00742A04" w:rsidRDefault="0046110E" w:rsidP="001633F4">
      <w:pPr>
        <w:pStyle w:val="SingleTxt"/>
        <w:ind w:firstLine="475"/>
      </w:pPr>
      <w:r w:rsidRPr="00742A04">
        <w:t>Cabe remitirse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81EAA" w:rsidRPr="00742A04">
        <w:t>los anteriores informes de Noruega</w:t>
      </w:r>
      <w:r w:rsidR="000A08D8" w:rsidRPr="00742A04">
        <w:t>.</w:t>
      </w:r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  <w:bookmarkStart w:id="68" w:name="_Toc147129483"/>
    </w:p>
    <w:p w:rsidR="00A835F7" w:rsidRPr="00742A04" w:rsidRDefault="00814B5D" w:rsidP="008920C7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A835F7" w:rsidRPr="00742A04">
        <w:rPr>
          <w:bCs/>
        </w:rPr>
        <w:t xml:space="preserve"> 13 </w:t>
      </w:r>
      <w:r w:rsidR="00A835F7" w:rsidRPr="00742A04">
        <w:rPr>
          <w:bCs/>
          <w:i/>
        </w:rPr>
        <w:t>c</w:t>
      </w:r>
    </w:p>
    <w:p w:rsidR="00545D1B" w:rsidRPr="00742A04" w:rsidRDefault="00B83FEB" w:rsidP="008920C7">
      <w:pPr>
        <w:pStyle w:val="H23"/>
        <w:ind w:left="1267"/>
        <w:rPr>
          <w:bCs/>
        </w:rPr>
      </w:pPr>
      <w:r w:rsidRPr="00742A04">
        <w:rPr>
          <w:bCs/>
        </w:rPr>
        <w:t>Derecho a partic</w:t>
      </w:r>
      <w:r w:rsidR="00A835F7" w:rsidRPr="00742A04">
        <w:rPr>
          <w:bCs/>
        </w:rPr>
        <w:t>ipar en actividades recreativas</w:t>
      </w:r>
      <w:r w:rsidR="00A835F7" w:rsidRPr="00742A04">
        <w:rPr>
          <w:bCs/>
        </w:rPr>
        <w:br/>
      </w:r>
      <w:r w:rsidRPr="00742A04">
        <w:rPr>
          <w:bCs/>
        </w:rPr>
        <w:t>y deportivas y en la v</w:t>
      </w:r>
      <w:r w:rsidRPr="00742A04">
        <w:rPr>
          <w:bCs/>
        </w:rPr>
        <w:t>i</w:t>
      </w:r>
      <w:r w:rsidRPr="00742A04">
        <w:rPr>
          <w:bCs/>
        </w:rPr>
        <w:t>da cultural</w:t>
      </w:r>
      <w:bookmarkEnd w:id="68"/>
    </w:p>
    <w:p w:rsidR="00A835F7" w:rsidRPr="00742A04" w:rsidRDefault="00A835F7" w:rsidP="00A835F7">
      <w:pPr>
        <w:pStyle w:val="SingleTxt"/>
        <w:spacing w:after="0" w:line="120" w:lineRule="exact"/>
        <w:rPr>
          <w:sz w:val="10"/>
        </w:rPr>
      </w:pPr>
    </w:p>
    <w:p w:rsidR="000A08D8" w:rsidRPr="00742A04" w:rsidRDefault="00381EAA" w:rsidP="001633F4">
      <w:pPr>
        <w:pStyle w:val="SingleTxt"/>
        <w:ind w:firstLine="475"/>
      </w:pPr>
      <w:r w:rsidRPr="00742A04">
        <w:t xml:space="preserve">El </w:t>
      </w:r>
      <w:r w:rsidR="00957191" w:rsidRPr="00742A04">
        <w:t xml:space="preserve">tema del </w:t>
      </w:r>
      <w:r w:rsidRPr="00742A04">
        <w:t>s</w:t>
      </w:r>
      <w:r w:rsidR="00101B8C" w:rsidRPr="00742A04">
        <w:t>exo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los medios de comunicación</w:t>
      </w:r>
      <w:r w:rsidR="00545D1B" w:rsidRPr="00742A04">
        <w:t xml:space="preserve"> </w:t>
      </w:r>
      <w:r w:rsidR="00BB4DB1" w:rsidRPr="00742A04">
        <w:t>es</w:t>
      </w:r>
      <w:r w:rsidRPr="00742A04">
        <w:t xml:space="preserve"> u</w:t>
      </w:r>
      <w:r w:rsidR="00545D1B" w:rsidRPr="00742A04">
        <w:t>n</w:t>
      </w:r>
      <w:r w:rsidR="00957191" w:rsidRPr="00742A04">
        <w:t>a</w:t>
      </w:r>
      <w:r w:rsidR="00545D1B" w:rsidRPr="00742A04">
        <w:t xml:space="preserve"> </w:t>
      </w:r>
      <w:r w:rsidR="00AE7B93" w:rsidRPr="00742A04">
        <w:t>importante</w:t>
      </w:r>
      <w:r w:rsidRPr="00742A04">
        <w:t xml:space="preserve"> </w:t>
      </w:r>
      <w:r w:rsidR="00957191" w:rsidRPr="00742A04">
        <w:t>cuestión</w:t>
      </w:r>
      <w:r w:rsidRPr="00742A04">
        <w:t xml:space="preserve"> en materia de</w:t>
      </w:r>
      <w:r w:rsidR="00545D1B" w:rsidRPr="00742A04">
        <w:t xml:space="preserve"> </w:t>
      </w:r>
      <w:r w:rsidR="00502E16" w:rsidRPr="00742A04">
        <w:t>igualdad</w:t>
      </w:r>
      <w:r w:rsidR="00545D1B" w:rsidRPr="00742A04">
        <w:t xml:space="preserve"> </w:t>
      </w:r>
      <w:r w:rsidR="00552048" w:rsidRPr="00742A04">
        <w:t>política</w:t>
      </w:r>
      <w:r w:rsidR="00957191" w:rsidRPr="00742A04">
        <w:t>,</w:t>
      </w:r>
      <w:r w:rsidR="00545D1B" w:rsidRPr="00742A04">
        <w:t xml:space="preserve"> </w:t>
      </w:r>
      <w:r w:rsidR="007E0DFE" w:rsidRPr="00742A04">
        <w:t>porque</w:t>
      </w:r>
      <w:r w:rsidR="00545D1B" w:rsidRPr="00742A04">
        <w:t xml:space="preserve"> </w:t>
      </w:r>
      <w:r w:rsidR="00615664" w:rsidRPr="00742A04">
        <w:t>los medios de comunicación</w:t>
      </w:r>
      <w:r w:rsidR="00545D1B" w:rsidRPr="00742A04">
        <w:t xml:space="preserve"> </w:t>
      </w:r>
      <w:r w:rsidR="00957191" w:rsidRPr="00742A04">
        <w:t>ejercen una</w:t>
      </w:r>
      <w:r w:rsidR="00545D1B" w:rsidRPr="00742A04">
        <w:t xml:space="preserve"> cons</w:t>
      </w:r>
      <w:r w:rsidR="00545D1B" w:rsidRPr="00742A04">
        <w:t>i</w:t>
      </w:r>
      <w:r w:rsidR="00545D1B" w:rsidRPr="00742A04">
        <w:t>derable influenc</w:t>
      </w:r>
      <w:r w:rsidR="00957191" w:rsidRPr="00742A04">
        <w:t>ia en nuestra</w:t>
      </w:r>
      <w:r w:rsidR="00545D1B" w:rsidRPr="00742A04">
        <w:t xml:space="preserve"> </w:t>
      </w:r>
      <w:r w:rsidR="00615664" w:rsidRPr="00742A04">
        <w:t>comprensión</w:t>
      </w:r>
      <w:r w:rsidR="00545D1B" w:rsidRPr="00742A04">
        <w:t xml:space="preserve"> </w:t>
      </w:r>
      <w:r w:rsidR="004A0730" w:rsidRPr="00742A04">
        <w:t>de</w:t>
      </w:r>
      <w:r w:rsidR="00957191" w:rsidRPr="00742A04">
        <w:t>l</w:t>
      </w:r>
      <w:r w:rsidR="00545D1B" w:rsidRPr="00742A04">
        <w:t xml:space="preserve"> </w:t>
      </w:r>
      <w:r w:rsidR="00101B8C" w:rsidRPr="00742A04">
        <w:t>sexo</w:t>
      </w:r>
      <w:r w:rsidR="00545D1B" w:rsidRPr="00742A04">
        <w:t xml:space="preserve">. </w:t>
      </w:r>
      <w:r w:rsidR="00957191" w:rsidRPr="00742A04">
        <w:t>El tema del s</w:t>
      </w:r>
      <w:r w:rsidR="00101B8C" w:rsidRPr="00742A04">
        <w:t>exo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57191" w:rsidRPr="00742A04">
        <w:t>los medios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957191" w:rsidRPr="00742A04">
        <w:t>tiene que ver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957191" w:rsidRPr="00742A04">
        <w:t xml:space="preserve">las </w:t>
      </w:r>
      <w:r w:rsidR="009815FF" w:rsidRPr="00742A04">
        <w:t>posibilidades</w:t>
      </w:r>
      <w:r w:rsidR="00545D1B" w:rsidRPr="00742A04">
        <w:t xml:space="preserve"> </w:t>
      </w:r>
      <w:r w:rsidR="00957191" w:rsidRPr="00742A04">
        <w:t>de</w:t>
      </w:r>
      <w:r w:rsidR="00545D1B" w:rsidRPr="00742A04">
        <w:t xml:space="preserve"> </w:t>
      </w:r>
      <w:r w:rsidR="00957191" w:rsidRPr="00742A04">
        <w:t>influencia social de las mujeres y de los hombres</w:t>
      </w:r>
      <w:r w:rsidR="00545D1B" w:rsidRPr="00742A04">
        <w:t xml:space="preserve">. </w:t>
      </w:r>
      <w:r w:rsidR="00537384" w:rsidRPr="00742A04">
        <w:t>En lo tocante a</w:t>
      </w:r>
      <w:r w:rsidR="00545D1B" w:rsidRPr="00742A04">
        <w:t xml:space="preserve"> </w:t>
      </w:r>
      <w:r w:rsidR="00957191" w:rsidRPr="00742A04">
        <w:t xml:space="preserve">la </w:t>
      </w:r>
      <w:r w:rsidR="00545D1B" w:rsidRPr="00742A04">
        <w:t>representa</w:t>
      </w:r>
      <w:r w:rsidR="00935A90" w:rsidRPr="00742A04">
        <w:t>ción,</w:t>
      </w:r>
      <w:r w:rsidR="00545D1B" w:rsidRPr="00742A04">
        <w:t xml:space="preserve"> </w:t>
      </w:r>
      <w:r w:rsidR="00270205" w:rsidRPr="00742A04">
        <w:t xml:space="preserve">la </w:t>
      </w:r>
      <w:r w:rsidR="000220D6" w:rsidRPr="00742A04">
        <w:t>dominación</w:t>
      </w:r>
      <w:r w:rsidR="00545D1B" w:rsidRPr="00742A04">
        <w:t xml:space="preserve"> </w:t>
      </w:r>
      <w:r w:rsidR="00270205" w:rsidRPr="00742A04">
        <w:t xml:space="preserve">masculina </w:t>
      </w:r>
      <w:r w:rsidR="00BB4DB1" w:rsidRPr="00742A04">
        <w:t>es</w:t>
      </w:r>
      <w:r w:rsidR="00545D1B" w:rsidRPr="00742A04">
        <w:t xml:space="preserve"> </w:t>
      </w:r>
      <w:r w:rsidR="00230F13" w:rsidRPr="00742A04">
        <w:t>partic</w:t>
      </w:r>
      <w:r w:rsidR="00230F13" w:rsidRPr="00742A04">
        <w:t>u</w:t>
      </w:r>
      <w:r w:rsidR="00230F13" w:rsidRPr="00742A04">
        <w:t>lar</w:t>
      </w:r>
      <w:r w:rsidR="00270205" w:rsidRPr="00742A04">
        <w:t>mente</w:t>
      </w:r>
      <w:r w:rsidR="00545D1B" w:rsidRPr="00742A04">
        <w:t xml:space="preserve"> </w:t>
      </w:r>
      <w:r w:rsidR="00373AA0" w:rsidRPr="00742A04">
        <w:t>mar</w:t>
      </w:r>
      <w:r w:rsidR="00270205" w:rsidRPr="00742A04">
        <w:t>cada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70205" w:rsidRPr="00742A04">
        <w:t xml:space="preserve">los </w:t>
      </w:r>
      <w:r w:rsidR="003B42B1" w:rsidRPr="00742A04">
        <w:t>puestos de conducción</w:t>
      </w:r>
      <w:r w:rsidR="00545D1B" w:rsidRPr="00742A04">
        <w:t xml:space="preserve"> </w:t>
      </w:r>
      <w:r w:rsidR="00270205" w:rsidRPr="00742A04">
        <w:t>d</w:t>
      </w:r>
      <w:r w:rsidR="00C14BFF" w:rsidRPr="00742A04">
        <w:t>e</w:t>
      </w:r>
      <w:r w:rsidR="00545D1B" w:rsidRPr="00742A04">
        <w:t xml:space="preserve"> </w:t>
      </w:r>
      <w:r w:rsidR="00615664" w:rsidRPr="00742A04">
        <w:t>los medios de comunicación</w:t>
      </w:r>
      <w:r w:rsidR="00545D1B" w:rsidRPr="00742A04">
        <w:t xml:space="preserve">. </w:t>
      </w:r>
      <w:r w:rsidR="00982243" w:rsidRPr="00742A04">
        <w:t>La cantidad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editor</w:t>
      </w:r>
      <w:r w:rsidR="00270205" w:rsidRPr="00742A04">
        <w:t>a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270205" w:rsidRPr="00742A04">
        <w:t>comentaristas</w:t>
      </w:r>
      <w:r w:rsidR="00545D1B" w:rsidRPr="00742A04">
        <w:t xml:space="preserve"> </w:t>
      </w:r>
      <w:r w:rsidR="00270205" w:rsidRPr="00742A04">
        <w:t>se ha incrementado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D313C" w:rsidRPr="00742A04">
        <w:t>los últimos años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270205" w:rsidRPr="00742A04">
        <w:t>de todos modos las</w:t>
      </w:r>
      <w:r w:rsidR="00545D1B" w:rsidRPr="00742A04">
        <w:t xml:space="preserve"> </w:t>
      </w:r>
      <w:r w:rsidR="0020526A" w:rsidRPr="00742A04">
        <w:t>ba</w:t>
      </w:r>
      <w:r w:rsidR="00270205" w:rsidRPr="00742A04">
        <w:t>jas</w:t>
      </w:r>
      <w:r w:rsidR="00545D1B" w:rsidRPr="00742A04">
        <w:t xml:space="preserve"> propor</w:t>
      </w:r>
      <w:r w:rsidR="008907B8" w:rsidRPr="00742A04">
        <w:t>ciones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270205" w:rsidRPr="00742A04">
        <w:t>un</w:t>
      </w:r>
      <w:r w:rsidR="00545D1B" w:rsidRPr="00742A04">
        <w:t xml:space="preserve"> </w:t>
      </w:r>
      <w:r w:rsidR="00982243" w:rsidRPr="00742A04">
        <w:t>problema</w:t>
      </w:r>
      <w:r w:rsidR="00545D1B" w:rsidRPr="00742A04">
        <w:t xml:space="preserve"> </w:t>
      </w:r>
      <w:r w:rsidR="008F0C8E" w:rsidRPr="00742A04">
        <w:t>de</w:t>
      </w:r>
      <w:r w:rsidR="00270205" w:rsidRPr="00742A04">
        <w:t>sde</w:t>
      </w:r>
      <w:r w:rsidR="00072AD7" w:rsidRPr="00742A04">
        <w:t xml:space="preserve"> </w:t>
      </w:r>
      <w:r w:rsidR="00B73629" w:rsidRPr="00742A04">
        <w:t>una perspectiva de igualdad de género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2F3238" w:rsidRPr="00742A04">
        <w:t>la primavera de</w:t>
      </w:r>
      <w:r w:rsidR="00545D1B" w:rsidRPr="00742A04">
        <w:t xml:space="preserve"> 2005, </w:t>
      </w:r>
      <w:r w:rsidR="00270205" w:rsidRPr="00742A04">
        <w:t xml:space="preserve">el </w:t>
      </w:r>
      <w:r w:rsidR="00545D1B" w:rsidRPr="00742A04">
        <w:t>18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73E8E" w:rsidRPr="00742A04">
        <w:t>los miembros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70205" w:rsidRPr="00742A04">
        <w:t>la</w:t>
      </w:r>
      <w:r w:rsidR="00545D1B" w:rsidRPr="00742A04">
        <w:t xml:space="preserve"> </w:t>
      </w:r>
      <w:r w:rsidR="000A5430" w:rsidRPr="00742A04">
        <w:t>Aso</w:t>
      </w:r>
      <w:r w:rsidR="00545D1B" w:rsidRPr="00742A04">
        <w:t>cia</w:t>
      </w:r>
      <w:r w:rsidR="00C14BFF" w:rsidRPr="00742A04">
        <w:t xml:space="preserve">ción </w:t>
      </w:r>
      <w:r w:rsidR="00270205" w:rsidRPr="00742A04">
        <w:t xml:space="preserve">de Editores de Noruega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270205" w:rsidRPr="00742A04">
        <w:t>entre las pers</w:t>
      </w:r>
      <w:r w:rsidR="00270205" w:rsidRPr="00742A04">
        <w:t>o</w:t>
      </w:r>
      <w:r w:rsidR="00270205" w:rsidRPr="00742A04">
        <w:t>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270205" w:rsidRPr="00742A04">
        <w:t>tenían el título</w:t>
      </w:r>
      <w:r w:rsidR="00545D1B" w:rsidRPr="00742A04">
        <w:t xml:space="preserve"> </w:t>
      </w:r>
      <w:r w:rsidR="004A0730" w:rsidRPr="00742A04">
        <w:t>de</w:t>
      </w:r>
      <w:r w:rsidR="00270205" w:rsidRPr="00742A04">
        <w:t xml:space="preserve"> Editor </w:t>
      </w:r>
      <w:r w:rsidR="00C14BFF" w:rsidRPr="00742A04">
        <w:t>en</w:t>
      </w:r>
      <w:r w:rsidR="00270205" w:rsidRPr="00742A04">
        <w:t xml:space="preserve"> J</w:t>
      </w:r>
      <w:r w:rsidR="00545D1B" w:rsidRPr="00742A04">
        <w:t>ef</w:t>
      </w:r>
      <w:r w:rsidR="00270205" w:rsidRPr="00742A04">
        <w:t>e</w:t>
      </w:r>
      <w:r w:rsidR="00545D1B" w:rsidRPr="00742A04">
        <w:t xml:space="preserve">, </w:t>
      </w:r>
      <w:r w:rsidR="00270205" w:rsidRPr="00742A04">
        <w:t xml:space="preserve">el </w:t>
      </w:r>
      <w:r w:rsidR="00545D1B" w:rsidRPr="00742A04">
        <w:t>17</w:t>
      </w:r>
      <w:r w:rsidR="001167D2" w:rsidRPr="00742A04">
        <w:t>%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70205" w:rsidRPr="00742A04">
        <w:t xml:space="preserve">el </w:t>
      </w:r>
      <w:r w:rsidR="00545D1B" w:rsidRPr="00742A04">
        <w:t>83</w:t>
      </w:r>
      <w:r w:rsidR="001167D2" w:rsidRPr="00742A04">
        <w:t>%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. </w:t>
      </w:r>
      <w:r w:rsidR="00270205" w:rsidRPr="00742A04">
        <w:t xml:space="preserve">Las encuestas </w:t>
      </w:r>
      <w:r w:rsidR="00894371" w:rsidRPr="00742A04">
        <w:t>n</w:t>
      </w:r>
      <w:r w:rsidR="00894371">
        <w:t>ac</w:t>
      </w:r>
      <w:r w:rsidR="00894371" w:rsidRPr="00742A04">
        <w:t>ional</w:t>
      </w:r>
      <w:r w:rsidR="00894371">
        <w:t>es</w:t>
      </w:r>
      <w:r w:rsidR="00545D1B" w:rsidRPr="00742A04">
        <w:t xml:space="preserve"> </w:t>
      </w:r>
      <w:r w:rsidR="00270205" w:rsidRPr="00742A04">
        <w:t>indican</w:t>
      </w:r>
      <w:r w:rsidR="00545D1B" w:rsidRPr="00742A04">
        <w:t xml:space="preserve"> </w:t>
      </w:r>
      <w:r w:rsidR="005D2D07" w:rsidRPr="00742A04">
        <w:t>que hay</w:t>
      </w:r>
      <w:r w:rsidR="00545D1B" w:rsidRPr="00742A04">
        <w:t xml:space="preserve"> </w:t>
      </w:r>
      <w:r w:rsidR="008622FD" w:rsidRPr="00742A04">
        <w:t>diferencia</w:t>
      </w:r>
      <w:r w:rsidR="00545D1B" w:rsidRPr="00742A04">
        <w:t xml:space="preserve">s </w:t>
      </w:r>
      <w:r w:rsidR="00270205" w:rsidRPr="00742A04">
        <w:t xml:space="preserve">sistemáticas </w:t>
      </w:r>
      <w:r w:rsidR="00C14BFF" w:rsidRPr="00742A04">
        <w:t>en</w:t>
      </w:r>
      <w:r w:rsidR="00545D1B" w:rsidRPr="00742A04">
        <w:t xml:space="preserve"> </w:t>
      </w:r>
      <w:r w:rsidR="00270205" w:rsidRPr="00742A04">
        <w:t xml:space="preserve">el uso de las mujeres y los hombres como fuentes en </w:t>
      </w:r>
      <w:r w:rsidR="00615664" w:rsidRPr="00742A04">
        <w:t>los medios de comunicación</w:t>
      </w:r>
      <w:r w:rsidR="00545D1B" w:rsidRPr="00742A04">
        <w:t xml:space="preserve">. </w:t>
      </w:r>
      <w:r w:rsidR="00894371" w:rsidRPr="00742A04">
        <w:t>Una encuesta demostró que en una semana de 2004, las tres cuartas partes de las personas a que se referían las informaciones y que aparecían fotografiadas en dos de los diarios más grandes de Noruega eran hombres, mientras que sólo aproximadamente una cuarta parte eran muj</w:t>
      </w:r>
      <w:r w:rsidR="00894371" w:rsidRPr="00742A04">
        <w:t>e</w:t>
      </w:r>
      <w:r w:rsidR="00894371" w:rsidRPr="00742A04">
        <w:t>res.</w:t>
      </w:r>
    </w:p>
    <w:p w:rsidR="00545D1B" w:rsidRPr="00742A04" w:rsidRDefault="006C2DA6" w:rsidP="001633F4">
      <w:pPr>
        <w:pStyle w:val="SingleTxt"/>
        <w:ind w:firstLine="475"/>
      </w:pPr>
      <w:r w:rsidRPr="00742A04">
        <w:t>Contar con una prensa indepe</w:t>
      </w:r>
      <w:r w:rsidR="00614C7D" w:rsidRPr="00742A04">
        <w:t>ndiente</w:t>
      </w:r>
      <w:r w:rsidR="00545D1B" w:rsidRPr="00742A04">
        <w:t xml:space="preserve"> </w:t>
      </w:r>
      <w:r w:rsidR="00BB4DB1" w:rsidRPr="00742A04">
        <w:t>es</w:t>
      </w:r>
      <w:r w:rsidRPr="00742A04">
        <w:t xml:space="preserve"> u</w:t>
      </w:r>
      <w:r w:rsidR="00545D1B" w:rsidRPr="00742A04">
        <w:t xml:space="preserve">n </w:t>
      </w:r>
      <w:r w:rsidR="00AE7B93" w:rsidRPr="00742A04">
        <w:t>importante</w:t>
      </w:r>
      <w:r w:rsidR="00545D1B" w:rsidRPr="00742A04">
        <w:t xml:space="preserve"> </w:t>
      </w:r>
      <w:r w:rsidRPr="00742A04">
        <w:t xml:space="preserve">principio de </w:t>
      </w:r>
      <w:r w:rsidR="00B14198">
        <w:t xml:space="preserve">la </w:t>
      </w:r>
      <w:r w:rsidRPr="00742A04">
        <w:t xml:space="preserve">política </w:t>
      </w:r>
      <w:r w:rsidR="00B14198">
        <w:t>d</w:t>
      </w:r>
      <w:r w:rsidR="00B14198" w:rsidRPr="00742A04">
        <w:t xml:space="preserve">e Noruega </w:t>
      </w:r>
      <w:r w:rsidR="00B14198">
        <w:t>sobr</w:t>
      </w:r>
      <w:r w:rsidRPr="00742A04">
        <w:t xml:space="preserve">e los </w:t>
      </w:r>
      <w:r w:rsidR="00545D1B" w:rsidRPr="00742A04">
        <w:t>me</w:t>
      </w:r>
      <w:r w:rsidRPr="00742A04">
        <w:t>dios de comunicación</w:t>
      </w:r>
      <w:r w:rsidR="00545D1B" w:rsidRPr="00742A04">
        <w:t xml:space="preserve">. </w:t>
      </w:r>
      <w:r w:rsidRPr="00742A04">
        <w:t>Por consiguiente, l</w:t>
      </w:r>
      <w:r w:rsidR="00BB4DB1" w:rsidRPr="00742A04">
        <w:t>as autoridad</w:t>
      </w:r>
      <w:r w:rsidR="00495D7B" w:rsidRPr="00742A04">
        <w:t>es</w:t>
      </w:r>
      <w:r w:rsidR="00545D1B" w:rsidRPr="00742A04">
        <w:t xml:space="preserve"> no </w:t>
      </w:r>
      <w:r w:rsidR="00957191" w:rsidRPr="00742A04">
        <w:t>influ</w:t>
      </w:r>
      <w:r w:rsidRPr="00742A04">
        <w:t>y</w:t>
      </w:r>
      <w:r w:rsidR="00957191" w:rsidRPr="00742A04">
        <w:t>en</w:t>
      </w:r>
      <w:r w:rsidRPr="00742A04">
        <w:t xml:space="preserve"> en</w:t>
      </w:r>
      <w:r w:rsidR="00545D1B" w:rsidRPr="00742A04">
        <w:t xml:space="preserve"> </w:t>
      </w:r>
      <w:r w:rsidR="002213CF" w:rsidRPr="00742A04">
        <w:t>el contenido</w:t>
      </w:r>
      <w:r w:rsidR="008C4612" w:rsidRPr="00742A04">
        <w:t xml:space="preserve"> de</w:t>
      </w:r>
      <w:r w:rsidRPr="00742A04">
        <w:t xml:space="preserve"> los</w:t>
      </w:r>
      <w:r w:rsidR="008C4612" w:rsidRPr="00742A04">
        <w:t xml:space="preserve"> </w:t>
      </w:r>
      <w:r w:rsidRPr="00742A04">
        <w:t>medios en Noruega</w:t>
      </w:r>
      <w:r w:rsidR="00545D1B" w:rsidRPr="00742A04">
        <w:t>.</w:t>
      </w:r>
      <w:r w:rsidR="001167D2" w:rsidRPr="00742A04">
        <w:t xml:space="preserve"> </w:t>
      </w:r>
      <w:r w:rsidRPr="00742A04">
        <w:t>E</w:t>
      </w:r>
      <w:r w:rsidR="001167D2" w:rsidRPr="00742A04">
        <w:t xml:space="preserve">l </w:t>
      </w:r>
      <w:r w:rsidR="004A0730" w:rsidRPr="00742A04">
        <w:t>Ministerio</w:t>
      </w:r>
      <w:r w:rsidR="00545D1B" w:rsidRPr="00742A04">
        <w:t xml:space="preserve"> </w:t>
      </w:r>
      <w:r w:rsidRPr="00742A04">
        <w:t xml:space="preserve">concuerda en </w:t>
      </w:r>
      <w:r w:rsidR="0081178E" w:rsidRPr="00742A04">
        <w:t>que</w:t>
      </w:r>
      <w:r w:rsidR="00545D1B" w:rsidRPr="00742A04">
        <w:t xml:space="preserve"> </w:t>
      </w:r>
      <w:r w:rsidR="00615664" w:rsidRPr="00742A04">
        <w:t>los medios de comunicación</w:t>
      </w:r>
      <w:r w:rsidR="00545D1B" w:rsidRPr="00742A04">
        <w:t xml:space="preserve"> </w:t>
      </w:r>
      <w:r w:rsidRPr="00742A04">
        <w:t>desempeñan un papel</w:t>
      </w:r>
      <w:r w:rsidR="00545D1B" w:rsidRPr="00742A04">
        <w:t xml:space="preserve"> central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 formación de </w:t>
      </w:r>
      <w:r w:rsidR="00545D1B" w:rsidRPr="00742A04">
        <w:t>op</w:t>
      </w:r>
      <w:r w:rsidR="00545D1B" w:rsidRPr="00742A04">
        <w:t>i</w:t>
      </w:r>
      <w:r w:rsidR="00545D1B" w:rsidRPr="00742A04">
        <w:t>nion</w:t>
      </w:r>
      <w:r w:rsidRPr="00742A04">
        <w:t xml:space="preserve">es </w:t>
      </w:r>
      <w:r w:rsidR="00024DBC" w:rsidRPr="00742A04">
        <w:t>y que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C42BED" w:rsidRPr="00742A04">
        <w:t xml:space="preserve">que los propios </w:t>
      </w:r>
      <w:r w:rsidR="00615664" w:rsidRPr="00742A04">
        <w:t>medios de comunicación</w:t>
      </w:r>
      <w:r w:rsidR="00545D1B" w:rsidRPr="00742A04">
        <w:t xml:space="preserve"> refle</w:t>
      </w:r>
      <w:r w:rsidR="00C42BED" w:rsidRPr="00742A04">
        <w:t>xionen s</w:t>
      </w:r>
      <w:r w:rsidR="00C42BED" w:rsidRPr="00742A04">
        <w:t>o</w:t>
      </w:r>
      <w:r w:rsidR="00C42BED" w:rsidRPr="00742A04">
        <w:t>bre la</w:t>
      </w:r>
      <w:r w:rsidR="00545D1B" w:rsidRPr="00742A04">
        <w:t xml:space="preserve"> </w:t>
      </w:r>
      <w:r w:rsidR="008E5EBF" w:rsidRPr="00742A04">
        <w:t>responsabilidad</w:t>
      </w:r>
      <w:r w:rsidR="00545D1B" w:rsidRPr="00742A04">
        <w:t xml:space="preserve"> </w:t>
      </w:r>
      <w:r w:rsidR="00C42BED" w:rsidRPr="00742A04">
        <w:t>que ello entraña</w:t>
      </w:r>
      <w:r w:rsidR="00545D1B" w:rsidRPr="00742A04">
        <w:t>.</w:t>
      </w:r>
    </w:p>
    <w:p w:rsidR="000A08D8" w:rsidRPr="00742A04" w:rsidRDefault="004A0730" w:rsidP="001633F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C42BED" w:rsidRPr="00742A04">
        <w:t xml:space="preserve">los últimos </w:t>
      </w:r>
      <w:r w:rsidR="00AD5494" w:rsidRPr="00742A04">
        <w:t>meses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, </w:t>
      </w:r>
      <w:r w:rsidR="00C42BED" w:rsidRPr="00742A04">
        <w:t>h</w:t>
      </w:r>
      <w:r w:rsidR="003A4F33" w:rsidRPr="00742A04">
        <w:t>a habido</w:t>
      </w:r>
      <w:r w:rsidR="00545D1B" w:rsidRPr="00742A04">
        <w:t xml:space="preserve"> </w:t>
      </w:r>
      <w:r w:rsidR="00C42BED" w:rsidRPr="00742A04">
        <w:t>un</w:t>
      </w:r>
      <w:r w:rsidR="00545D1B" w:rsidRPr="00742A04">
        <w:t xml:space="preserve"> </w:t>
      </w:r>
      <w:r w:rsidR="009815FF" w:rsidRPr="00742A04">
        <w:t>interés</w:t>
      </w:r>
      <w:r w:rsidR="00545D1B" w:rsidRPr="00742A04">
        <w:t xml:space="preserve"> </w:t>
      </w:r>
      <w:r w:rsidR="00C42BED" w:rsidRPr="00742A04">
        <w:t xml:space="preserve">cada vez mayor </w:t>
      </w:r>
      <w:r w:rsidR="00C14BFF" w:rsidRPr="00742A04">
        <w:t>en</w:t>
      </w:r>
      <w:r w:rsidR="00545D1B" w:rsidRPr="00742A04">
        <w:t xml:space="preserve"> </w:t>
      </w:r>
      <w:r w:rsidR="00C42BED" w:rsidRPr="00742A04">
        <w:t xml:space="preserve">las </w:t>
      </w:r>
      <w:r w:rsidR="002E5047" w:rsidRPr="00742A04">
        <w:t>cue</w:t>
      </w:r>
      <w:r w:rsidR="002E5047" w:rsidRPr="00742A04">
        <w:t>s</w:t>
      </w:r>
      <w:r w:rsidR="002E5047" w:rsidRPr="00742A04">
        <w:t>tiones</w:t>
      </w:r>
      <w:r w:rsidR="00545D1B" w:rsidRPr="00742A04">
        <w:t xml:space="preserve"> </w:t>
      </w:r>
      <w:r w:rsidR="00072AD7" w:rsidRPr="00742A04">
        <w:t>relativa</w:t>
      </w:r>
      <w:r w:rsidR="00C42BED" w:rsidRPr="00742A04">
        <w:t>s</w:t>
      </w:r>
      <w:r w:rsidR="00072AD7" w:rsidRPr="00742A04">
        <w:t xml:space="preserve"> a</w:t>
      </w:r>
      <w:r w:rsidR="00C42BED" w:rsidRPr="00742A04">
        <w:t xml:space="preserve"> la calidad de</w:t>
      </w:r>
      <w:r w:rsidR="00545D1B" w:rsidRPr="00742A04">
        <w:t xml:space="preserve"> </w:t>
      </w:r>
      <w:r w:rsidR="00A836A1" w:rsidRPr="00742A04">
        <w:t>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e</w:t>
      </w:r>
      <w:r w:rsidR="00C42BED" w:rsidRPr="00742A04">
        <w:t>l sector del</w:t>
      </w:r>
      <w:r w:rsidR="00545D1B" w:rsidRPr="00742A04">
        <w:t xml:space="preserve"> </w:t>
      </w:r>
      <w:r w:rsidR="00D75341" w:rsidRPr="00742A04">
        <w:t>cine</w:t>
      </w:r>
      <w:r w:rsidR="00545D1B" w:rsidRPr="00742A04">
        <w:t xml:space="preserve">. </w:t>
      </w:r>
      <w:r w:rsidR="00C42BED" w:rsidRPr="00742A04">
        <w:t xml:space="preserve">Ello se debe </w:t>
      </w:r>
      <w:r w:rsidR="007C3856" w:rsidRPr="00742A04">
        <w:t>especia</w:t>
      </w:r>
      <w:r w:rsidR="007C3856" w:rsidRPr="00742A04">
        <w:t>l</w:t>
      </w:r>
      <w:r w:rsidR="007C3856" w:rsidRPr="00742A04">
        <w:t>mente</w:t>
      </w:r>
      <w:r w:rsidR="00545D1B" w:rsidRPr="00742A04">
        <w:t xml:space="preserve"> </w:t>
      </w:r>
      <w:r w:rsidR="00C42BED" w:rsidRPr="00742A04">
        <w:t>a</w:t>
      </w:r>
      <w:r w:rsidR="001E30D6" w:rsidRPr="00742A04">
        <w:t xml:space="preserve"> una </w:t>
      </w:r>
      <w:r w:rsidR="00F67A1B" w:rsidRPr="00742A04">
        <w:t>encuesta</w:t>
      </w:r>
      <w:r w:rsidR="00C42BED" w:rsidRPr="00742A04">
        <w:t xml:space="preserve"> denominada</w:t>
      </w:r>
      <w:r w:rsidR="00545D1B" w:rsidRPr="00742A04">
        <w:t xml:space="preserve"> </w:t>
      </w:r>
      <w:r w:rsidR="00545D1B" w:rsidRPr="00742A04">
        <w:rPr>
          <w:i/>
        </w:rPr>
        <w:t>Tallenes tale</w:t>
      </w:r>
      <w:r w:rsidR="00545D1B" w:rsidRPr="00742A04">
        <w:t xml:space="preserve"> (</w:t>
      </w:r>
      <w:r w:rsidR="00C42BED" w:rsidRPr="00742A04">
        <w:t>“</w:t>
      </w:r>
      <w:r w:rsidR="00537384" w:rsidRPr="00742A04">
        <w:t>Las cifras</w:t>
      </w:r>
      <w:r w:rsidR="00545D1B" w:rsidRPr="00742A04">
        <w:t xml:space="preserve"> </w:t>
      </w:r>
      <w:r w:rsidR="00C42BED" w:rsidRPr="00742A04">
        <w:t>hablan por sí mismas”</w:t>
      </w:r>
      <w:r w:rsidR="00545D1B" w:rsidRPr="00742A04">
        <w:t xml:space="preserve">) </w:t>
      </w:r>
      <w:r w:rsidR="00EA6AC2" w:rsidRPr="00742A04">
        <w:t>relativ</w:t>
      </w:r>
      <w:r w:rsidR="00C42BED" w:rsidRPr="00742A04">
        <w:t>a a la</w:t>
      </w:r>
      <w:r w:rsidR="00545D1B" w:rsidRPr="00742A04">
        <w:t xml:space="preserve"> representa</w:t>
      </w:r>
      <w:r w:rsidR="00C14BFF" w:rsidRPr="00742A04">
        <w:t xml:space="preserve">ción </w:t>
      </w:r>
      <w:r w:rsidR="004D313C" w:rsidRPr="00742A04">
        <w:t>de las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posi</w:t>
      </w:r>
      <w:r w:rsidR="008907B8" w:rsidRPr="00742A04">
        <w:t>ciones</w:t>
      </w:r>
      <w:r w:rsidR="00545D1B" w:rsidRPr="00742A04">
        <w:t xml:space="preserve"> </w:t>
      </w:r>
      <w:r w:rsidR="00C42BED" w:rsidRPr="00742A04">
        <w:t xml:space="preserve">claves </w:t>
      </w:r>
      <w:r w:rsidR="00C14BFF" w:rsidRPr="00742A04">
        <w:t>en</w:t>
      </w:r>
      <w:r w:rsidR="00545D1B" w:rsidRPr="00742A04">
        <w:t xml:space="preserve"> </w:t>
      </w:r>
      <w:r w:rsidR="00C42BED" w:rsidRPr="00742A04">
        <w:t>el sector del cine</w:t>
      </w:r>
      <w:r w:rsidR="00545D1B" w:rsidRPr="00742A04">
        <w:t xml:space="preserve">. </w:t>
      </w:r>
      <w:r w:rsidR="00F67A1B" w:rsidRPr="00742A04">
        <w:t>La encuesta</w:t>
      </w:r>
      <w:r w:rsidR="00545D1B" w:rsidRPr="00742A04">
        <w:t xml:space="preserve"> </w:t>
      </w:r>
      <w:r w:rsidR="00C42BED" w:rsidRPr="00742A04">
        <w:t xml:space="preserve">se </w:t>
      </w:r>
      <w:r w:rsidR="00AD5494" w:rsidRPr="00742A04">
        <w:t>llev</w:t>
      </w:r>
      <w:r w:rsidR="00C42BED" w:rsidRPr="00742A04">
        <w:t xml:space="preserve">ó </w:t>
      </w:r>
      <w:r w:rsidR="00AD5494" w:rsidRPr="00742A04">
        <w:t>a cabo</w:t>
      </w:r>
      <w:r w:rsidR="00545D1B" w:rsidRPr="00742A04">
        <w:t xml:space="preserve"> a</w:t>
      </w:r>
      <w:r w:rsidR="003E4840" w:rsidRPr="00742A04">
        <w:t xml:space="preserve"> iniciativa</w:t>
      </w:r>
      <w:r w:rsidR="00893DBB" w:rsidRPr="00742A04">
        <w:t xml:space="preserve"> del </w:t>
      </w:r>
      <w:r w:rsidR="00A742D4" w:rsidRPr="00742A04">
        <w:t>sector</w:t>
      </w:r>
      <w:r w:rsidR="00545D1B" w:rsidRPr="00742A04">
        <w:t xml:space="preserve"> </w:t>
      </w:r>
      <w:r w:rsidR="008D6EB3" w:rsidRPr="00742A04">
        <w:t>mismo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42BED" w:rsidRPr="00742A04">
        <w:t>reveló</w:t>
      </w:r>
      <w:r w:rsidR="00545D1B" w:rsidRPr="00742A04">
        <w:t xml:space="preserve"> dispari</w:t>
      </w:r>
      <w:r w:rsidR="00C42BED" w:rsidRPr="00742A04">
        <w:t>dad</w:t>
      </w:r>
      <w:r w:rsidR="00545D1B" w:rsidRPr="00742A04">
        <w:t xml:space="preserve">es </w:t>
      </w:r>
      <w:r w:rsidR="00C42BED" w:rsidRPr="00742A04">
        <w:t xml:space="preserve">de género </w:t>
      </w:r>
      <w:r w:rsidR="00C14BFF" w:rsidRPr="00742A04">
        <w:t>en</w:t>
      </w:r>
      <w:r w:rsidR="00545D1B" w:rsidRPr="00742A04">
        <w:t xml:space="preserve"> </w:t>
      </w:r>
      <w:r w:rsidR="00C42BED" w:rsidRPr="00742A04">
        <w:t xml:space="preserve">los </w:t>
      </w:r>
      <w:r w:rsidR="00545D1B" w:rsidRPr="00742A04">
        <w:t xml:space="preserve">roles </w:t>
      </w:r>
      <w:r w:rsidR="00C42BED" w:rsidRPr="00742A04">
        <w:t xml:space="preserve">principales </w:t>
      </w:r>
      <w:r w:rsidR="00545D1B" w:rsidRPr="00742A04">
        <w:t>(</w:t>
      </w:r>
      <w:r w:rsidR="003922FC" w:rsidRPr="00742A04">
        <w:t>directores</w:t>
      </w:r>
      <w:r w:rsidR="00545D1B" w:rsidRPr="00742A04">
        <w:t xml:space="preserve">, </w:t>
      </w:r>
      <w:r w:rsidR="00C42BED" w:rsidRPr="00742A04">
        <w:t>guionistas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42BED" w:rsidRPr="00742A04">
        <w:t>productores</w:t>
      </w:r>
      <w:r w:rsidR="00545D1B" w:rsidRPr="00742A04">
        <w:t xml:space="preserve">) </w:t>
      </w:r>
      <w:r w:rsidR="00877AA0" w:rsidRPr="00742A04">
        <w:t>y</w:t>
      </w:r>
      <w:r w:rsidR="00545D1B" w:rsidRPr="00742A04">
        <w:t xml:space="preserve"> </w:t>
      </w:r>
      <w:r w:rsidR="005206AC" w:rsidRPr="00742A04">
        <w:t>la distrib</w:t>
      </w:r>
      <w:r w:rsidR="005206AC" w:rsidRPr="00742A04">
        <w:t>u</w:t>
      </w:r>
      <w:r w:rsidR="005206AC" w:rsidRPr="00742A04">
        <w:t>ción</w:t>
      </w:r>
      <w:r w:rsidR="00C14BFF" w:rsidRPr="00742A04">
        <w:t xml:space="preserve"> </w:t>
      </w:r>
      <w:r w:rsidRPr="00742A04">
        <w:t>de</w:t>
      </w:r>
      <w:r w:rsidR="00545D1B" w:rsidRPr="00742A04">
        <w:t xml:space="preserve"> </w:t>
      </w:r>
      <w:r w:rsidR="006B65CD" w:rsidRPr="00742A04">
        <w:t>financiación</w:t>
      </w:r>
      <w:r w:rsidR="00545D1B" w:rsidRPr="00742A04">
        <w:t>.</w:t>
      </w:r>
      <w:r w:rsidR="001167D2" w:rsidRPr="00742A04">
        <w:t xml:space="preserve"> </w:t>
      </w:r>
      <w:r w:rsidR="00C42BED" w:rsidRPr="00742A04">
        <w:t>E</w:t>
      </w:r>
      <w:r w:rsidR="001167D2" w:rsidRPr="00742A04">
        <w:t>l</w:t>
      </w:r>
      <w:r w:rsidR="00C42BED" w:rsidRPr="00742A04">
        <w:t xml:space="preserve"> </w:t>
      </w:r>
      <w:r w:rsidRPr="00742A04">
        <w:t>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CA313E" w:rsidRPr="00742A04">
        <w:t>Cultura y Asuntos Eclesiásticos</w:t>
      </w:r>
      <w:r w:rsidR="00545D1B" w:rsidRPr="00742A04">
        <w:t xml:space="preserve"> </w:t>
      </w:r>
      <w:r w:rsidR="00640C6D" w:rsidRPr="00742A04">
        <w:t>elaborar</w:t>
      </w:r>
      <w:r w:rsidR="00C42BED" w:rsidRPr="00742A04">
        <w:t>á</w:t>
      </w:r>
      <w:r w:rsidR="00545D1B" w:rsidRPr="00742A04">
        <w:t xml:space="preserve"> </w:t>
      </w:r>
      <w:r w:rsidR="00FC59C5" w:rsidRPr="00742A04">
        <w:t xml:space="preserve">un </w:t>
      </w:r>
      <w:r w:rsidR="00657260" w:rsidRPr="00742A04">
        <w:t>informe sobre</w:t>
      </w:r>
      <w:r w:rsidR="00C42BED" w:rsidRPr="00742A04">
        <w:t xml:space="preserve"> los filmes que</w:t>
      </w:r>
      <w:r w:rsidR="00545D1B" w:rsidRPr="00742A04">
        <w:t xml:space="preserve"> </w:t>
      </w:r>
      <w:r w:rsidR="00C42BED" w:rsidRPr="00742A04">
        <w:t>se presentará</w:t>
      </w:r>
      <w:r w:rsidR="001167D2" w:rsidRPr="00742A04">
        <w:t xml:space="preserve"> al </w:t>
      </w:r>
      <w:r w:rsidR="00BD47D3" w:rsidRPr="00742A04">
        <w:t>Storting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42BED" w:rsidRPr="00742A04">
        <w:t xml:space="preserve">el invierno de </w:t>
      </w:r>
      <w:r w:rsidR="00545D1B" w:rsidRPr="00742A04">
        <w:t xml:space="preserve">2007. </w:t>
      </w:r>
      <w:r w:rsidR="00495D7B" w:rsidRPr="00742A04">
        <w:t>Uno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C42BED" w:rsidRPr="00742A04">
        <w:t>los temas</w:t>
      </w:r>
      <w:r w:rsidR="0081178E" w:rsidRPr="00742A04">
        <w:t xml:space="preserve"> que</w:t>
      </w:r>
      <w:r w:rsidR="00545D1B" w:rsidRPr="00742A04">
        <w:t xml:space="preserve"> </w:t>
      </w:r>
      <w:r w:rsidR="00604011" w:rsidRPr="00742A04">
        <w:t>se</w:t>
      </w:r>
      <w:r w:rsidR="00C42BED" w:rsidRPr="00742A04">
        <w:t xml:space="preserve"> aborda</w:t>
      </w:r>
      <w:r w:rsidR="00604011" w:rsidRPr="00742A04">
        <w:t>rá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42BED" w:rsidRPr="00742A04">
        <w:t>este</w:t>
      </w:r>
      <w:r w:rsidR="00545D1B" w:rsidRPr="00742A04">
        <w:t xml:space="preserve"> </w:t>
      </w:r>
      <w:r w:rsidR="00B31D97" w:rsidRPr="00742A04">
        <w:t>informe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42BED" w:rsidRPr="00742A04">
        <w:t xml:space="preserve">la </w:t>
      </w:r>
      <w:r w:rsidR="00A05847" w:rsidRPr="00742A04">
        <w:t>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42BED" w:rsidRPr="00742A04">
        <w:t>el sector del cine</w:t>
      </w:r>
      <w:r w:rsidR="00545D1B" w:rsidRPr="00742A04">
        <w:t xml:space="preserve">. </w:t>
      </w:r>
      <w:r w:rsidR="00AC5D28" w:rsidRPr="00742A04">
        <w:t>Antes de</w:t>
      </w:r>
      <w:r w:rsidR="00545D1B" w:rsidRPr="00742A04">
        <w:t xml:space="preserve"> </w:t>
      </w:r>
      <w:r w:rsidR="00C42BED" w:rsidRPr="00742A04">
        <w:t>ese</w:t>
      </w:r>
      <w:r w:rsidR="00545D1B" w:rsidRPr="00742A04">
        <w:t xml:space="preserve"> </w:t>
      </w:r>
      <w:r w:rsidR="00B31D97" w:rsidRPr="00742A04">
        <w:t>informe</w:t>
      </w:r>
      <w:r w:rsidR="00545D1B" w:rsidRPr="00742A04">
        <w:t xml:space="preserve">, Norsk </w:t>
      </w:r>
      <w:r w:rsidR="00D75341" w:rsidRPr="00742A04">
        <w:t>Cine</w:t>
      </w:r>
      <w:r w:rsidR="00545D1B" w:rsidRPr="00742A04">
        <w:t xml:space="preserve">utvikling </w:t>
      </w:r>
      <w:r w:rsidR="008D4558" w:rsidRPr="00742A04">
        <w:t>organiza</w:t>
      </w:r>
      <w:r w:rsidR="00604011" w:rsidRPr="00742A04">
        <w:t>rá</w:t>
      </w:r>
      <w:r w:rsidR="00545D1B" w:rsidRPr="00742A04">
        <w:t xml:space="preserve"> </w:t>
      </w:r>
      <w:r w:rsidR="008D4558" w:rsidRPr="00742A04">
        <w:t>un</w:t>
      </w:r>
      <w:r w:rsidR="00545D1B" w:rsidRPr="00742A04">
        <w:t xml:space="preserve"> </w:t>
      </w:r>
      <w:r w:rsidR="00BC1D22" w:rsidRPr="00742A04">
        <w:t>seminario</w:t>
      </w:r>
      <w:r w:rsidR="00545D1B" w:rsidRPr="00742A04">
        <w:t xml:space="preserve"> </w:t>
      </w:r>
      <w:r w:rsidR="00056EF1" w:rsidRPr="00742A04">
        <w:t xml:space="preserve">en </w:t>
      </w:r>
      <w:r w:rsidR="008D4558" w:rsidRPr="00742A04">
        <w:t>el cual</w:t>
      </w:r>
      <w:r w:rsidR="00545D1B" w:rsidRPr="00742A04">
        <w:t xml:space="preserve"> </w:t>
      </w:r>
      <w:r w:rsidR="00A8681A" w:rsidRPr="00742A04">
        <w:t>personas</w:t>
      </w:r>
      <w:r w:rsidR="00545D1B" w:rsidRPr="00742A04">
        <w:t xml:space="preserve"> </w:t>
      </w:r>
      <w:r w:rsidR="008D4558" w:rsidRPr="00742A04">
        <w:t>d</w:t>
      </w:r>
      <w:r w:rsidR="00C42BED" w:rsidRPr="00742A04">
        <w:t>el sector del cine</w:t>
      </w:r>
      <w:r w:rsidR="00545D1B" w:rsidRPr="00742A04">
        <w:t xml:space="preserve"> </w:t>
      </w:r>
      <w:r w:rsidR="008D4558" w:rsidRPr="00742A04">
        <w:t>podrán examinar</w:t>
      </w:r>
      <w:r w:rsidR="00545D1B" w:rsidRPr="00742A04">
        <w:t xml:space="preserve"> </w:t>
      </w:r>
      <w:r w:rsidR="008D4558" w:rsidRPr="00742A04">
        <w:t>diversa</w:t>
      </w:r>
      <w:r w:rsidR="00587443" w:rsidRPr="00742A04">
        <w:t>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D4558" w:rsidRPr="00742A04">
        <w:t>se podrá arr</w:t>
      </w:r>
      <w:r w:rsidR="008D4558" w:rsidRPr="00742A04">
        <w:t>o</w:t>
      </w:r>
      <w:r w:rsidR="008D4558" w:rsidRPr="00742A04">
        <w:t>jar luz sobre</w:t>
      </w:r>
      <w:r w:rsidR="00545D1B" w:rsidRPr="00742A04">
        <w:t xml:space="preserve"> </w:t>
      </w:r>
      <w:r w:rsidR="008D4558" w:rsidRPr="00742A04">
        <w:t>el rol del Gobierno</w:t>
      </w:r>
      <w:r w:rsidR="00545D1B" w:rsidRPr="00742A04">
        <w:t xml:space="preserve"> </w:t>
      </w:r>
      <w:r w:rsidR="002B0BE3" w:rsidRPr="00742A04">
        <w:t>los e</w:t>
      </w:r>
      <w:r w:rsidR="002B0BE3" w:rsidRPr="00742A04">
        <w:t>s</w:t>
      </w:r>
      <w:r w:rsidR="002B0BE3" w:rsidRPr="00742A04">
        <w:t xml:space="preserve">fuerzos </w:t>
      </w:r>
      <w:r w:rsidR="00C14BFF" w:rsidRPr="00742A04">
        <w:t>en</w:t>
      </w:r>
      <w:r w:rsidR="002B0BE3" w:rsidRPr="00742A04">
        <w:t xml:space="preserve"> pro de la</w:t>
      </w:r>
      <w:r w:rsidR="00545D1B" w:rsidRPr="00742A04">
        <w:t xml:space="preserve"> </w:t>
      </w:r>
      <w:r w:rsidR="00A05847" w:rsidRPr="00742A04">
        <w:t>igualdad de género</w:t>
      </w:r>
      <w:r w:rsidR="000A08D8" w:rsidRPr="00742A04">
        <w:t>.</w:t>
      </w:r>
    </w:p>
    <w:p w:rsidR="000A08D8" w:rsidRPr="00742A04" w:rsidRDefault="002B0BE3" w:rsidP="001633F4">
      <w:pPr>
        <w:pStyle w:val="SingleTxt"/>
        <w:ind w:firstLine="475"/>
      </w:pPr>
      <w:r w:rsidRPr="00742A04">
        <w:t>El</w:t>
      </w:r>
      <w:r w:rsidR="00545D1B" w:rsidRPr="00742A04">
        <w:t xml:space="preserve"> </w:t>
      </w:r>
      <w:r w:rsidRPr="00742A04">
        <w:t xml:space="preserve">aspecto de la </w:t>
      </w:r>
      <w:r w:rsidR="00A05847" w:rsidRPr="00742A04">
        <w:t>igualdad de género</w:t>
      </w:r>
      <w:r w:rsidR="00545D1B" w:rsidRPr="00742A04">
        <w:t xml:space="preserve"> </w:t>
      </w:r>
      <w:r w:rsidR="00BB4DB1" w:rsidRPr="00742A04">
        <w:t>es</w:t>
      </w:r>
      <w:r w:rsidRPr="00742A04">
        <w:t>tá</w:t>
      </w:r>
      <w:r w:rsidR="00545D1B" w:rsidRPr="00742A04">
        <w:t xml:space="preserve"> </w:t>
      </w:r>
      <w:r w:rsidR="00980475" w:rsidRPr="00742A04">
        <w:t>mencionad</w:t>
      </w:r>
      <w:r w:rsidRPr="00742A04">
        <w:t>o</w:t>
      </w:r>
      <w:r w:rsidR="00545D1B" w:rsidRPr="00742A04">
        <w:t xml:space="preserve"> </w:t>
      </w:r>
      <w:r w:rsidR="00894371" w:rsidRPr="00742A04">
        <w:t>específicamente</w:t>
      </w:r>
      <w:r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</w:t>
      </w:r>
      <w:r w:rsidRPr="00742A04">
        <w:t>Carta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A</w:t>
      </w:r>
      <w:r w:rsidRPr="00742A04">
        <w:t>sign</w:t>
      </w:r>
      <w:r w:rsidR="00545D1B" w:rsidRPr="00742A04">
        <w:t>a</w:t>
      </w:r>
      <w:r w:rsidR="00C14BFF" w:rsidRPr="00742A04">
        <w:t xml:space="preserve">ción </w:t>
      </w:r>
      <w:r w:rsidR="0030626A" w:rsidRPr="00742A04">
        <w:t>a</w:t>
      </w:r>
      <w:r w:rsidR="00447E34" w:rsidRPr="00742A04">
        <w:t>l</w:t>
      </w:r>
      <w:r w:rsidR="00545D1B" w:rsidRPr="00742A04">
        <w:t xml:space="preserve"> </w:t>
      </w:r>
      <w:r w:rsidRPr="00742A04">
        <w:t>Fondo de Noruega para el Cine</w:t>
      </w:r>
      <w:r w:rsidR="00545D1B" w:rsidRPr="00742A04">
        <w:t xml:space="preserve">, </w:t>
      </w:r>
      <w:r w:rsidR="00BB4DB1" w:rsidRPr="00742A04">
        <w:t xml:space="preserve">y 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A313E" w:rsidRPr="00742A04">
        <w:t>Cult</w:t>
      </w:r>
      <w:r w:rsidR="00CA313E" w:rsidRPr="00742A04">
        <w:t>u</w:t>
      </w:r>
      <w:r w:rsidR="00CA313E" w:rsidRPr="00742A04">
        <w:t>ra y Asuntos Eclesiásticos</w:t>
      </w:r>
      <w:r w:rsidR="00545D1B" w:rsidRPr="00742A04">
        <w:t xml:space="preserve"> </w:t>
      </w:r>
      <w:r w:rsidR="00447E34" w:rsidRPr="00742A04">
        <w:t>se propone</w:t>
      </w:r>
      <w:r w:rsidR="00545D1B" w:rsidRPr="00742A04">
        <w:t xml:space="preserve"> present</w:t>
      </w:r>
      <w:r w:rsidR="00447E34" w:rsidRPr="00742A04">
        <w:t>ar metas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BA5ABE" w:rsidRPr="00742A04">
        <w:t>específica</w:t>
      </w:r>
      <w:r w:rsidR="00447E34" w:rsidRPr="00742A04">
        <w:t>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447E34" w:rsidRPr="00742A04">
        <w:t>los esfuerzos del</w:t>
      </w:r>
      <w:r w:rsidR="00545D1B" w:rsidRPr="00742A04">
        <w:t xml:space="preserve"> </w:t>
      </w:r>
      <w:r w:rsidRPr="00742A04">
        <w:t>Fondo de Noruega para el Cine</w:t>
      </w:r>
      <w:r w:rsidR="00545D1B" w:rsidRPr="00742A04">
        <w:t xml:space="preserve"> </w:t>
      </w:r>
      <w:r w:rsidR="00935A90" w:rsidRPr="00742A04">
        <w:t xml:space="preserve">por </w:t>
      </w:r>
      <w:r w:rsidR="00B31D97" w:rsidRPr="00742A04">
        <w:t>mejorar</w:t>
      </w:r>
      <w:r w:rsidR="00545D1B" w:rsidRPr="00742A04">
        <w:t xml:space="preserve"> </w:t>
      </w:r>
      <w:r w:rsidR="00447E34" w:rsidRPr="00742A04">
        <w:t xml:space="preserve">la </w:t>
      </w:r>
      <w:r w:rsidR="00A05847" w:rsidRPr="00742A04">
        <w:t>igualdad de género</w:t>
      </w:r>
      <w:r w:rsidR="002E5047" w:rsidRPr="00742A04">
        <w:t xml:space="preserve"> e </w:t>
      </w:r>
      <w:r w:rsidR="00242371" w:rsidRPr="00742A04">
        <w:t>incrementar</w:t>
      </w:r>
      <w:r w:rsidR="00545D1B" w:rsidRPr="00742A04">
        <w:t xml:space="preserve"> </w:t>
      </w:r>
      <w:r w:rsidR="00982243" w:rsidRPr="00742A04">
        <w:t>la cantidad</w:t>
      </w:r>
      <w:r w:rsidR="00545D1B" w:rsidRPr="00742A04">
        <w:t xml:space="preserve"> </w:t>
      </w:r>
      <w:r w:rsidR="004D313C" w:rsidRPr="00742A04">
        <w:t>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47E34" w:rsidRPr="00742A04">
        <w:t>la industria cinematográfica</w:t>
      </w:r>
      <w:r w:rsidR="00545D1B" w:rsidRPr="00742A04">
        <w:t xml:space="preserve">. </w:t>
      </w:r>
      <w:r w:rsidR="0058094F" w:rsidRPr="00742A04">
        <w:t>A fin de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73E8E" w:rsidRPr="00742A04">
        <w:t>la pr</w:t>
      </w:r>
      <w:r w:rsidR="00E73E8E" w:rsidRPr="00742A04">
        <w:t>o</w:t>
      </w:r>
      <w:r w:rsidR="00E73E8E" w:rsidRPr="00742A04">
        <w:t>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B42B1" w:rsidRPr="00742A04">
        <w:t>puestos de conducción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94F2F" w:rsidRPr="00742A04">
        <w:t>la producción cinematográfica de Noruega y alentar a las mujeres a ocupar tales puestos</w:t>
      </w:r>
      <w:r w:rsidR="00935A90" w:rsidRPr="00742A04">
        <w:t>,</w:t>
      </w:r>
      <w:r w:rsidR="00545D1B" w:rsidRPr="00742A04">
        <w:t xml:space="preserve"> </w:t>
      </w:r>
      <w:r w:rsidR="00394F2F" w:rsidRPr="00742A04">
        <w:t>el</w:t>
      </w:r>
      <w:r w:rsidR="00545D1B" w:rsidRPr="00742A04">
        <w:t xml:space="preserve"> </w:t>
      </w:r>
      <w:r w:rsidRPr="00742A04">
        <w:t>Fondo de Noruega para el Cine</w:t>
      </w:r>
      <w:r w:rsidR="00545D1B" w:rsidRPr="00742A04">
        <w:t xml:space="preserve"> </w:t>
      </w:r>
      <w:r w:rsidR="009B122F" w:rsidRPr="00742A04">
        <w:t>ha establecido</w:t>
      </w:r>
      <w:r w:rsidR="00545D1B" w:rsidRPr="00742A04">
        <w:t xml:space="preserve"> </w:t>
      </w:r>
      <w:r w:rsidR="00394F2F" w:rsidRPr="00742A04">
        <w:t>un</w:t>
      </w:r>
      <w:r w:rsidR="00545D1B" w:rsidRPr="00742A04">
        <w:t xml:space="preserve">a </w:t>
      </w:r>
      <w:r w:rsidR="00394F2F" w:rsidRPr="00742A04">
        <w:t xml:space="preserve">asignación </w:t>
      </w:r>
      <w:r w:rsidR="00E574AD" w:rsidRPr="00742A04">
        <w:t>especial</w:t>
      </w:r>
      <w:r w:rsidR="00545D1B" w:rsidRPr="00742A04">
        <w:t xml:space="preserve"> </w:t>
      </w:r>
      <w:r w:rsidR="00394F2F" w:rsidRPr="00742A04">
        <w:t xml:space="preserve">para el </w:t>
      </w:r>
      <w:r w:rsidR="006B65CD" w:rsidRPr="00742A04">
        <w:t>desarrollo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94F2F" w:rsidRPr="00742A04">
        <w:t>los filmes en que se</w:t>
      </w:r>
      <w:r w:rsidR="00545D1B" w:rsidRPr="00742A04">
        <w:t xml:space="preserve"> prior</w:t>
      </w:r>
      <w:r w:rsidR="00502E16" w:rsidRPr="00742A04">
        <w:t>idad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94F2F" w:rsidRPr="00742A04">
        <w:t xml:space="preserve">las </w:t>
      </w:r>
      <w:r w:rsidR="00072AD7" w:rsidRPr="00742A04">
        <w:t>mujeres</w:t>
      </w:r>
      <w:r w:rsidR="00545D1B" w:rsidRPr="00742A04">
        <w:t xml:space="preserve">. </w:t>
      </w:r>
      <w:r w:rsidR="00394F2F" w:rsidRPr="00742A04">
        <w:t xml:space="preserve">Se han asignado </w:t>
      </w:r>
      <w:r w:rsidR="00545D1B" w:rsidRPr="00742A04">
        <w:t xml:space="preserve">2 </w:t>
      </w:r>
      <w:r w:rsidR="008C4612" w:rsidRPr="00742A04">
        <w:t>millones de</w:t>
      </w:r>
      <w:r w:rsidR="005E6919" w:rsidRPr="00742A04">
        <w:t xml:space="preserve"> </w:t>
      </w:r>
      <w:r w:rsidR="00394F2F" w:rsidRPr="00742A04">
        <w:t xml:space="preserve">coronas noruegas en 2006 </w:t>
      </w:r>
      <w:r w:rsidR="00F43124" w:rsidRPr="00742A04">
        <w:t>para</w:t>
      </w:r>
      <w:r w:rsidR="00545D1B" w:rsidRPr="00742A04">
        <w:t xml:space="preserve"> </w:t>
      </w:r>
      <w:r w:rsidR="00394F2F" w:rsidRPr="00742A04">
        <w:t>este proyecto</w:t>
      </w:r>
      <w:r w:rsidR="00545D1B" w:rsidRPr="00742A04">
        <w:t xml:space="preserve">, </w:t>
      </w:r>
      <w:r w:rsidR="00394F2F" w:rsidRPr="00742A04">
        <w:t>denominado</w:t>
      </w:r>
      <w:r w:rsidR="00545D1B" w:rsidRPr="00742A04">
        <w:t xml:space="preserve"> Sig</w:t>
      </w:r>
      <w:r w:rsidR="00394F2F" w:rsidRPr="00742A04">
        <w:t>natur K</w:t>
      </w:r>
      <w:r w:rsidR="00545D1B" w:rsidRPr="00742A04">
        <w:t xml:space="preserve">. </w:t>
      </w:r>
      <w:r w:rsidR="00394F2F" w:rsidRPr="00742A04">
        <w:t>Existe l</w:t>
      </w:r>
      <w:r w:rsidR="001139B2" w:rsidRPr="00742A04">
        <w:t>a intención</w:t>
      </w:r>
      <w:r w:rsidR="00C14BFF" w:rsidRPr="00742A04">
        <w:t xml:space="preserve"> </w:t>
      </w:r>
      <w:r w:rsidR="00394F2F" w:rsidRPr="00742A04">
        <w:t>d</w:t>
      </w:r>
      <w:r w:rsidR="00BB4DB1" w:rsidRPr="00742A04">
        <w:t>e</w:t>
      </w:r>
      <w:r w:rsidR="00545D1B" w:rsidRPr="00742A04">
        <w:t xml:space="preserve"> </w:t>
      </w:r>
      <w:r w:rsidR="00394F2F" w:rsidRPr="00742A04">
        <w:t>asignar una cua</w:t>
      </w:r>
      <w:r w:rsidR="00394F2F" w:rsidRPr="00742A04">
        <w:t>n</w:t>
      </w:r>
      <w:r w:rsidR="00394F2F" w:rsidRPr="00742A04">
        <w:t>tía análoga el</w:t>
      </w:r>
      <w:r w:rsidR="00545D1B" w:rsidRPr="00742A04">
        <w:t xml:space="preserve"> </w:t>
      </w:r>
      <w:r w:rsidR="004D313C" w:rsidRPr="00742A04">
        <w:t>año</w:t>
      </w:r>
      <w:r w:rsidR="00394F2F" w:rsidRPr="00742A04">
        <w:t xml:space="preserve"> próximo</w:t>
      </w:r>
      <w:r w:rsidR="00545D1B" w:rsidRPr="00742A04">
        <w:t xml:space="preserve">. </w:t>
      </w:r>
      <w:r w:rsidR="00394F2F" w:rsidRPr="00742A04">
        <w:t>Según las condiciones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94F2F" w:rsidRPr="00742A04">
        <w:t xml:space="preserve">poder solicitar </w:t>
      </w:r>
      <w:r w:rsidR="006B65CD" w:rsidRPr="00742A04">
        <w:t>fina</w:t>
      </w:r>
      <w:r w:rsidR="006B65CD" w:rsidRPr="00742A04">
        <w:t>n</w:t>
      </w:r>
      <w:r w:rsidR="006B65CD" w:rsidRPr="00742A04">
        <w:t>ciación</w:t>
      </w:r>
      <w:r w:rsidR="00545D1B" w:rsidRPr="00742A04">
        <w:t xml:space="preserve"> </w:t>
      </w:r>
      <w:r w:rsidR="00394F2F" w:rsidRPr="00742A04">
        <w:t>con cargo a esta</w:t>
      </w:r>
      <w:r w:rsidR="00545D1B" w:rsidRPr="00742A04">
        <w:t xml:space="preserve"> </w:t>
      </w:r>
      <w:r w:rsidR="0058094F" w:rsidRPr="00742A04">
        <w:t>asignación</w:t>
      </w:r>
      <w:r w:rsidR="00935A90" w:rsidRPr="00742A04">
        <w:t>,</w:t>
      </w:r>
      <w:r w:rsidR="00545D1B" w:rsidRPr="00742A04">
        <w:t xml:space="preserve"> </w:t>
      </w:r>
      <w:r w:rsidR="00657260" w:rsidRPr="00742A04">
        <w:t>por lo menos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4F2F" w:rsidRPr="00742A04">
        <w:t>los puestos principales</w:t>
      </w:r>
      <w:r w:rsidR="00545D1B" w:rsidRPr="00742A04">
        <w:t xml:space="preserve"> </w:t>
      </w:r>
      <w:r w:rsidR="0020526A" w:rsidRPr="00742A04">
        <w:t>d</w:t>
      </w:r>
      <w:r w:rsidR="0020526A" w:rsidRPr="00742A04">
        <w:t>e</w:t>
      </w:r>
      <w:r w:rsidR="0020526A" w:rsidRPr="00742A04">
        <w:t>be</w:t>
      </w:r>
      <w:r w:rsidR="00394F2F" w:rsidRPr="00742A04">
        <w:t>n</w:t>
      </w:r>
      <w:r w:rsidR="0020526A" w:rsidRPr="00742A04">
        <w:t xml:space="preserve"> e</w:t>
      </w:r>
      <w:r w:rsidR="00394F2F" w:rsidRPr="00742A04">
        <w:t xml:space="preserve">star ocupados </w:t>
      </w:r>
      <w:r w:rsidR="001167D2" w:rsidRPr="00742A04">
        <w:t>por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394F2F" w:rsidRPr="00742A04">
        <w:t xml:space="preserve">preferiblemente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94F2F" w:rsidRPr="00742A04">
        <w:t>los papeles principales</w:t>
      </w:r>
      <w:r w:rsidR="00545D1B" w:rsidRPr="00742A04">
        <w:t xml:space="preserve"> </w:t>
      </w:r>
      <w:r w:rsidR="00394F2F" w:rsidRPr="00742A04">
        <w:t>debería ser femenino</w:t>
      </w:r>
      <w:r w:rsidR="000A08D8" w:rsidRPr="00742A04">
        <w:t>.</w:t>
      </w:r>
    </w:p>
    <w:p w:rsidR="00545D1B" w:rsidRPr="00742A04" w:rsidRDefault="004A0730" w:rsidP="001633F4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CA313E" w:rsidRPr="00742A04">
        <w:t>Cultura y Asuntos Eclesiásticos</w:t>
      </w:r>
      <w:r w:rsidR="00545D1B" w:rsidRPr="00742A04">
        <w:t xml:space="preserve"> ha</w:t>
      </w:r>
      <w:r w:rsidR="00394F2F" w:rsidRPr="00742A04">
        <w:t xml:space="preserve"> fijado la meta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242371" w:rsidRPr="00742A04">
        <w:t>promover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94F2F" w:rsidRPr="00742A04">
        <w:t>la esfera</w:t>
      </w:r>
      <w:r w:rsidR="00545D1B" w:rsidRPr="00742A04">
        <w:t xml:space="preserve"> cultural. </w:t>
      </w:r>
      <w:r w:rsidR="0058094F" w:rsidRPr="00742A04">
        <w:t>A fin de</w:t>
      </w:r>
      <w:r w:rsidR="00545D1B" w:rsidRPr="00742A04">
        <w:t xml:space="preserve"> facilita</w:t>
      </w:r>
      <w:r w:rsidR="00394F2F" w:rsidRPr="00742A04">
        <w:t>r ese esfuerzo</w:t>
      </w:r>
      <w:r w:rsidR="00545D1B" w:rsidRPr="00742A04">
        <w:t xml:space="preserve">, </w:t>
      </w:r>
      <w:r w:rsidRPr="00742A04">
        <w:t>el Minist</w:t>
      </w:r>
      <w:r w:rsidRPr="00742A04">
        <w:t>e</w:t>
      </w:r>
      <w:r w:rsidRPr="00742A04">
        <w:t>rio</w:t>
      </w:r>
      <w:r w:rsidR="00545D1B" w:rsidRPr="00742A04">
        <w:t xml:space="preserve"> </w:t>
      </w:r>
      <w:r w:rsidR="007A4A10" w:rsidRPr="00742A04">
        <w:t>ha tomado</w:t>
      </w:r>
      <w:r w:rsidR="00545D1B" w:rsidRPr="00742A04">
        <w:t xml:space="preserve"> </w:t>
      </w:r>
      <w:r w:rsidR="003E4840" w:rsidRPr="00742A04">
        <w:t>la iniciativa</w:t>
      </w:r>
      <w:r w:rsidR="00545D1B" w:rsidRPr="00742A04">
        <w:t xml:space="preserve"> </w:t>
      </w:r>
      <w:r w:rsidR="00394F2F" w:rsidRPr="00742A04">
        <w:t>de</w:t>
      </w:r>
      <w:r w:rsidR="00545D1B" w:rsidRPr="00742A04">
        <w:t xml:space="preserve"> investiga</w:t>
      </w:r>
      <w:r w:rsidR="00394F2F" w:rsidRPr="00742A04">
        <w:t>r</w:t>
      </w:r>
      <w:r w:rsidR="00545D1B" w:rsidRPr="00742A04">
        <w:t xml:space="preserve"> </w:t>
      </w:r>
      <w:r w:rsidR="00394F2F" w:rsidRPr="00742A04">
        <w:t>la dimensión de</w:t>
      </w:r>
      <w:r w:rsidR="00154695" w:rsidRPr="00742A04">
        <w:t xml:space="preserve">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77086" w:rsidRPr="00742A04">
        <w:t>las actividades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394F2F" w:rsidRPr="00742A04">
        <w:t xml:space="preserve">las </w:t>
      </w:r>
      <w:r w:rsidR="00545D1B" w:rsidRPr="00742A04">
        <w:t>institu</w:t>
      </w:r>
      <w:r w:rsidR="008907B8" w:rsidRPr="00742A04">
        <w:t>ciones</w:t>
      </w:r>
      <w:r w:rsidR="00545D1B" w:rsidRPr="00742A04">
        <w:t xml:space="preserve"> </w:t>
      </w:r>
      <w:r w:rsidR="00394F2F" w:rsidRPr="00742A04">
        <w:t>culturales, así como</w:t>
      </w:r>
      <w:r w:rsidR="00545D1B" w:rsidRPr="00742A04">
        <w:t xml:space="preserve"> </w:t>
      </w:r>
      <w:r w:rsidR="005206AC" w:rsidRPr="00742A04">
        <w:t>la distribución</w:t>
      </w:r>
      <w:r w:rsidR="00C14BFF" w:rsidRPr="00742A04">
        <w:t xml:space="preserve"> </w:t>
      </w:r>
      <w:r w:rsidRPr="00742A04">
        <w:t>de</w:t>
      </w:r>
      <w:r w:rsidR="00545D1B" w:rsidRPr="00742A04">
        <w:t xml:space="preserve"> </w:t>
      </w:r>
      <w:r w:rsidR="00B13783" w:rsidRPr="00742A04">
        <w:t>las donaciones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otr</w:t>
      </w:r>
      <w:r w:rsidR="00394F2F" w:rsidRPr="00742A04">
        <w:t>os</w:t>
      </w:r>
      <w:r w:rsidR="00545D1B" w:rsidRPr="00742A04">
        <w:t xml:space="preserve"> </w:t>
      </w:r>
      <w:r w:rsidR="0063400A" w:rsidRPr="00742A04">
        <w:t>planes</w:t>
      </w:r>
      <w:r w:rsidR="00394F2F" w:rsidRPr="00742A04">
        <w:t xml:space="preserve"> </w:t>
      </w:r>
      <w:r w:rsidR="00B14198">
        <w:t xml:space="preserve">de </w:t>
      </w:r>
      <w:r w:rsidR="00394F2F" w:rsidRPr="00742A04">
        <w:t>apoyo</w:t>
      </w:r>
      <w:r w:rsidR="00545D1B" w:rsidRPr="00742A04">
        <w:t>.</w:t>
      </w:r>
    </w:p>
    <w:p w:rsidR="00545D1B" w:rsidRPr="00742A04" w:rsidRDefault="00394F2F" w:rsidP="001633F4">
      <w:pPr>
        <w:pStyle w:val="SingleTxt"/>
        <w:ind w:firstLine="475"/>
      </w:pPr>
      <w:r w:rsidRPr="00742A04">
        <w:t xml:space="preserve">Los </w:t>
      </w:r>
      <w:r w:rsidR="00545D1B" w:rsidRPr="00742A04">
        <w:t>artist</w:t>
      </w:r>
      <w:r w:rsidRPr="00742A04">
        <w:t>a</w:t>
      </w:r>
      <w:r w:rsidR="00545D1B" w:rsidRPr="00742A04">
        <w:t>s</w:t>
      </w:r>
      <w:r w:rsidRPr="00742A04">
        <w:t xml:space="preserve"> que trabajan por cuenta propia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Pr="00742A04">
        <w:t xml:space="preserve">tienen </w:t>
      </w:r>
      <w:r w:rsidR="00980475" w:rsidRPr="00742A04">
        <w:t>necesariamente</w:t>
      </w:r>
      <w:r w:rsidR="00545D1B" w:rsidRPr="00742A04">
        <w:t xml:space="preserve"> </w:t>
      </w:r>
      <w:r w:rsidR="006E0918" w:rsidRPr="00742A04">
        <w:t>el mismo derecho que</w:t>
      </w:r>
      <w:r w:rsidR="00545D1B" w:rsidRPr="00742A04">
        <w:t xml:space="preserve"> </w:t>
      </w:r>
      <w:r w:rsidRPr="00742A04">
        <w:t xml:space="preserve">otras </w:t>
      </w:r>
      <w:r w:rsidR="00A8681A" w:rsidRPr="00742A04">
        <w:t>personas</w:t>
      </w:r>
      <w:r w:rsidR="00545D1B" w:rsidRPr="00742A04">
        <w:t xml:space="preserve"> </w:t>
      </w:r>
      <w:r w:rsidRPr="00742A04">
        <w:t xml:space="preserve">económicamente activas </w:t>
      </w:r>
      <w:r w:rsidR="0030626A" w:rsidRPr="00742A04">
        <w:t>a</w:t>
      </w:r>
      <w:r w:rsidR="00545D1B" w:rsidRPr="00742A04">
        <w:t xml:space="preserve"> </w:t>
      </w:r>
      <w:r w:rsidR="00894371" w:rsidRPr="00742A04">
        <w:t>prestaciones sociales</w:t>
      </w:r>
      <w:r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3400A" w:rsidRPr="00742A04">
        <w:t>planes</w:t>
      </w:r>
      <w:r w:rsidRPr="00742A04">
        <w:t xml:space="preserve"> de asistencia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Pr="00742A04">
        <w:t xml:space="preserve">las </w:t>
      </w:r>
      <w:r w:rsidR="009E3199" w:rsidRPr="00742A04">
        <w:t xml:space="preserve">prestaciones por maternidad o paternidad </w:t>
      </w:r>
      <w:r w:rsidRPr="00742A04">
        <w:t>y las prest</w:t>
      </w:r>
      <w:r w:rsidRPr="00742A04">
        <w:t>a</w:t>
      </w:r>
      <w:r w:rsidRPr="00742A04">
        <w:t>ciones</w:t>
      </w:r>
      <w:r w:rsidR="009E3199" w:rsidRPr="00742A04">
        <w:t xml:space="preserve"> de adopción</w:t>
      </w:r>
      <w:r w:rsidR="00545D1B" w:rsidRPr="00742A04">
        <w:t xml:space="preserve">. </w:t>
      </w:r>
      <w:r w:rsidRPr="00742A04">
        <w:t>Hay razones para</w:t>
      </w:r>
      <w:r w:rsidR="00982243" w:rsidRPr="00742A04">
        <w:t xml:space="preserve"> creer</w:t>
      </w:r>
      <w:r w:rsidR="00545D1B" w:rsidRPr="00742A04">
        <w:t xml:space="preserve"> </w:t>
      </w:r>
      <w:r w:rsidRPr="00742A04">
        <w:t>que esto puede</w:t>
      </w:r>
      <w:r w:rsidR="00545D1B" w:rsidRPr="00742A04">
        <w:t xml:space="preserve"> crea</w:t>
      </w:r>
      <w:r w:rsidRPr="00742A04">
        <w:t>r</w:t>
      </w:r>
      <w:r w:rsidR="00545D1B" w:rsidRPr="00742A04">
        <w:t xml:space="preserve"> </w:t>
      </w:r>
      <w:r w:rsidRPr="00742A04">
        <w:t>dificultades esp</w:t>
      </w:r>
      <w:r w:rsidRPr="00742A04">
        <w:t>e</w:t>
      </w:r>
      <w:r w:rsidRPr="00742A04">
        <w:t>ciales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894371" w:rsidRPr="00742A04">
        <w:t>artistas</w:t>
      </w:r>
      <w:r w:rsidR="00545D1B" w:rsidRPr="00742A04">
        <w:t xml:space="preserve">. </w:t>
      </w:r>
      <w:r w:rsidRPr="00742A04">
        <w:t>En el</w:t>
      </w:r>
      <w:r w:rsidR="00545D1B" w:rsidRPr="00742A04">
        <w:t xml:space="preserve"> </w:t>
      </w:r>
      <w:r w:rsidR="00657260" w:rsidRPr="00742A04">
        <w:t xml:space="preserve">Informe sobre </w:t>
      </w:r>
      <w:r w:rsidRPr="00742A04">
        <w:t xml:space="preserve">los </w:t>
      </w:r>
      <w:r w:rsidR="00545D1B" w:rsidRPr="00742A04">
        <w:t>Artist</w:t>
      </w:r>
      <w:r w:rsidRPr="00742A04">
        <w:t>a</w:t>
      </w:r>
      <w:r w:rsidR="00545D1B" w:rsidRPr="00742A04">
        <w:t>s</w:t>
      </w:r>
      <w:r w:rsidRPr="00742A04">
        <w:t xml:space="preserve"> que se proyecta el</w:t>
      </w:r>
      <w:r w:rsidRPr="00742A04">
        <w:t>a</w:t>
      </w:r>
      <w:r w:rsidRPr="00742A04">
        <w:t>borar se analizará más detenidamente la forma en que</w:t>
      </w:r>
      <w:r w:rsidR="00310894" w:rsidRPr="00742A04">
        <w:t xml:space="preserve"> funcionan la seguridad social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10894" w:rsidRPr="00742A04">
        <w:t>los planes de asistencia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10894" w:rsidRPr="00742A04">
        <w:t>los artistas independientes o que trabajan por cuenta propia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10894" w:rsidRPr="00742A04">
        <w:t xml:space="preserve">cuáles son las </w:t>
      </w:r>
      <w:r w:rsidR="00DC0DB8" w:rsidRPr="00742A04">
        <w:t>medidas</w:t>
      </w:r>
      <w:r w:rsidR="00545D1B" w:rsidRPr="00742A04">
        <w:t xml:space="preserve"> </w:t>
      </w:r>
      <w:r w:rsidR="00417824" w:rsidRPr="00742A04">
        <w:t>nece</w:t>
      </w:r>
      <w:r w:rsidR="00310894" w:rsidRPr="00742A04">
        <w:t>sarias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3F50" w:rsidRPr="00742A04">
        <w:t>esta e</w:t>
      </w:r>
      <w:r w:rsidR="004A3F50" w:rsidRPr="00742A04">
        <w:t>s</w:t>
      </w:r>
      <w:r w:rsidR="004A3F50" w:rsidRPr="00742A04">
        <w:t>fera</w:t>
      </w:r>
      <w:r w:rsidR="00545D1B" w:rsidRPr="00742A04">
        <w:t>.</w:t>
      </w:r>
    </w:p>
    <w:p w:rsidR="00545D1B" w:rsidRPr="00742A04" w:rsidRDefault="004A0730" w:rsidP="001633F4">
      <w:pPr>
        <w:pStyle w:val="SingleTxt"/>
        <w:ind w:firstLine="475"/>
      </w:pPr>
      <w:r w:rsidRPr="00742A04">
        <w:t>E</w:t>
      </w:r>
      <w:r w:rsidR="00B14198">
        <w:t>l</w:t>
      </w:r>
      <w:r w:rsidR="00545D1B" w:rsidRPr="00742A04">
        <w:t xml:space="preserve"> </w:t>
      </w:r>
      <w:r w:rsidR="00B14198" w:rsidRPr="00742A04">
        <w:t>8 de marzo</w:t>
      </w:r>
      <w:r w:rsidR="00B14198">
        <w:t xml:space="preserve"> de</w:t>
      </w:r>
      <w:r w:rsidR="00B14198" w:rsidRPr="00742A04">
        <w:t xml:space="preserve"> </w:t>
      </w:r>
      <w:r w:rsidR="00545D1B" w:rsidRPr="00742A04">
        <w:t>2006</w:t>
      </w:r>
      <w:r w:rsidR="00310894" w:rsidRPr="00742A04">
        <w:t>,</w:t>
      </w:r>
      <w:r w:rsidR="00545D1B" w:rsidRPr="00742A04">
        <w:t xml:space="preserve"> </w:t>
      </w:r>
      <w:r w:rsidR="00B14198" w:rsidRPr="00742A04">
        <w:t>Día de la Mujer</w:t>
      </w:r>
      <w:r w:rsidR="00B14198">
        <w:t xml:space="preserve">, </w:t>
      </w:r>
      <w:r w:rsidRPr="00742A04">
        <w:t>el Ministerio</w:t>
      </w:r>
      <w:r w:rsidR="00545D1B" w:rsidRPr="00742A04">
        <w:t xml:space="preserve"> </w:t>
      </w:r>
      <w:r w:rsidR="00310894" w:rsidRPr="00742A04">
        <w:t xml:space="preserve">organizó un seminario </w:t>
      </w:r>
      <w:r w:rsidR="00651DEE">
        <w:t>para</w:t>
      </w:r>
      <w:r w:rsidR="00056EF1" w:rsidRPr="00742A04">
        <w:t xml:space="preserve"> </w:t>
      </w:r>
      <w:r w:rsidR="00310894" w:rsidRPr="00742A04">
        <w:t>el cual</w:t>
      </w:r>
      <w:r w:rsidR="00545D1B" w:rsidRPr="00742A04">
        <w:t xml:space="preserve"> </w:t>
      </w:r>
      <w:r w:rsidR="00310894" w:rsidRPr="00742A04">
        <w:t xml:space="preserve">se invitó a </w:t>
      </w:r>
      <w:r w:rsidR="00072AD7" w:rsidRPr="00742A04">
        <w:t>mujeres</w:t>
      </w:r>
      <w:r w:rsidR="00545D1B" w:rsidRPr="00742A04">
        <w:t xml:space="preserve"> </w:t>
      </w:r>
      <w:r w:rsidR="00310894" w:rsidRPr="00742A04">
        <w:t xml:space="preserve">importantes </w:t>
      </w:r>
      <w:r w:rsidR="008F0C8E" w:rsidRPr="00742A04">
        <w:t>de</w:t>
      </w:r>
      <w:r w:rsidR="00545D1B" w:rsidRPr="00742A04">
        <w:t xml:space="preserve"> </w:t>
      </w:r>
      <w:r w:rsidR="00310894" w:rsidRPr="00742A04">
        <w:t>todas las partes del mundo</w:t>
      </w:r>
      <w:r w:rsidR="00545D1B" w:rsidRPr="00742A04">
        <w:t xml:space="preserve"> art</w:t>
      </w:r>
      <w:r w:rsidR="00310894" w:rsidRPr="00742A04">
        <w:t>ístico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10894" w:rsidRPr="00742A04">
        <w:t xml:space="preserve"> participar en </w:t>
      </w:r>
      <w:r w:rsidR="009B3BF1" w:rsidRPr="00742A04">
        <w:t>debates</w:t>
      </w:r>
      <w:r w:rsidR="005E6919" w:rsidRPr="00742A04">
        <w:t xml:space="preserve"> </w:t>
      </w:r>
      <w:r w:rsidRPr="00742A04">
        <w:t>con</w:t>
      </w:r>
      <w:r w:rsidR="00545D1B" w:rsidRPr="00742A04">
        <w:t xml:space="preserve"> </w:t>
      </w:r>
      <w:r w:rsidR="00693449" w:rsidRPr="00742A04">
        <w:t>el</w:t>
      </w:r>
      <w:r w:rsidR="00545D1B" w:rsidRPr="00742A04">
        <w:t xml:space="preserve"> </w:t>
      </w:r>
      <w:r w:rsidR="00693449" w:rsidRPr="00742A04">
        <w:t>Ministro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Cultur</w:t>
      </w:r>
      <w:r w:rsidR="00693449" w:rsidRPr="00742A04">
        <w:t>a</w:t>
      </w:r>
      <w:r w:rsidR="00545D1B" w:rsidRPr="00742A04">
        <w:t xml:space="preserve"> </w:t>
      </w:r>
      <w:r w:rsidR="00693449" w:rsidRPr="00742A04">
        <w:t>sobre</w:t>
      </w:r>
      <w:r w:rsidR="0077058E" w:rsidRPr="00742A04">
        <w:t xml:space="preserve"> la igualdad</w:t>
      </w:r>
      <w:r w:rsidR="00A05847" w:rsidRPr="00742A04">
        <w:t xml:space="preserve">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93449" w:rsidRPr="00742A04">
        <w:t xml:space="preserve">las </w:t>
      </w:r>
      <w:r w:rsidR="00C27C42" w:rsidRPr="00742A04">
        <w:t>posible</w:t>
      </w:r>
      <w:r w:rsidR="00693449" w:rsidRPr="00742A04">
        <w:t>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93449" w:rsidRPr="00742A04">
        <w:t>la esfera</w:t>
      </w:r>
      <w:r w:rsidR="00545D1B" w:rsidRPr="00742A04">
        <w:t xml:space="preserve"> cultural. </w:t>
      </w:r>
      <w:r w:rsidR="00021DB5" w:rsidRPr="00742A04">
        <w:t>Hay</w:t>
      </w:r>
      <w:r w:rsidR="00545D1B" w:rsidRPr="00742A04">
        <w:t xml:space="preserve"> </w:t>
      </w:r>
      <w:r w:rsidR="00242371" w:rsidRPr="00742A04">
        <w:t>planes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C60E8E" w:rsidRPr="00742A04">
        <w:t>realizar un</w:t>
      </w:r>
      <w:r w:rsidR="00545D1B" w:rsidRPr="00742A04">
        <w:t xml:space="preserve"> </w:t>
      </w:r>
      <w:r w:rsidR="00BC1D22" w:rsidRPr="00742A04">
        <w:t>seminario</w:t>
      </w:r>
      <w:r w:rsidR="00C60E8E" w:rsidRPr="00742A04">
        <w:t xml:space="preserve"> anál</w:t>
      </w:r>
      <w:r w:rsidR="00C60E8E" w:rsidRPr="00742A04">
        <w:t>o</w:t>
      </w:r>
      <w:r w:rsidR="00C60E8E" w:rsidRPr="00742A04">
        <w:t>go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2007. </w:t>
      </w:r>
      <w:r w:rsidR="00C60E8E" w:rsidRPr="00742A04">
        <w:t>Como</w:t>
      </w:r>
      <w:r w:rsidR="00545D1B" w:rsidRPr="00742A04">
        <w:t xml:space="preserve"> </w:t>
      </w:r>
      <w:r w:rsidR="008A0C75" w:rsidRPr="00742A04">
        <w:t>seguimiento</w:t>
      </w:r>
      <w:r w:rsidR="00545D1B" w:rsidRPr="00742A04">
        <w:t xml:space="preserve"> </w:t>
      </w:r>
      <w:r w:rsidR="00C60E8E" w:rsidRPr="00742A04">
        <w:t>de ello</w:t>
      </w:r>
      <w:r w:rsidR="00545D1B" w:rsidRPr="00742A04">
        <w:t xml:space="preserve">, </w:t>
      </w:r>
      <w:r w:rsidRPr="00742A04">
        <w:t>el Ministerio</w:t>
      </w:r>
      <w:r w:rsidR="00545D1B" w:rsidRPr="00742A04">
        <w:t xml:space="preserve"> </w:t>
      </w:r>
      <w:r w:rsidR="00B86412" w:rsidRPr="00742A04">
        <w:t xml:space="preserve">está </w:t>
      </w:r>
      <w:r w:rsidR="00693449" w:rsidRPr="00742A04">
        <w:t>estudiando la posib</w:t>
      </w:r>
      <w:r w:rsidR="00693449" w:rsidRPr="00742A04">
        <w:t>i</w:t>
      </w:r>
      <w:r w:rsidR="00693449" w:rsidRPr="00742A04">
        <w:t>lidad de adoptar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693449" w:rsidRPr="00742A04">
        <w:t>par</w:t>
      </w:r>
      <w:r w:rsidR="0030626A" w:rsidRPr="00742A04">
        <w:t>a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693449" w:rsidRPr="00742A04">
        <w:t xml:space="preserve">la </w:t>
      </w:r>
      <w:r w:rsidR="00A05847" w:rsidRPr="00742A04">
        <w:t>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E4452" w:rsidRPr="00742A04">
        <w:t>la esfera</w:t>
      </w:r>
      <w:r w:rsidR="00545D1B" w:rsidRPr="00742A04">
        <w:t xml:space="preserve"> cultural, </w:t>
      </w:r>
      <w:r w:rsidR="00AD0883" w:rsidRPr="00742A04">
        <w:t xml:space="preserve">tales </w:t>
      </w:r>
      <w:r w:rsidR="00AE4452" w:rsidRPr="00742A04">
        <w:t>como la capacitación de m</w:t>
      </w:r>
      <w:r w:rsidR="00AE4452" w:rsidRPr="00742A04">
        <w:t>u</w:t>
      </w:r>
      <w:r w:rsidR="00AE4452" w:rsidRPr="00742A04">
        <w:t>jeres para ocupar</w:t>
      </w:r>
      <w:r w:rsidR="00545D1B" w:rsidRPr="00742A04">
        <w:t xml:space="preserve"> </w:t>
      </w:r>
      <w:r w:rsidR="006F4432" w:rsidRPr="00742A04">
        <w:t>puestos gerenciales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E4452" w:rsidRPr="00742A04">
        <w:t xml:space="preserve">la vida </w:t>
      </w:r>
      <w:r w:rsidR="00545D1B" w:rsidRPr="00742A04">
        <w:t>cultural.</w:t>
      </w:r>
    </w:p>
    <w:p w:rsidR="00545D1B" w:rsidRPr="00742A04" w:rsidRDefault="00495D7B" w:rsidP="001633F4">
      <w:pPr>
        <w:pStyle w:val="SingleTxt"/>
        <w:ind w:firstLine="475"/>
      </w:pPr>
      <w:r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D1651" w:rsidRPr="00742A04">
        <w:t>los objetivos</w:t>
      </w:r>
      <w:r w:rsidR="0030626A" w:rsidRPr="00742A04">
        <w:t xml:space="preserve"> d</w:t>
      </w:r>
      <w:r w:rsidR="00693449" w:rsidRPr="00742A04">
        <w:t xml:space="preserve">e la política </w:t>
      </w:r>
      <w:r w:rsidR="004D313C" w:rsidRPr="00742A04">
        <w:t>del Gobierno</w:t>
      </w:r>
      <w:r w:rsidR="00545D1B" w:rsidRPr="00742A04">
        <w:t xml:space="preserve"> </w:t>
      </w:r>
      <w:r w:rsidR="00693449" w:rsidRPr="00742A04">
        <w:t xml:space="preserve">en materia de </w:t>
      </w:r>
      <w:r w:rsidR="000B71AA" w:rsidRPr="00742A04">
        <w:t>deportes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60E8E" w:rsidRPr="00742A04">
        <w:t>l</w:t>
      </w:r>
      <w:r w:rsidR="00C60E8E" w:rsidRPr="00742A04">
        <w:t>o</w:t>
      </w:r>
      <w:r w:rsidR="00C60E8E" w:rsidRPr="00742A04">
        <w:t xml:space="preserve">grar que las </w:t>
      </w:r>
      <w:r w:rsidR="00072AD7" w:rsidRPr="00742A04">
        <w:t>mujeres</w:t>
      </w:r>
      <w:r w:rsidR="00545D1B" w:rsidRPr="00742A04">
        <w:t xml:space="preserve"> </w:t>
      </w:r>
      <w:r w:rsidR="00C60E8E" w:rsidRPr="00742A04">
        <w:t>tengan</w:t>
      </w:r>
      <w:r w:rsidR="00545D1B" w:rsidRPr="00742A04">
        <w:t xml:space="preserve"> </w:t>
      </w:r>
      <w:r w:rsidR="003C25BF" w:rsidRPr="00742A04">
        <w:t>la</w:t>
      </w:r>
      <w:r w:rsidR="00C60E8E" w:rsidRPr="00742A04">
        <w:t>s</w:t>
      </w:r>
      <w:r w:rsidR="003C25BF" w:rsidRPr="00742A04">
        <w:t xml:space="preserve"> misma</w:t>
      </w:r>
      <w:r w:rsidR="00C60E8E" w:rsidRPr="00742A04">
        <w:t>s</w:t>
      </w:r>
      <w:r w:rsidR="00545D1B" w:rsidRPr="00742A04">
        <w:t xml:space="preserve"> </w:t>
      </w:r>
      <w:r w:rsidR="002F3238" w:rsidRPr="00742A04">
        <w:t>oport</w:t>
      </w:r>
      <w:r w:rsidR="00545D1B" w:rsidRPr="00742A04">
        <w:t>un</w:t>
      </w:r>
      <w:r w:rsidR="00502E16" w:rsidRPr="00742A04">
        <w:t>idad</w:t>
      </w:r>
      <w:r w:rsidR="00C60E8E" w:rsidRPr="00742A04">
        <w:t>es que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C60E8E" w:rsidRPr="00742A04">
        <w:t>de</w:t>
      </w:r>
      <w:r w:rsidR="00545D1B" w:rsidRPr="00742A04">
        <w:t xml:space="preserve"> </w:t>
      </w:r>
      <w:r w:rsidR="001633F4" w:rsidRPr="00742A04">
        <w:t>participar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60E8E" w:rsidRPr="00742A04">
        <w:t>las</w:t>
      </w:r>
      <w:r w:rsidR="00545D1B" w:rsidRPr="00742A04">
        <w:t xml:space="preserve"> </w:t>
      </w:r>
      <w:r w:rsidR="00614C7D" w:rsidRPr="00742A04">
        <w:t>actividades</w:t>
      </w:r>
      <w:r w:rsidR="00C60E8E" w:rsidRPr="00742A04">
        <w:t xml:space="preserve"> deportivas</w:t>
      </w:r>
      <w:r w:rsidR="00545D1B" w:rsidRPr="00742A04">
        <w:t xml:space="preserve">. </w:t>
      </w:r>
      <w:r w:rsidR="003C25BF" w:rsidRPr="00742A04">
        <w:t>Cuando</w:t>
      </w:r>
      <w:r w:rsidR="00545D1B" w:rsidRPr="00742A04">
        <w:t xml:space="preserve"> se </w:t>
      </w:r>
      <w:r w:rsidR="00C60E8E" w:rsidRPr="00742A04">
        <w:t>asignan los subsidios estatales</w:t>
      </w:r>
      <w:r w:rsidR="00545D1B" w:rsidRPr="00742A04">
        <w:t xml:space="preserve">, </w:t>
      </w:r>
      <w:r w:rsidR="00C60E8E" w:rsidRPr="00742A04">
        <w:t>se pide e</w:t>
      </w:r>
      <w:r w:rsidR="00C60E8E" w:rsidRPr="00742A04">
        <w:t>s</w:t>
      </w:r>
      <w:r w:rsidR="00C60E8E" w:rsidRPr="00742A04">
        <w:t>pecialmente al</w:t>
      </w:r>
      <w:r w:rsidR="00545D1B" w:rsidRPr="00742A04">
        <w:t xml:space="preserve"> </w:t>
      </w:r>
      <w:r w:rsidR="00D52339" w:rsidRPr="00742A04">
        <w:t>Comité</w:t>
      </w:r>
      <w:r w:rsidR="00545D1B" w:rsidRPr="00742A04">
        <w:t xml:space="preserve"> </w:t>
      </w:r>
      <w:r w:rsidR="00C60E8E" w:rsidRPr="00742A04">
        <w:t xml:space="preserve">Olímpico de Noruega </w:t>
      </w:r>
      <w:r w:rsidR="00877AA0" w:rsidRPr="00742A04">
        <w:t>y</w:t>
      </w:r>
      <w:r w:rsidR="00545D1B" w:rsidRPr="00742A04">
        <w:t xml:space="preserve"> </w:t>
      </w:r>
      <w:r w:rsidR="00C60E8E" w:rsidRPr="00742A04">
        <w:t xml:space="preserve">a la </w:t>
      </w:r>
      <w:r w:rsidR="00545D1B" w:rsidRPr="00742A04">
        <w:t>Federa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0B71AA" w:rsidRPr="00742A04">
        <w:t>Deportes</w:t>
      </w:r>
      <w:r w:rsidR="00545D1B" w:rsidRPr="00742A04">
        <w:t xml:space="preserve"> (NIF) </w:t>
      </w:r>
      <w:r w:rsidR="00C60E8E" w:rsidRPr="00742A04">
        <w:t xml:space="preserve">que den </w:t>
      </w:r>
      <w:r w:rsidR="00545D1B" w:rsidRPr="00742A04">
        <w:t>priori</w:t>
      </w:r>
      <w:r w:rsidR="00C60E8E" w:rsidRPr="00742A04">
        <w:t>dad a</w:t>
      </w:r>
      <w:r w:rsidR="00545D1B" w:rsidRPr="00742A04">
        <w:t xml:space="preserve"> </w:t>
      </w:r>
      <w:r w:rsidR="00502E16" w:rsidRPr="00742A04">
        <w:t>los recursos</w:t>
      </w:r>
      <w:r w:rsidR="00EA6AC2" w:rsidRPr="00742A04">
        <w:t xml:space="preserve"> </w:t>
      </w:r>
      <w:r w:rsidR="00C60E8E" w:rsidRPr="00742A04">
        <w:t>necesarios pa</w:t>
      </w:r>
      <w:r w:rsidR="00EA6AC2" w:rsidRPr="00742A04">
        <w:t>r</w:t>
      </w:r>
      <w:r w:rsidR="00C60E8E" w:rsidRPr="00742A04">
        <w:t>a</w:t>
      </w:r>
      <w:r w:rsidR="00EA6AC2" w:rsidRPr="00742A04">
        <w:t xml:space="preserve"> </w:t>
      </w:r>
      <w:r w:rsidR="00B146CA" w:rsidRPr="00742A04">
        <w:t>promover la 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60E8E" w:rsidRPr="00742A04">
        <w:t>el de</w:t>
      </w:r>
      <w:r w:rsidR="00545D1B" w:rsidRPr="00742A04">
        <w:t>port</w:t>
      </w:r>
      <w:r w:rsidR="00C60E8E" w:rsidRPr="00742A04">
        <w:t>e</w:t>
      </w:r>
      <w:r w:rsidR="00545D1B" w:rsidRPr="00742A04">
        <w:t xml:space="preserve">. </w:t>
      </w:r>
      <w:r w:rsidR="00232DF9" w:rsidRPr="00742A04">
        <w:t>Entre otras cosas</w:t>
      </w:r>
      <w:r w:rsidR="00545D1B" w:rsidRPr="00742A04">
        <w:t xml:space="preserve">, </w:t>
      </w:r>
      <w:r w:rsidR="00C60E8E" w:rsidRPr="00742A04">
        <w:t xml:space="preserve">es preciso tener en cuenta los </w:t>
      </w:r>
      <w:r w:rsidR="00545D1B" w:rsidRPr="00742A04">
        <w:t>des</w:t>
      </w:r>
      <w:r w:rsidR="00C60E8E" w:rsidRPr="00742A04">
        <w:t>eo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9C08FB" w:rsidRPr="00742A04">
        <w:t>las necesidades</w:t>
      </w:r>
      <w:r w:rsidR="00545D1B" w:rsidRPr="00742A04">
        <w:t xml:space="preserve"> </w:t>
      </w:r>
      <w:r w:rsidR="00C60E8E" w:rsidRPr="00742A04">
        <w:t xml:space="preserve">de las mujeres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C60E8E" w:rsidRPr="00742A04">
        <w:t>la</w:t>
      </w:r>
      <w:r w:rsidR="00545D1B" w:rsidRPr="00742A04">
        <w:t xml:space="preserve"> construc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C60E8E" w:rsidRPr="00742A04">
        <w:t xml:space="preserve">el </w:t>
      </w:r>
      <w:r w:rsidR="006B65CD" w:rsidRPr="00742A04">
        <w:t>desarrollo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C60E8E" w:rsidRPr="00742A04">
        <w:t xml:space="preserve">instalaciones </w:t>
      </w:r>
      <w:r w:rsidR="000B71AA" w:rsidRPr="00742A04">
        <w:t>depo</w:t>
      </w:r>
      <w:r w:rsidR="000B71AA" w:rsidRPr="00742A04">
        <w:t>r</w:t>
      </w:r>
      <w:r w:rsidR="000B71AA" w:rsidRPr="00742A04">
        <w:t>t</w:t>
      </w:r>
      <w:r w:rsidR="00C60E8E" w:rsidRPr="00742A04">
        <w:t>iva</w:t>
      </w:r>
      <w:r w:rsidR="00545D1B" w:rsidRPr="00742A04">
        <w:t xml:space="preserve">s. </w:t>
      </w:r>
      <w:r w:rsidR="00C60E8E" w:rsidRPr="00742A04">
        <w:t>La</w:t>
      </w:r>
      <w:r w:rsidR="00545D1B" w:rsidRPr="00742A04">
        <w:t xml:space="preserve"> federa</w:t>
      </w:r>
      <w:r w:rsidR="00C14BFF" w:rsidRPr="00742A04">
        <w:t xml:space="preserve">ción </w:t>
      </w:r>
      <w:r w:rsidR="002C189D" w:rsidRPr="00742A04">
        <w:t>está trabajando</w:t>
      </w:r>
      <w:r w:rsidR="00545D1B" w:rsidRPr="00742A04">
        <w:t xml:space="preserve"> </w:t>
      </w:r>
      <w:r w:rsidR="00F43124" w:rsidRPr="00742A04">
        <w:t>activamente</w:t>
      </w:r>
      <w:r w:rsidR="00545D1B" w:rsidRPr="00742A04">
        <w:t xml:space="preserve"> </w:t>
      </w:r>
      <w:r w:rsidR="00C60E8E" w:rsidRPr="00742A04">
        <w:t>en este aspecto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60E8E" w:rsidRPr="00742A04">
        <w:t>ha iniciado</w:t>
      </w:r>
      <w:r w:rsidR="00545D1B" w:rsidRPr="00742A04">
        <w:t xml:space="preserve"> </w:t>
      </w:r>
      <w:r w:rsidR="0059357E" w:rsidRPr="00742A04">
        <w:t>pr</w:t>
      </w:r>
      <w:r w:rsidR="0059357E" w:rsidRPr="00742A04">
        <w:t>o</w:t>
      </w:r>
      <w:r w:rsidR="0059357E" w:rsidRPr="00742A04">
        <w:t>yectos</w:t>
      </w:r>
      <w:r w:rsidR="00545D1B" w:rsidRPr="00742A04">
        <w:t xml:space="preserve"> </w:t>
      </w:r>
      <w:r w:rsidR="00C60E8E" w:rsidRPr="00742A04">
        <w:t xml:space="preserve">específicos </w:t>
      </w:r>
      <w:r w:rsidR="000C68A8" w:rsidRPr="00742A04">
        <w:t xml:space="preserve">que </w:t>
      </w:r>
      <w:r w:rsidR="005E6919" w:rsidRPr="00742A04">
        <w:t>centr</w:t>
      </w:r>
      <w:r w:rsidR="003B1E02" w:rsidRPr="00742A04">
        <w:t>an l</w:t>
      </w:r>
      <w:r w:rsidR="005E6919" w:rsidRPr="00742A04">
        <w:t>a</w:t>
      </w:r>
      <w:r w:rsidR="003B1E02" w:rsidRPr="00742A04">
        <w:t xml:space="preserve"> aten</w:t>
      </w:r>
      <w:r w:rsidR="005E6919" w:rsidRPr="00742A04">
        <w:t>ción en</w:t>
      </w:r>
      <w:r w:rsidR="00545D1B" w:rsidRPr="00742A04">
        <w:t xml:space="preserve"> </w:t>
      </w:r>
      <w:r w:rsidR="00210DB1" w:rsidRPr="00742A04">
        <w:t>oportunidades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B1E02" w:rsidRPr="00742A04">
        <w:t xml:space="preserve">los </w:t>
      </w:r>
      <w:r w:rsidR="0058094F" w:rsidRPr="00742A04">
        <w:t>logr</w:t>
      </w:r>
      <w:r w:rsidR="003B1E02" w:rsidRPr="00742A04">
        <w:t>o</w:t>
      </w:r>
      <w:r w:rsidR="00545D1B" w:rsidRPr="00742A04">
        <w:t xml:space="preserve">s </w:t>
      </w:r>
      <w:r w:rsidR="003B1E02" w:rsidRPr="00742A04">
        <w:t>de las m</w:t>
      </w:r>
      <w:r w:rsidR="003B1E02" w:rsidRPr="00742A04">
        <w:t>u</w:t>
      </w:r>
      <w:r w:rsidR="003B1E02" w:rsidRPr="00742A04">
        <w:t xml:space="preserve">jeres </w:t>
      </w:r>
      <w:r w:rsidR="00C14BFF" w:rsidRPr="00742A04">
        <w:t>en</w:t>
      </w:r>
      <w:r w:rsidR="00545D1B" w:rsidRPr="00742A04">
        <w:t xml:space="preserve"> </w:t>
      </w:r>
      <w:r w:rsidR="003B1E02" w:rsidRPr="00742A04">
        <w:t>los principales</w:t>
      </w:r>
      <w:r w:rsidR="00545D1B" w:rsidRPr="00742A04">
        <w:t xml:space="preserve"> </w:t>
      </w:r>
      <w:r w:rsidR="000B71AA" w:rsidRPr="00742A04">
        <w:t>deportes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B1E02" w:rsidRPr="00742A04">
        <w:t xml:space="preserve">en los </w:t>
      </w:r>
      <w:r w:rsidR="006F4432" w:rsidRPr="00742A04">
        <w:t>puestos gerenciales</w:t>
      </w:r>
      <w:r w:rsidR="00545D1B" w:rsidRPr="00742A04">
        <w:t xml:space="preserve">. </w:t>
      </w:r>
      <w:r w:rsidR="003B1E02" w:rsidRPr="00742A04">
        <w:t>Las estadísticas d</w:t>
      </w:r>
      <w:r w:rsidR="00545D1B" w:rsidRPr="00742A04">
        <w:t>e</w:t>
      </w:r>
      <w:r w:rsidR="003B1E02" w:rsidRPr="00742A04">
        <w:t xml:space="preserve"> lo</w:t>
      </w:r>
      <w:r w:rsidR="00545D1B" w:rsidRPr="00742A04">
        <w:t xml:space="preserve">s </w:t>
      </w:r>
      <w:r w:rsidR="00A836A1" w:rsidRPr="00742A04">
        <w:t>miembros</w:t>
      </w:r>
      <w:r w:rsidR="003B1E02" w:rsidRPr="00742A04">
        <w:t xml:space="preserve"> de la</w:t>
      </w:r>
      <w:r w:rsidR="00545D1B" w:rsidRPr="00742A04">
        <w:t xml:space="preserve"> </w:t>
      </w:r>
      <w:r w:rsidR="003B1E02" w:rsidRPr="00742A04">
        <w:t xml:space="preserve">NIF </w:t>
      </w:r>
      <w:r w:rsidR="00F43124" w:rsidRPr="00742A04">
        <w:t>para</w:t>
      </w:r>
      <w:r w:rsidR="00545D1B" w:rsidRPr="00742A04">
        <w:t xml:space="preserve"> 2005 </w:t>
      </w:r>
      <w:r w:rsidR="00ED6A69" w:rsidRPr="00742A04">
        <w:t>indican que</w:t>
      </w:r>
      <w:r w:rsidR="00545D1B" w:rsidRPr="00742A04">
        <w:t xml:space="preserve"> </w:t>
      </w:r>
      <w:r w:rsidR="003B1E02" w:rsidRPr="00742A04">
        <w:t>el deporte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3B1E02" w:rsidRPr="00742A04">
        <w:t>el mayor</w:t>
      </w:r>
      <w:r w:rsidR="00545D1B" w:rsidRPr="00742A04">
        <w:t xml:space="preserve"> mov</w:t>
      </w:r>
      <w:r w:rsidR="003B1E02" w:rsidRPr="00742A04">
        <w:t>i</w:t>
      </w:r>
      <w:r w:rsidR="00545D1B" w:rsidRPr="00742A04">
        <w:t>m</w:t>
      </w:r>
      <w:r w:rsidR="003B1E02" w:rsidRPr="00742A04">
        <w:t>i</w:t>
      </w:r>
      <w:r w:rsidR="00545D1B" w:rsidRPr="00742A04">
        <w:t>ent</w:t>
      </w:r>
      <w:r w:rsidR="003B1E02" w:rsidRPr="00742A04">
        <w:t>o</w:t>
      </w:r>
      <w:r w:rsidR="00545D1B" w:rsidRPr="00742A04">
        <w:t xml:space="preserve"> </w:t>
      </w:r>
      <w:r w:rsidR="003B1E02" w:rsidRPr="00742A04">
        <w:t>pop</w:t>
      </w:r>
      <w:r w:rsidR="003B1E02" w:rsidRPr="00742A04">
        <w:t>u</w:t>
      </w:r>
      <w:r w:rsidR="003B1E02" w:rsidRPr="00742A04">
        <w:t xml:space="preserve">lar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2 </w:t>
      </w:r>
      <w:r w:rsidR="008C4612" w:rsidRPr="00742A04">
        <w:t>millones de</w:t>
      </w:r>
      <w:r w:rsidR="005E6919" w:rsidRPr="00742A04">
        <w:t xml:space="preserve"> </w:t>
      </w:r>
      <w:r w:rsidR="00A836A1" w:rsidRPr="00742A04">
        <w:t>miembros</w:t>
      </w:r>
      <w:r w:rsidR="00BD7DD0" w:rsidRPr="00742A04">
        <w:t xml:space="preserve">. Las mujeres </w:t>
      </w:r>
      <w:r w:rsidR="00EC1B22" w:rsidRPr="00742A04">
        <w:t>representan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="003B1E02" w:rsidRPr="00742A04">
        <w:t xml:space="preserve">el </w:t>
      </w:r>
      <w:r w:rsidR="00545D1B" w:rsidRPr="00742A04">
        <w:t>40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83B7A" w:rsidRPr="00742A04">
        <w:t>ellos</w:t>
      </w:r>
      <w:r w:rsidR="00545D1B" w:rsidRPr="00742A04">
        <w:t xml:space="preserve">. </w:t>
      </w:r>
      <w:r w:rsidR="003B1E02" w:rsidRPr="00742A04">
        <w:t>Esto</w:t>
      </w:r>
      <w:r w:rsidR="00545D1B" w:rsidRPr="00742A04">
        <w:t xml:space="preserve"> </w:t>
      </w:r>
      <w:r w:rsidR="003E5775" w:rsidRPr="00742A04">
        <w:t>indica que</w:t>
      </w:r>
      <w:r w:rsidR="00545D1B" w:rsidRPr="00742A04">
        <w:t xml:space="preserve"> </w:t>
      </w:r>
      <w:r w:rsidR="003B1E02" w:rsidRPr="00742A04">
        <w:t xml:space="preserve">el deporte </w:t>
      </w:r>
      <w:r w:rsidR="00BB4DB1" w:rsidRPr="00742A04">
        <w:t>es</w:t>
      </w:r>
      <w:r w:rsidR="00545D1B" w:rsidRPr="00742A04">
        <w:t xml:space="preserve"> </w:t>
      </w:r>
      <w:r w:rsidR="006137EC" w:rsidRPr="00742A04">
        <w:t>una esfera</w:t>
      </w:r>
      <w:r w:rsidR="00545D1B" w:rsidRPr="00742A04">
        <w:t xml:space="preserve"> </w:t>
      </w:r>
      <w:r w:rsidR="00056EF1" w:rsidRPr="00742A04">
        <w:t xml:space="preserve">en </w:t>
      </w:r>
      <w:r w:rsidR="003B1E02" w:rsidRPr="00742A04">
        <w:t>la cual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3B1E02" w:rsidRPr="00742A04">
        <w:t>están bien</w:t>
      </w:r>
      <w:r w:rsidR="00545D1B" w:rsidRPr="00742A04">
        <w:t xml:space="preserve"> re</w:t>
      </w:r>
      <w:r w:rsidR="00B31D97" w:rsidRPr="00742A04">
        <w:t>prese</w:t>
      </w:r>
      <w:r w:rsidR="00B31D97" w:rsidRPr="00742A04">
        <w:t>n</w:t>
      </w:r>
      <w:r w:rsidR="003B1E02" w:rsidRPr="00742A04">
        <w:t>tadas</w:t>
      </w:r>
      <w:r w:rsidR="00545D1B" w:rsidRPr="00742A04">
        <w:t>.</w:t>
      </w:r>
    </w:p>
    <w:p w:rsidR="00545D1B" w:rsidRPr="00742A04" w:rsidRDefault="003B1E02" w:rsidP="001633F4">
      <w:pPr>
        <w:pStyle w:val="SingleTxt"/>
        <w:ind w:firstLine="475"/>
      </w:pPr>
      <w:r w:rsidRPr="00742A04">
        <w:t>Se presta a</w:t>
      </w:r>
      <w:r w:rsidR="00502E16" w:rsidRPr="00742A04">
        <w:t>sistencia</w:t>
      </w:r>
      <w:r w:rsidR="00545D1B" w:rsidRPr="00742A04">
        <w:t xml:space="preserve"> </w:t>
      </w:r>
      <w:r w:rsidRPr="00742A04">
        <w:t xml:space="preserve">a las organizaciones </w:t>
      </w:r>
      <w:r w:rsidR="00C076F2" w:rsidRPr="00742A04">
        <w:t xml:space="preserve">de </w:t>
      </w:r>
      <w:r w:rsidR="00E542AA" w:rsidRPr="00742A04">
        <w:t>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75341" w:rsidRPr="00742A04">
        <w:t>j</w:t>
      </w:r>
      <w:r w:rsidRPr="00742A04">
        <w:t>óvenes</w:t>
      </w:r>
      <w:r w:rsidR="00545D1B" w:rsidRPr="00742A04">
        <w:t xml:space="preserve"> </w:t>
      </w:r>
      <w:r w:rsidR="00BD47D3" w:rsidRPr="00742A04">
        <w:t>en virtud de</w:t>
      </w:r>
      <w:r w:rsidRPr="00742A04">
        <w:t>l</w:t>
      </w:r>
      <w:r w:rsidR="00545D1B" w:rsidRPr="00742A04">
        <w:t xml:space="preserve"> R</w:t>
      </w:r>
      <w:r w:rsidR="00545D1B" w:rsidRPr="00742A04">
        <w:t>e</w:t>
      </w:r>
      <w:r w:rsidR="00545D1B" w:rsidRPr="00742A04">
        <w:t>gla</w:t>
      </w:r>
      <w:r w:rsidRPr="00742A04">
        <w:t>mento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16 </w:t>
      </w:r>
      <w:r w:rsidR="00CE1CFC" w:rsidRPr="00742A04">
        <w:t>de diciembre de</w:t>
      </w:r>
      <w:r w:rsidR="00545D1B" w:rsidRPr="00742A04">
        <w:t xml:space="preserve"> 2002</w:t>
      </w:r>
      <w:r w:rsidRPr="00742A04">
        <w:t xml:space="preserve"> sobre</w:t>
      </w:r>
      <w:r w:rsidR="00545D1B" w:rsidRPr="00742A04">
        <w:t xml:space="preserve"> </w:t>
      </w:r>
      <w:r w:rsidR="00B13783" w:rsidRPr="00742A04">
        <w:t>las donaciones</w:t>
      </w:r>
      <w:r w:rsidR="00545D1B" w:rsidRPr="00742A04">
        <w:t xml:space="preserve"> </w:t>
      </w:r>
      <w:r w:rsidR="00F43124" w:rsidRPr="00742A04">
        <w:t>para</w:t>
      </w:r>
      <w:r w:rsidR="00166831" w:rsidRPr="00742A04">
        <w:t xml:space="preserve"> las</w:t>
      </w:r>
      <w:r w:rsidR="00545D1B" w:rsidRPr="00742A04">
        <w:t xml:space="preserve"> </w:t>
      </w:r>
      <w:r w:rsidR="00166831" w:rsidRPr="00742A04">
        <w:t xml:space="preserve">organizaciones </w:t>
      </w:r>
      <w:r w:rsidR="00545D1B" w:rsidRPr="00742A04">
        <w:t>volunta</w:t>
      </w:r>
      <w:r w:rsidR="00166831" w:rsidRPr="00742A04">
        <w:t>rias</w:t>
      </w:r>
      <w:r w:rsidR="00545D1B" w:rsidRPr="00742A04">
        <w:t xml:space="preserve"> </w:t>
      </w:r>
      <w:r w:rsidR="00C076F2" w:rsidRPr="00742A04">
        <w:t xml:space="preserve">de </w:t>
      </w:r>
      <w:r w:rsidR="00E542AA" w:rsidRPr="00742A04">
        <w:t>niños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75341" w:rsidRPr="00742A04">
        <w:t>j</w:t>
      </w:r>
      <w:r w:rsidR="00166831" w:rsidRPr="00742A04">
        <w:t>óvenes</w:t>
      </w:r>
      <w:r w:rsidR="00545D1B" w:rsidRPr="00742A04">
        <w:t xml:space="preserve">, </w:t>
      </w:r>
      <w:r w:rsidR="004A0730" w:rsidRPr="00742A04">
        <w:t>con</w:t>
      </w:r>
      <w:r w:rsidR="00545D1B" w:rsidRPr="00742A04">
        <w:t xml:space="preserve"> </w:t>
      </w:r>
      <w:r w:rsidR="00CD2FF0" w:rsidRPr="00742A04">
        <w:t>enmiendas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24 </w:t>
      </w:r>
      <w:r w:rsidR="00EA776F" w:rsidRPr="00742A04">
        <w:t>de junio de</w:t>
      </w:r>
      <w:r w:rsidR="00545D1B" w:rsidRPr="00742A04">
        <w:t xml:space="preserve"> 2005. </w:t>
      </w:r>
      <w:r w:rsidR="003C25BF" w:rsidRPr="00742A04">
        <w:t>Cuando</w:t>
      </w:r>
      <w:r w:rsidR="00545D1B" w:rsidRPr="00742A04">
        <w:t xml:space="preserve"> </w:t>
      </w:r>
      <w:r w:rsidR="00166831" w:rsidRPr="00742A04">
        <w:t>ha recibido</w:t>
      </w:r>
      <w:r w:rsidR="00545D1B" w:rsidRPr="00742A04">
        <w:t xml:space="preserve"> </w:t>
      </w:r>
      <w:r w:rsidR="004F07A7" w:rsidRPr="00742A04">
        <w:t>quejas</w:t>
      </w:r>
      <w:r w:rsidR="00545D1B" w:rsidRPr="00742A04">
        <w:t xml:space="preserve">, </w:t>
      </w:r>
      <w:r w:rsidR="004A0730"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ha</w:t>
      </w:r>
      <w:r w:rsidR="00166831" w:rsidRPr="00742A04">
        <w:t xml:space="preserve"> denegado</w:t>
      </w:r>
      <w:r w:rsidR="00545D1B" w:rsidRPr="00742A04">
        <w:t xml:space="preserve"> </w:t>
      </w:r>
      <w:r w:rsidR="00CE1CFC" w:rsidRPr="00742A04">
        <w:t>las solicit</w:t>
      </w:r>
      <w:r w:rsidR="00CE1CFC" w:rsidRPr="00742A04">
        <w:t>u</w:t>
      </w:r>
      <w:r w:rsidR="00CE1CFC" w:rsidRPr="00742A04">
        <w:t>des de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FB5EDF" w:rsidRPr="00742A04">
        <w:t>organizaciones</w:t>
      </w:r>
      <w:r w:rsidR="00545D1B" w:rsidRPr="00742A04">
        <w:t xml:space="preserve"> </w:t>
      </w:r>
      <w:r w:rsidR="00056EF1" w:rsidRPr="00742A04">
        <w:t xml:space="preserve">en </w:t>
      </w:r>
      <w:r w:rsidR="00166831" w:rsidRPr="00742A04">
        <w:t xml:space="preserve">las </w:t>
      </w:r>
      <w:r w:rsidR="00056EF1" w:rsidRPr="00742A04">
        <w:t>que</w:t>
      </w:r>
      <w:r w:rsidR="00545D1B" w:rsidRPr="00742A04">
        <w:t xml:space="preserve"> </w:t>
      </w:r>
      <w:r w:rsidR="00166831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373AA0" w:rsidRPr="00742A04">
        <w:t xml:space="preserve">no </w:t>
      </w:r>
      <w:r w:rsidR="00166831" w:rsidRPr="00742A04">
        <w:t>son</w:t>
      </w:r>
      <w:r w:rsidR="00545D1B" w:rsidRPr="00742A04">
        <w:t xml:space="preserve"> </w:t>
      </w:r>
      <w:r w:rsidR="00A836A1" w:rsidRPr="00742A04">
        <w:t>elegi</w:t>
      </w:r>
      <w:r w:rsidR="00166831" w:rsidRPr="00742A04">
        <w:t>bles para los órganos rectores</w:t>
      </w:r>
      <w:r w:rsidR="00545D1B" w:rsidRPr="00742A04">
        <w:t>.</w:t>
      </w:r>
    </w:p>
    <w:p w:rsidR="001633F4" w:rsidRPr="00742A04" w:rsidRDefault="001633F4" w:rsidP="001633F4">
      <w:pPr>
        <w:pStyle w:val="SingleTxt"/>
        <w:spacing w:after="0" w:line="120" w:lineRule="exact"/>
        <w:rPr>
          <w:sz w:val="10"/>
        </w:rPr>
      </w:pPr>
      <w:bookmarkStart w:id="69" w:name="_Toc147129484"/>
    </w:p>
    <w:p w:rsidR="001633F4" w:rsidRPr="00742A04" w:rsidRDefault="00814B5D" w:rsidP="001633F4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1633F4" w:rsidRPr="00742A04">
        <w:rPr>
          <w:bCs/>
        </w:rPr>
        <w:t xml:space="preserve"> 14</w:t>
      </w:r>
    </w:p>
    <w:p w:rsidR="00545D1B" w:rsidRPr="00742A04" w:rsidRDefault="00B83FEB" w:rsidP="001633F4">
      <w:pPr>
        <w:pStyle w:val="H1"/>
        <w:ind w:left="1267"/>
        <w:rPr>
          <w:bCs/>
        </w:rPr>
      </w:pPr>
      <w:r w:rsidRPr="00742A04">
        <w:rPr>
          <w:bCs/>
        </w:rPr>
        <w:t>La mujer de las zonas rurales</w:t>
      </w:r>
      <w:bookmarkEnd w:id="69"/>
    </w:p>
    <w:p w:rsidR="001633F4" w:rsidRPr="00742A04" w:rsidRDefault="001633F4" w:rsidP="001633F4">
      <w:pPr>
        <w:pStyle w:val="SingleTxt"/>
        <w:spacing w:after="0" w:line="120" w:lineRule="exact"/>
        <w:rPr>
          <w:b/>
          <w:sz w:val="10"/>
        </w:rPr>
      </w:pPr>
    </w:p>
    <w:p w:rsidR="00545D1B" w:rsidRPr="00742A04" w:rsidRDefault="00CA313E" w:rsidP="002C4922">
      <w:pPr>
        <w:pStyle w:val="SingleTxt"/>
        <w:rPr>
          <w:b/>
        </w:rPr>
      </w:pPr>
      <w:r w:rsidRPr="00742A04">
        <w:rPr>
          <w:b/>
        </w:rPr>
        <w:t>La a</w:t>
      </w:r>
      <w:r w:rsidR="00545D1B" w:rsidRPr="00742A04">
        <w:rPr>
          <w:b/>
        </w:rPr>
        <w:t>gricultura</w:t>
      </w:r>
    </w:p>
    <w:p w:rsidR="001633F4" w:rsidRPr="00742A04" w:rsidRDefault="001633F4" w:rsidP="001633F4">
      <w:pPr>
        <w:pStyle w:val="SingleTxt"/>
        <w:spacing w:after="0" w:line="120" w:lineRule="exact"/>
        <w:rPr>
          <w:sz w:val="10"/>
        </w:rPr>
      </w:pPr>
    </w:p>
    <w:p w:rsidR="000A08D8" w:rsidRPr="00742A04" w:rsidRDefault="004A0730" w:rsidP="001633F4">
      <w:pPr>
        <w:pStyle w:val="SingleTxt"/>
        <w:ind w:firstLine="475"/>
      </w:pPr>
      <w:r w:rsidRPr="00742A04">
        <w:t>En</w:t>
      </w:r>
      <w:r w:rsidR="00545D1B" w:rsidRPr="00742A04">
        <w:t xml:space="preserve"> 2000 </w:t>
      </w:r>
      <w:r w:rsidR="00166831" w:rsidRPr="00742A04">
        <w:t>se formuló un</w:t>
      </w:r>
      <w:r w:rsidR="00545D1B" w:rsidRPr="00742A04">
        <w:t xml:space="preserve"> plan </w:t>
      </w:r>
      <w:r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166831" w:rsidRPr="00742A04">
        <w:t>especial par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886279" w:rsidRPr="00742A04">
        <w:t>líderes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Agri</w:t>
      </w:r>
      <w:r w:rsidR="006C1297" w:rsidRPr="00742A04">
        <w:t>cultura</w:t>
      </w:r>
      <w:r w:rsidR="00545D1B" w:rsidRPr="00742A04">
        <w:t xml:space="preserve"> </w:t>
      </w:r>
      <w:r w:rsidR="00166831" w:rsidRPr="00742A04">
        <w:t xml:space="preserve">y Alimentación </w:t>
      </w:r>
      <w:r w:rsidR="00877AA0" w:rsidRPr="00742A04">
        <w:t>y</w:t>
      </w:r>
      <w:r w:rsidR="00545D1B" w:rsidRPr="00742A04">
        <w:t xml:space="preserve"> </w:t>
      </w:r>
      <w:r w:rsidR="00166831" w:rsidRPr="00742A04">
        <w:t xml:space="preserve">la </w:t>
      </w:r>
      <w:r w:rsidR="00545D1B" w:rsidRPr="00742A04">
        <w:t>administr</w:t>
      </w:r>
      <w:r w:rsidR="00545D1B" w:rsidRPr="00742A04">
        <w:t>a</w:t>
      </w:r>
      <w:r w:rsidR="00935A90" w:rsidRPr="00742A04">
        <w:t>ción</w:t>
      </w:r>
      <w:r w:rsidR="00166831" w:rsidRPr="00742A04">
        <w:t xml:space="preserve"> agrícola. Entre otras cosas</w:t>
      </w:r>
      <w:r w:rsidR="00935A90" w:rsidRPr="00742A04">
        <w:t>,</w:t>
      </w:r>
      <w:r w:rsidR="001167D2" w:rsidRPr="00742A04">
        <w:t xml:space="preserve"> el </w:t>
      </w:r>
      <w:r w:rsidRPr="00742A04">
        <w:t>Ministerio</w:t>
      </w:r>
      <w:r w:rsidR="00545D1B" w:rsidRPr="00742A04">
        <w:t xml:space="preserve"> ha establ</w:t>
      </w:r>
      <w:r w:rsidR="00166831" w:rsidRPr="00742A04">
        <w:t>ecido un program</w:t>
      </w:r>
      <w:r w:rsidR="00545D1B" w:rsidRPr="00742A04">
        <w:t xml:space="preserve">a </w:t>
      </w:r>
      <w:r w:rsidR="00E574AD" w:rsidRPr="00742A04">
        <w:t>especial</w:t>
      </w:r>
      <w:r w:rsidR="00545D1B" w:rsidRPr="00742A04">
        <w:t xml:space="preserve"> </w:t>
      </w:r>
      <w:r w:rsidR="00166831" w:rsidRPr="00742A04">
        <w:t xml:space="preserve">de </w:t>
      </w:r>
      <w:r w:rsidR="00545D1B" w:rsidRPr="00742A04">
        <w:t>mentor</w:t>
      </w:r>
      <w:r w:rsidR="00166831" w:rsidRPr="00742A04">
        <w:t>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el Ministerio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66831" w:rsidRPr="00742A04">
        <w:t>los organismos dependientes de él</w:t>
      </w:r>
      <w:r w:rsidR="00545D1B" w:rsidRPr="00742A04">
        <w:t xml:space="preserve">. </w:t>
      </w:r>
      <w:r w:rsidR="00F43124" w:rsidRPr="00742A04">
        <w:t>Esos</w:t>
      </w:r>
      <w:r w:rsidR="00502E16" w:rsidRPr="00742A04">
        <w:t xml:space="preserve"> esfuerzos</w:t>
      </w:r>
      <w:r w:rsidR="00545D1B" w:rsidRPr="00742A04">
        <w:t xml:space="preserve"> ha</w:t>
      </w:r>
      <w:r w:rsidR="00166831" w:rsidRPr="00742A04">
        <w:t>n producido</w:t>
      </w:r>
      <w:r w:rsidR="00545D1B" w:rsidRPr="00742A04">
        <w:t xml:space="preserve"> </w:t>
      </w:r>
      <w:r w:rsidR="004F2F8A" w:rsidRPr="00742A04">
        <w:t>resultados</w:t>
      </w:r>
      <w:r w:rsidR="00545D1B" w:rsidRPr="00742A04">
        <w:t xml:space="preserve">, </w:t>
      </w:r>
      <w:r w:rsidR="00877AA0" w:rsidRPr="00742A04">
        <w:t>y</w:t>
      </w:r>
      <w:r w:rsidR="003E5775" w:rsidRPr="00742A04">
        <w:t xml:space="preserve"> al </w:t>
      </w:r>
      <w:r w:rsidR="00545D1B" w:rsidRPr="00742A04">
        <w:t xml:space="preserve">31 </w:t>
      </w:r>
      <w:r w:rsidR="00CE1CFC" w:rsidRPr="00742A04">
        <w:t>de diciembre de</w:t>
      </w:r>
      <w:r w:rsidR="00545D1B" w:rsidRPr="00742A04">
        <w:t xml:space="preserve"> 2004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B42B1" w:rsidRPr="00742A04">
        <w:t>puestos de conducción</w:t>
      </w:r>
      <w:r w:rsidR="00545D1B" w:rsidRPr="00742A04">
        <w:t xml:space="preserve"> </w:t>
      </w:r>
      <w:r w:rsidR="00166831" w:rsidRPr="00742A04">
        <w:t>d</w:t>
      </w:r>
      <w:r w:rsidRPr="00742A04">
        <w:t>el Ministerio</w:t>
      </w:r>
      <w:r w:rsidR="00545D1B" w:rsidRPr="00742A04">
        <w:t xml:space="preserve"> </w:t>
      </w:r>
      <w:r w:rsidR="009D1A12" w:rsidRPr="00742A04">
        <w:t>era</w:t>
      </w:r>
      <w:r w:rsidR="00166831" w:rsidRPr="00742A04">
        <w:t xml:space="preserve"> del</w:t>
      </w:r>
      <w:r w:rsidR="00545D1B" w:rsidRPr="00742A04">
        <w:t xml:space="preserve"> 44</w:t>
      </w:r>
      <w:r w:rsidR="001167D2" w:rsidRPr="00742A04">
        <w:t>%</w:t>
      </w:r>
      <w:r w:rsidR="00545D1B" w:rsidRPr="00742A04">
        <w:t xml:space="preserve">, </w:t>
      </w:r>
      <w:r w:rsidR="00E73E8E" w:rsidRPr="00742A04">
        <w:t>en comparación con</w:t>
      </w:r>
      <w:r w:rsidR="00545D1B" w:rsidRPr="00742A04">
        <w:t xml:space="preserve"> </w:t>
      </w:r>
      <w:r w:rsidR="00166831" w:rsidRPr="00742A04">
        <w:t xml:space="preserve">el </w:t>
      </w:r>
      <w:r w:rsidR="00545D1B" w:rsidRPr="00742A04">
        <w:t>22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66831" w:rsidRPr="00742A04">
        <w:t xml:space="preserve">el año </w:t>
      </w:r>
      <w:r w:rsidR="00545D1B" w:rsidRPr="00742A04">
        <w:t>2000. T</w:t>
      </w:r>
      <w:r w:rsidR="00756C0D" w:rsidRPr="00742A04">
        <w:t>ambién se ha</w:t>
      </w:r>
      <w:r w:rsidR="00545D1B" w:rsidRPr="00742A04">
        <w:t xml:space="preserve"> </w:t>
      </w:r>
      <w:r w:rsidR="00EE31D6" w:rsidRPr="00742A04">
        <w:t>increment</w:t>
      </w:r>
      <w:r w:rsidR="00166831" w:rsidRPr="00742A04">
        <w:t>ad</w:t>
      </w:r>
      <w:r w:rsidR="00EE31D6" w:rsidRPr="00742A04">
        <w:t xml:space="preserve">o </w:t>
      </w:r>
      <w:r w:rsidR="00982243" w:rsidRPr="00742A04">
        <w:t>la cantidad</w:t>
      </w:r>
      <w:r w:rsidR="00545D1B" w:rsidRPr="00742A04">
        <w:t xml:space="preserve"> </w:t>
      </w:r>
      <w:r w:rsidR="004D313C" w:rsidRPr="00742A04">
        <w:t xml:space="preserve">de </w:t>
      </w:r>
      <w:r w:rsidR="003922FC" w:rsidRPr="00742A04">
        <w:t xml:space="preserve">mujeres que ocupan </w:t>
      </w:r>
      <w:r w:rsidR="006F4432" w:rsidRPr="00742A04">
        <w:t>puestos gerenciales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66831" w:rsidRPr="00742A04">
        <w:t>los organismos dependientes</w:t>
      </w:r>
      <w:r w:rsidR="00545D1B" w:rsidRPr="00742A04">
        <w:t xml:space="preserve">, </w:t>
      </w:r>
      <w:r w:rsidR="008F0C8E" w:rsidRPr="00742A04">
        <w:t>de</w:t>
      </w:r>
      <w:r w:rsidR="00166831" w:rsidRPr="00742A04">
        <w:t>l</w:t>
      </w:r>
      <w:r w:rsidR="00545D1B" w:rsidRPr="00742A04">
        <w:t xml:space="preserve"> 23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166831" w:rsidRPr="00742A04">
        <w:t xml:space="preserve"> el año</w:t>
      </w:r>
      <w:r w:rsidR="00545D1B" w:rsidRPr="00742A04">
        <w:t xml:space="preserve"> 2000 </w:t>
      </w:r>
      <w:r w:rsidR="0030626A" w:rsidRPr="00742A04">
        <w:t>a</w:t>
      </w:r>
      <w:r w:rsidR="00166831" w:rsidRPr="00742A04">
        <w:t>l</w:t>
      </w:r>
      <w:r w:rsidR="00545D1B" w:rsidRPr="00742A04">
        <w:t xml:space="preserve"> 35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2004</w:t>
      </w:r>
      <w:r w:rsidR="000A08D8" w:rsidRPr="00742A04">
        <w:t>.</w:t>
      </w:r>
    </w:p>
    <w:p w:rsidR="00545D1B" w:rsidRPr="00742A04" w:rsidRDefault="00166831" w:rsidP="001633F4">
      <w:pPr>
        <w:pStyle w:val="SingleTxt"/>
        <w:ind w:firstLine="475"/>
      </w:pPr>
      <w:r w:rsidRPr="00742A04">
        <w:t>La meta d</w:t>
      </w:r>
      <w:r w:rsidR="004D313C" w:rsidRPr="00742A04">
        <w:t>el Gobierno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Pr="00742A04">
        <w:t>que las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Pr="00742A04">
        <w:t>tengan</w:t>
      </w:r>
      <w:r w:rsidR="00545D1B" w:rsidRPr="00742A04">
        <w:t xml:space="preserve"> </w:t>
      </w:r>
      <w:r w:rsidR="00A05847" w:rsidRPr="00742A04">
        <w:t>igualdad de oportunidades</w:t>
      </w:r>
      <w:r w:rsidR="00545D1B" w:rsidRPr="00742A04">
        <w:t xml:space="preserve"> </w:t>
      </w:r>
      <w:r w:rsidRPr="00742A04">
        <w:t>para dedicarse a la</w:t>
      </w:r>
      <w:r w:rsidR="00545D1B" w:rsidRPr="00742A04">
        <w:t xml:space="preserve"> </w:t>
      </w:r>
      <w:r w:rsidR="00355BCE" w:rsidRPr="00742A04">
        <w:t>actividad económica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 xml:space="preserve">la </w:t>
      </w:r>
      <w:r w:rsidR="00545D1B" w:rsidRPr="00742A04">
        <w:t>agri</w:t>
      </w:r>
      <w:r w:rsidR="006C1297" w:rsidRPr="00742A04">
        <w:t>cultura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las ramas anexas</w:t>
      </w:r>
      <w:r w:rsidR="00545D1B" w:rsidRPr="00742A04">
        <w:t xml:space="preserve">. </w:t>
      </w:r>
      <w:r w:rsidRPr="00742A04">
        <w:t>Para que sea posible seguir</w:t>
      </w:r>
      <w:r w:rsidR="00545D1B" w:rsidRPr="00742A04">
        <w:t xml:space="preserve"> progres</w:t>
      </w:r>
      <w:r w:rsidRPr="00742A04">
        <w:t>ando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el</w:t>
      </w:r>
      <w:r w:rsidR="00545D1B" w:rsidRPr="00742A04">
        <w:t xml:space="preserve"> </w:t>
      </w:r>
      <w:r w:rsidR="006B65CD" w:rsidRPr="00742A04">
        <w:t>desarrollo</w:t>
      </w:r>
      <w:r w:rsidRPr="00742A04">
        <w:t xml:space="preserve"> empresarial</w:t>
      </w:r>
      <w:r w:rsidR="00545D1B" w:rsidRPr="00742A04">
        <w:t xml:space="preserve">, </w:t>
      </w:r>
      <w:r w:rsidRPr="00742A04">
        <w:t>la ge</w:t>
      </w:r>
      <w:r w:rsidRPr="00742A04">
        <w:t>s</w:t>
      </w:r>
      <w:r w:rsidRPr="00742A04">
        <w:t>tión de los recursos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el asentamiento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las zonas rurales</w:t>
      </w:r>
      <w:r w:rsidR="00545D1B" w:rsidRPr="00742A04">
        <w:t xml:space="preserve">, </w:t>
      </w:r>
      <w:r w:rsidR="00BD47D3" w:rsidRPr="00742A04">
        <w:t>es</w:t>
      </w:r>
      <w:r w:rsidR="00545D1B" w:rsidRPr="00742A04">
        <w:t xml:space="preserve"> </w:t>
      </w:r>
      <w:r w:rsidR="00417824" w:rsidRPr="00742A04">
        <w:t>necesario</w:t>
      </w:r>
      <w:r w:rsidR="00545D1B" w:rsidRPr="00742A04">
        <w:t xml:space="preserve"> </w:t>
      </w:r>
      <w:r w:rsidR="00CF2F77" w:rsidRPr="00742A04">
        <w:t>asegurar</w:t>
      </w:r>
      <w:r w:rsidR="00545D1B" w:rsidRPr="00742A04">
        <w:t xml:space="preserve"> </w:t>
      </w:r>
      <w:r w:rsidRPr="00742A04">
        <w:t>la amplitud en materia de</w:t>
      </w:r>
      <w:r w:rsidR="00545D1B" w:rsidRPr="00742A04">
        <w:t xml:space="preserve"> competen</w:t>
      </w:r>
      <w:r w:rsidRPr="00742A04">
        <w:t>cia</w:t>
      </w:r>
      <w:r w:rsidR="00545D1B" w:rsidRPr="00742A04">
        <w:t xml:space="preserve">, </w:t>
      </w:r>
      <w:r w:rsidR="00837D84" w:rsidRPr="00742A04">
        <w:t>aptitudes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02E16" w:rsidRPr="00742A04">
        <w:t>recursos</w:t>
      </w:r>
      <w:r w:rsidRPr="00742A04">
        <w:t xml:space="preserve"> humanos</w:t>
      </w:r>
      <w:r w:rsidR="00545D1B" w:rsidRPr="00742A04">
        <w:t xml:space="preserve">. </w:t>
      </w:r>
      <w:r w:rsidRPr="00742A04">
        <w:t>La política en materia de a</w:t>
      </w:r>
      <w:r w:rsidR="00545D1B" w:rsidRPr="00742A04">
        <w:t>gricultu</w:t>
      </w:r>
      <w:r w:rsidRPr="00742A04">
        <w:t>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 xml:space="preserve">alimentación </w:t>
      </w:r>
      <w:r w:rsidR="007D4688" w:rsidRPr="00742A04">
        <w:t>debe</w:t>
      </w:r>
      <w:r w:rsidR="00545D1B" w:rsidRPr="00742A04">
        <w:t xml:space="preserve"> </w:t>
      </w:r>
      <w:r w:rsidR="001A1368" w:rsidRPr="00742A04">
        <w:t>promover</w:t>
      </w:r>
      <w:r w:rsidR="00545D1B" w:rsidRPr="00742A04">
        <w:t xml:space="preserve"> </w:t>
      </w:r>
      <w:r w:rsidRPr="00742A04">
        <w:t xml:space="preserve">la </w:t>
      </w:r>
      <w:r w:rsidR="00A05847" w:rsidRPr="00742A04">
        <w:t>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este</w:t>
      </w:r>
      <w:r w:rsidR="00545D1B" w:rsidRPr="00742A04">
        <w:t xml:space="preserve"> sector </w:t>
      </w:r>
      <w:r w:rsidR="00D3378F" w:rsidRPr="00742A04">
        <w:t>en consonancia con</w:t>
      </w:r>
      <w:r w:rsidR="00545D1B" w:rsidRPr="00742A04">
        <w:t xml:space="preserve"> </w:t>
      </w:r>
      <w:r w:rsidRPr="00742A04">
        <w:t xml:space="preserve">la </w:t>
      </w:r>
      <w:r w:rsidR="00502E16" w:rsidRPr="00742A04">
        <w:t>igualdad</w:t>
      </w:r>
      <w:r w:rsidR="00545D1B" w:rsidRPr="00742A04">
        <w:t xml:space="preserve"> </w:t>
      </w:r>
      <w:r w:rsidR="00552048" w:rsidRPr="00742A04">
        <w:t>política</w:t>
      </w:r>
      <w:r w:rsidRPr="00742A04">
        <w:t xml:space="preserve"> general</w:t>
      </w:r>
      <w:r w:rsidR="00545D1B" w:rsidRPr="00742A04">
        <w:t>.</w:t>
      </w:r>
    </w:p>
    <w:p w:rsidR="00545D1B" w:rsidRPr="00742A04" w:rsidRDefault="000B41AF" w:rsidP="001633F4">
      <w:pPr>
        <w:pStyle w:val="SingleTxt"/>
        <w:ind w:firstLine="475"/>
      </w:pPr>
      <w:r w:rsidRPr="00742A04">
        <w:t>La Ley</w:t>
      </w:r>
      <w:r w:rsidR="00CA313E" w:rsidRPr="00742A04">
        <w:t xml:space="preserve"> alodial</w:t>
      </w:r>
      <w:r w:rsidR="00545D1B" w:rsidRPr="00742A04">
        <w:t xml:space="preserve"> </w:t>
      </w:r>
      <w:r w:rsidR="00B133E6" w:rsidRPr="00742A04">
        <w:t>trata a los</w:t>
      </w:r>
      <w:r w:rsidR="00545D1B" w:rsidRPr="00742A04">
        <w:t xml:space="preserve">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133E6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581775" w:rsidRPr="00742A04">
        <w:t>igual</w:t>
      </w:r>
      <w:r w:rsidR="00B133E6" w:rsidRPr="00742A04">
        <w:t>mente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B133E6" w:rsidRPr="00742A04">
        <w:t>est</w:t>
      </w:r>
      <w:r w:rsidR="00545D1B" w:rsidRPr="00742A04">
        <w:t>o</w:t>
      </w:r>
      <w:r w:rsidR="00B133E6" w:rsidRPr="00742A04">
        <w:t xml:space="preserve"> </w:t>
      </w:r>
      <w:r w:rsidR="00673B5D" w:rsidRPr="00742A04">
        <w:t xml:space="preserve">no </w:t>
      </w:r>
      <w:r w:rsidR="00B133E6" w:rsidRPr="00742A04">
        <w:t>s</w:t>
      </w:r>
      <w:r w:rsidR="00673B5D" w:rsidRPr="00742A04">
        <w:t xml:space="preserve">e </w:t>
      </w:r>
      <w:r w:rsidR="00545D1B" w:rsidRPr="00742A04">
        <w:t>ap</w:t>
      </w:r>
      <w:r w:rsidR="00B133E6" w:rsidRPr="00742A04">
        <w:t>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B133E6" w:rsidRPr="00742A04">
        <w:t>nacidas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B133E6" w:rsidRPr="00742A04">
        <w:t>adoptadas</w:t>
      </w:r>
      <w:r w:rsidR="00545D1B" w:rsidRPr="00742A04">
        <w:t xml:space="preserve"> </w:t>
      </w:r>
      <w:r w:rsidR="00A826CB" w:rsidRPr="00742A04">
        <w:t>antes de</w:t>
      </w:r>
      <w:r w:rsidR="00545D1B" w:rsidRPr="00742A04">
        <w:t xml:space="preserve"> 1965. </w:t>
      </w:r>
      <w:r w:rsidR="00B133E6" w:rsidRPr="00742A04">
        <w:t>Se encomendó a u</w:t>
      </w:r>
      <w:r w:rsidR="00657260" w:rsidRPr="00742A04">
        <w:t>n comité</w:t>
      </w:r>
      <w:r w:rsidR="00545D1B" w:rsidRPr="00742A04">
        <w:t xml:space="preserve"> </w:t>
      </w:r>
      <w:r w:rsidR="00B133E6" w:rsidRPr="00742A04">
        <w:t>designado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2001 consider</w:t>
      </w:r>
      <w:r w:rsidR="00B133E6" w:rsidRPr="00742A04">
        <w:t>ar el</w:t>
      </w:r>
      <w:r w:rsidR="00545D1B" w:rsidRPr="00742A04">
        <w:t xml:space="preserve"> </w:t>
      </w:r>
      <w:r w:rsidR="002213CF" w:rsidRPr="00742A04">
        <w:t>efecto</w:t>
      </w:r>
      <w:r w:rsidR="00545D1B" w:rsidRPr="00742A04">
        <w:t xml:space="preserve"> </w:t>
      </w:r>
      <w:r w:rsidR="00F43124" w:rsidRPr="00742A04">
        <w:t xml:space="preserve">de la </w:t>
      </w:r>
      <w:r w:rsidR="00963214" w:rsidRPr="00742A04">
        <w:t xml:space="preserve">Ley </w:t>
      </w:r>
      <w:r w:rsidR="00CA313E" w:rsidRPr="00742A04">
        <w:t>alodial</w:t>
      </w:r>
      <w:r w:rsidR="00545D1B" w:rsidRPr="00742A04">
        <w:t xml:space="preserve"> </w:t>
      </w:r>
      <w:r w:rsidR="00B133E6" w:rsidRPr="00742A04">
        <w:t>e</w:t>
      </w:r>
      <w:r w:rsidR="00545D1B" w:rsidRPr="00742A04">
        <w:t xml:space="preserve">n </w:t>
      </w:r>
      <w:r w:rsidR="000472FC" w:rsidRPr="00742A04">
        <w:t>la situación</w:t>
      </w:r>
      <w:r w:rsidR="00C14BFF" w:rsidRPr="00742A04">
        <w:t xml:space="preserve"> </w:t>
      </w:r>
      <w:r w:rsidR="004D313C" w:rsidRPr="00742A04">
        <w:t>de las muj</w:t>
      </w:r>
      <w:r w:rsidR="004D313C" w:rsidRPr="00742A04">
        <w:t>e</w:t>
      </w:r>
      <w:r w:rsidR="004D313C" w:rsidRPr="00742A04">
        <w:t>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133E6" w:rsidRPr="00742A04">
        <w:t xml:space="preserve">la </w:t>
      </w:r>
      <w:r w:rsidR="00545D1B" w:rsidRPr="00742A04">
        <w:t>agri</w:t>
      </w:r>
      <w:r w:rsidR="006C1297" w:rsidRPr="00742A04">
        <w:t>cultura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FC59C5" w:rsidRPr="00742A04">
        <w:t>un informe</w:t>
      </w:r>
      <w:r w:rsidR="00545D1B" w:rsidRPr="00742A04">
        <w:t xml:space="preserve"> </w:t>
      </w:r>
      <w:r w:rsidR="00B133E6" w:rsidRPr="00742A04">
        <w:t>publicado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2003, </w:t>
      </w:r>
      <w:r w:rsidR="00CE1CFC" w:rsidRPr="00742A04">
        <w:t>el comité</w:t>
      </w:r>
      <w:r w:rsidR="00545D1B" w:rsidRPr="00742A04">
        <w:t xml:space="preserve"> conclu</w:t>
      </w:r>
      <w:r w:rsidR="00B133E6" w:rsidRPr="00742A04">
        <w:t>yó que</w:t>
      </w:r>
      <w:r w:rsidR="00545D1B" w:rsidRPr="00742A04">
        <w:t xml:space="preserve"> </w:t>
      </w:r>
      <w:r w:rsidR="00B133E6" w:rsidRPr="00742A04">
        <w:t>los derechos alodiales</w:t>
      </w:r>
      <w:r w:rsidR="00545D1B" w:rsidRPr="00742A04">
        <w:t xml:space="preserve"> </w:t>
      </w:r>
      <w:r w:rsidR="00B133E6" w:rsidRPr="00742A04">
        <w:t>desempeñaban u</w:t>
      </w:r>
      <w:r w:rsidR="00545D1B" w:rsidRPr="00742A04">
        <w:t xml:space="preserve">n </w:t>
      </w:r>
      <w:r w:rsidR="00AE7B93" w:rsidRPr="00742A04">
        <w:t>importante</w:t>
      </w:r>
      <w:r w:rsidR="00545D1B" w:rsidRPr="00742A04">
        <w:t xml:space="preserve"> </w:t>
      </w:r>
      <w:r w:rsidR="00B133E6" w:rsidRPr="00742A04">
        <w:t>pape</w:t>
      </w:r>
      <w:r w:rsidR="006B65CD" w:rsidRPr="00742A04">
        <w:t>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542AA" w:rsidRPr="00742A04">
        <w:t>el incremento de</w:t>
      </w:r>
      <w:r w:rsidR="00545D1B" w:rsidRPr="00742A04">
        <w:t xml:space="preserve"> </w:t>
      </w:r>
      <w:r w:rsidR="00E73E8E" w:rsidRPr="00742A04">
        <w:t>la pr</w:t>
      </w:r>
      <w:r w:rsidR="00E73E8E" w:rsidRPr="00742A04">
        <w:t>o</w:t>
      </w:r>
      <w:r w:rsidR="00E73E8E" w:rsidRPr="00742A04">
        <w:t>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133E6" w:rsidRPr="00742A04">
        <w:t xml:space="preserve">la </w:t>
      </w:r>
      <w:r w:rsidR="00545D1B" w:rsidRPr="00742A04">
        <w:t>agri</w:t>
      </w:r>
      <w:r w:rsidR="006C1297" w:rsidRPr="00742A04">
        <w:t>cultura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83B7A" w:rsidRPr="00742A04">
        <w:t>reco</w:t>
      </w:r>
      <w:r w:rsidR="00B133E6" w:rsidRPr="00742A04">
        <w:t>m</w:t>
      </w:r>
      <w:r w:rsidR="00E83B7A" w:rsidRPr="00742A04">
        <w:t>end</w:t>
      </w:r>
      <w:r w:rsidR="00B133E6" w:rsidRPr="00742A04">
        <w:t>ó</w:t>
      </w:r>
      <w:r w:rsidR="00545D1B" w:rsidRPr="00742A04">
        <w:t xml:space="preserve"> </w:t>
      </w:r>
      <w:r w:rsidR="00B133E6" w:rsidRPr="00742A04">
        <w:t xml:space="preserve">que se estableciera la </w:t>
      </w:r>
      <w:r w:rsidR="00492C77" w:rsidRPr="00742A04">
        <w:t>plena igua</w:t>
      </w:r>
      <w:r w:rsidR="00492C77" w:rsidRPr="00742A04">
        <w:t>l</w:t>
      </w:r>
      <w:r w:rsidR="00492C77" w:rsidRPr="00742A04">
        <w:t>dad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072AD7" w:rsidRPr="00742A04">
        <w:t>los sexos</w:t>
      </w:r>
      <w:r w:rsidR="00545D1B" w:rsidRPr="00742A04">
        <w:t>.</w:t>
      </w:r>
    </w:p>
    <w:p w:rsidR="000A08D8" w:rsidRPr="00742A04" w:rsidRDefault="004A0730" w:rsidP="001633F4">
      <w:pPr>
        <w:pStyle w:val="SingleTxt"/>
        <w:ind w:firstLine="475"/>
      </w:pPr>
      <w:r w:rsidRPr="00742A04">
        <w:t>En</w:t>
      </w:r>
      <w:r w:rsidR="00545D1B" w:rsidRPr="00742A04">
        <w:t xml:space="preserve"> 2006 </w:t>
      </w: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Agri</w:t>
      </w:r>
      <w:r w:rsidR="006C1297" w:rsidRPr="00742A04">
        <w:t>cultura</w:t>
      </w:r>
      <w:r w:rsidR="00545D1B" w:rsidRPr="00742A04">
        <w:t xml:space="preserve"> </w:t>
      </w:r>
      <w:r w:rsidR="00166831" w:rsidRPr="00742A04">
        <w:t xml:space="preserve">y Alimentación </w:t>
      </w:r>
      <w:r w:rsidR="00545D1B" w:rsidRPr="00742A04">
        <w:t>establ</w:t>
      </w:r>
      <w:r w:rsidR="00B133E6" w:rsidRPr="00742A04">
        <w:t>eció</w:t>
      </w:r>
      <w:r w:rsidR="00545D1B" w:rsidRPr="00742A04">
        <w:t xml:space="preserve"> </w:t>
      </w:r>
      <w:r w:rsidR="009B122F" w:rsidRPr="00742A04">
        <w:t>un grupo</w:t>
      </w:r>
      <w:r w:rsidR="005E2D7A" w:rsidRPr="00742A04">
        <w:t xml:space="preserve"> de trabajo</w:t>
      </w:r>
      <w:r w:rsidR="00545D1B" w:rsidRPr="00742A04">
        <w:t xml:space="preserve"> </w:t>
      </w:r>
      <w:r w:rsidR="00B133E6" w:rsidRPr="00742A04">
        <w:t>par</w:t>
      </w:r>
      <w:r w:rsidR="0030626A" w:rsidRPr="00742A04">
        <w:t>a</w:t>
      </w:r>
      <w:r w:rsidR="00545D1B" w:rsidRPr="00742A04">
        <w:t xml:space="preserve"> consider</w:t>
      </w:r>
      <w:r w:rsidR="00B133E6" w:rsidRPr="00742A04">
        <w:t>ar 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133E6" w:rsidRPr="00742A04">
        <w:t xml:space="preserve">la </w:t>
      </w:r>
      <w:r w:rsidR="000B71AA" w:rsidRPr="00742A04">
        <w:t>industria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B133E6" w:rsidRPr="00742A04">
        <w:t xml:space="preserve">la </w:t>
      </w:r>
      <w:r w:rsidR="00545D1B" w:rsidRPr="00742A04">
        <w:t>a</w:t>
      </w:r>
      <w:r w:rsidR="00545D1B" w:rsidRPr="00742A04">
        <w:t>gri</w:t>
      </w:r>
      <w:r w:rsidR="006C1297" w:rsidRPr="00742A04">
        <w:t>cultura</w:t>
      </w:r>
      <w:r w:rsidR="00545D1B" w:rsidRPr="00742A04">
        <w:t xml:space="preserve">. </w:t>
      </w:r>
      <w:r w:rsidR="00DD5E1A" w:rsidRPr="00742A04">
        <w:t>El grupo</w:t>
      </w:r>
      <w:r w:rsidR="005E2D7A" w:rsidRPr="00742A04">
        <w:t xml:space="preserve"> de trabajo</w:t>
      </w:r>
      <w:r w:rsidR="00545D1B" w:rsidRPr="00742A04">
        <w:t xml:space="preserve"> consider</w:t>
      </w:r>
      <w:r w:rsidR="00B133E6" w:rsidRPr="00742A04">
        <w:t>ará</w:t>
      </w:r>
      <w:r w:rsidR="00545D1B" w:rsidRPr="00742A04">
        <w:t xml:space="preserve"> </w:t>
      </w:r>
      <w:r w:rsidR="00B133E6" w:rsidRPr="00742A04">
        <w:t>los objetivos en materia</w:t>
      </w:r>
      <w:r w:rsidR="00CC4794" w:rsidRPr="00742A04">
        <w:t xml:space="preserve"> </w:t>
      </w:r>
      <w:r w:rsidR="00B133E6" w:rsidRPr="00742A04">
        <w:t xml:space="preserve">de </w:t>
      </w:r>
      <w:r w:rsidR="00CC4794" w:rsidRPr="00742A04">
        <w:t>igualdad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133E6" w:rsidRPr="00742A04">
        <w:t xml:space="preserve">la </w:t>
      </w:r>
      <w:r w:rsidR="00545D1B" w:rsidRPr="00742A04">
        <w:t>agri</w:t>
      </w:r>
      <w:r w:rsidR="006C1297" w:rsidRPr="00742A04">
        <w:t>cultura</w:t>
      </w:r>
      <w:r w:rsidR="00B133E6" w:rsidRPr="00742A04">
        <w:t xml:space="preserve"> y en relación con ella</w:t>
      </w:r>
      <w:r w:rsidR="00545D1B" w:rsidRPr="00742A04">
        <w:t>, present</w:t>
      </w:r>
      <w:r w:rsidR="00B133E6" w:rsidRPr="00742A04">
        <w:t>ará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 xml:space="preserve">s </w:t>
      </w:r>
      <w:r w:rsidR="00B133E6" w:rsidRPr="00742A04">
        <w:t>concretas de</w:t>
      </w:r>
      <w:r w:rsidR="00545D1B" w:rsidRPr="00742A04">
        <w:t xml:space="preserve"> </w:t>
      </w:r>
      <w:r w:rsidR="00B2334F" w:rsidRPr="00742A04">
        <w:t>estrategias</w:t>
      </w:r>
      <w:r w:rsidR="00545D1B" w:rsidRPr="00742A04">
        <w:t xml:space="preserve"> </w:t>
      </w:r>
      <w:r w:rsidR="00B133E6" w:rsidRPr="00742A04">
        <w:t>p</w:t>
      </w:r>
      <w:r w:rsidR="00B133E6" w:rsidRPr="00742A04">
        <w:t>a</w:t>
      </w:r>
      <w:r w:rsidR="00B133E6" w:rsidRPr="00742A04">
        <w:t>r</w:t>
      </w:r>
      <w:r w:rsidR="0030626A" w:rsidRPr="00742A04">
        <w:t>a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B133E6" w:rsidRPr="00742A04">
        <w:t xml:space="preserve">la </w:t>
      </w:r>
      <w:r w:rsidR="00502E16" w:rsidRPr="00742A04">
        <w:t>igualdad</w:t>
      </w:r>
      <w:r w:rsidR="00545D1B" w:rsidRPr="00742A04">
        <w:t>,</w:t>
      </w:r>
      <w:r w:rsidR="002E5047" w:rsidRPr="00742A04">
        <w:t xml:space="preserve"> e i</w:t>
      </w:r>
      <w:r w:rsidR="00B133E6" w:rsidRPr="00742A04">
        <w:t>dentificará los</w:t>
      </w:r>
      <w:r w:rsidR="00545D1B" w:rsidRPr="00742A04">
        <w:t xml:space="preserve"> </w:t>
      </w:r>
      <w:r w:rsidR="00C07ED9" w:rsidRPr="00742A04">
        <w:t>indicadores</w:t>
      </w:r>
      <w:r w:rsidR="00545D1B" w:rsidRPr="00742A04">
        <w:t xml:space="preserve"> </w:t>
      </w:r>
      <w:r w:rsidR="00B133E6" w:rsidRPr="00742A04">
        <w:t>pertinentes par</w:t>
      </w:r>
      <w:r w:rsidR="0030626A" w:rsidRPr="00742A04">
        <w:t>a</w:t>
      </w:r>
      <w:r w:rsidR="00545D1B" w:rsidRPr="00742A04">
        <w:t xml:space="preserve"> me</w:t>
      </w:r>
      <w:r w:rsidR="00B133E6" w:rsidRPr="00742A04">
        <w:t>dir</w:t>
      </w:r>
      <w:r w:rsidR="00545D1B" w:rsidRPr="00742A04">
        <w:t xml:space="preserve"> </w:t>
      </w:r>
      <w:r w:rsidR="00B133E6" w:rsidRPr="00742A04">
        <w:t>el</w:t>
      </w:r>
      <w:r w:rsidR="00545D1B" w:rsidRPr="00742A04">
        <w:t xml:space="preserve"> pr</w:t>
      </w:r>
      <w:r w:rsidR="00545D1B" w:rsidRPr="00742A04">
        <w:t>o</w:t>
      </w:r>
      <w:r w:rsidR="00B133E6" w:rsidRPr="00742A04">
        <w:t>greso</w:t>
      </w:r>
      <w:r w:rsidR="00545D1B" w:rsidRPr="00742A04">
        <w:t xml:space="preserve"> </w:t>
      </w:r>
      <w:r w:rsidR="00242371" w:rsidRPr="00742A04">
        <w:t>de la igualdad</w:t>
      </w:r>
      <w:r w:rsidR="00545D1B" w:rsidRPr="00742A04">
        <w:t xml:space="preserve"> </w:t>
      </w:r>
      <w:r w:rsidR="00B133E6" w:rsidRPr="00742A04">
        <w:t>en la agricultura y en relación con ella</w:t>
      </w:r>
      <w:r w:rsidR="00545D1B" w:rsidRPr="00742A04">
        <w:t xml:space="preserve">. </w:t>
      </w:r>
      <w:r w:rsidR="00B133E6" w:rsidRPr="00742A04">
        <w:t xml:space="preserve">Se prevé que </w:t>
      </w:r>
      <w:r w:rsidR="005E2D7A" w:rsidRPr="00742A04">
        <w:t>l</w:t>
      </w:r>
      <w:r w:rsidR="006B547F" w:rsidRPr="00742A04">
        <w:t>a labor del</w:t>
      </w:r>
      <w:r w:rsidR="00893DBB" w:rsidRPr="00742A04">
        <w:t xml:space="preserve"> </w:t>
      </w:r>
      <w:r w:rsidR="00DD5E1A" w:rsidRPr="00742A04">
        <w:t>grupo</w:t>
      </w:r>
      <w:r w:rsidR="005E2D7A" w:rsidRPr="00742A04">
        <w:t xml:space="preserve"> de trabajo</w:t>
      </w:r>
      <w:r w:rsidR="00545D1B" w:rsidRPr="00742A04">
        <w:t xml:space="preserve"> </w:t>
      </w:r>
      <w:r w:rsidR="006B547F" w:rsidRPr="00742A04">
        <w:t>concluya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2007</w:t>
      </w:r>
      <w:r w:rsidR="000A08D8" w:rsidRPr="00742A04">
        <w:t>.</w:t>
      </w:r>
    </w:p>
    <w:p w:rsidR="00545D1B" w:rsidRPr="00742A04" w:rsidRDefault="004A0730" w:rsidP="001633F4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A836A1" w:rsidRPr="00742A04">
        <w:t>el período</w:t>
      </w:r>
      <w:r w:rsidR="00545D1B" w:rsidRPr="00742A04">
        <w:t xml:space="preserve"> 2003-2005, </w:t>
      </w:r>
      <w:r w:rsidR="006B547F" w:rsidRPr="00742A04">
        <w:t xml:space="preserve">el </w:t>
      </w:r>
      <w:r w:rsidR="00545D1B" w:rsidRPr="00742A04">
        <w:t>35</w:t>
      </w:r>
      <w:r w:rsidR="001167D2" w:rsidRPr="00742A04">
        <w:t>%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8A7280" w:rsidRPr="00742A04">
        <w:t>las 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6B547F" w:rsidRPr="00742A04">
        <w:t>adquirieron</w:t>
      </w:r>
      <w:r w:rsidR="00545D1B" w:rsidRPr="00742A04">
        <w:t xml:space="preserve"> </w:t>
      </w:r>
      <w:r w:rsidR="006B547F" w:rsidRPr="00742A04">
        <w:t>propiedades agrícolas</w:t>
      </w:r>
      <w:r w:rsidR="00545D1B" w:rsidRPr="00742A04">
        <w:t xml:space="preserve"> </w:t>
      </w:r>
      <w:r w:rsidR="00E73E8E" w:rsidRPr="00742A04">
        <w:t>eran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. </w:t>
      </w:r>
      <w:r w:rsidR="00A31FF2" w:rsidRPr="00742A04">
        <w:t>Sigue habiendo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7C65B3" w:rsidRPr="00742A04">
        <w:t>propietario</w:t>
      </w:r>
      <w:r w:rsidR="00545D1B" w:rsidRPr="00742A04">
        <w:t xml:space="preserve">s </w:t>
      </w:r>
      <w:r w:rsidR="006B547F" w:rsidRPr="00742A04">
        <w:t xml:space="preserve">de sexo masculino </w:t>
      </w:r>
      <w:r w:rsidRPr="00742A04">
        <w:t>de</w:t>
      </w:r>
      <w:r w:rsidR="00545D1B" w:rsidRPr="00742A04">
        <w:t xml:space="preserve"> </w:t>
      </w:r>
      <w:r w:rsidR="006B547F" w:rsidRPr="00742A04">
        <w:t>pr</w:t>
      </w:r>
      <w:r w:rsidR="006B547F" w:rsidRPr="00742A04">
        <w:t>o</w:t>
      </w:r>
      <w:r w:rsidR="006B547F" w:rsidRPr="00742A04">
        <w:t>piedades agrícolas</w:t>
      </w:r>
      <w:r w:rsidR="00545D1B" w:rsidRPr="00742A04">
        <w:t xml:space="preserve">, </w:t>
      </w:r>
      <w:r w:rsidR="00E77E20" w:rsidRPr="00742A04">
        <w:t>pero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6B547F" w:rsidRPr="00742A04">
        <w:t>que adquieren propiedades agríc</w:t>
      </w:r>
      <w:r w:rsidR="006B547F" w:rsidRPr="00742A04">
        <w:t>o</w:t>
      </w:r>
      <w:r w:rsidR="006B547F" w:rsidRPr="00742A04">
        <w:t>las</w:t>
      </w:r>
      <w:r w:rsidR="00545D1B" w:rsidRPr="00742A04">
        <w:t xml:space="preserve"> </w:t>
      </w:r>
      <w:r w:rsidR="006B547F" w:rsidRPr="00742A04">
        <w:t xml:space="preserve">se </w:t>
      </w:r>
      <w:r w:rsidR="00545D1B" w:rsidRPr="00742A04">
        <w:t>ha</w:t>
      </w:r>
      <w:r w:rsidR="006B547F" w:rsidRPr="00742A04">
        <w:t xml:space="preserve"> incrementado</w:t>
      </w:r>
      <w:r w:rsidR="00545D1B" w:rsidRPr="00742A04">
        <w:t xml:space="preserve"> </w:t>
      </w:r>
      <w:r w:rsidR="00E73E8E" w:rsidRPr="00742A04">
        <w:t>en comparación con</w:t>
      </w:r>
      <w:r w:rsidR="00545D1B" w:rsidRPr="00742A04">
        <w:t xml:space="preserve"> per</w:t>
      </w:r>
      <w:r w:rsidR="006B547F" w:rsidRPr="00742A04">
        <w:t>í</w:t>
      </w:r>
      <w:r w:rsidR="00545D1B" w:rsidRPr="00742A04">
        <w:t>od</w:t>
      </w:r>
      <w:r w:rsidR="006B547F" w:rsidRPr="00742A04">
        <w:t>os anteriore</w:t>
      </w:r>
      <w:r w:rsidR="00545D1B" w:rsidRPr="00742A04">
        <w:t>s</w:t>
      </w:r>
      <w:r w:rsidR="00BD7DD0" w:rsidRPr="00742A04">
        <w:t xml:space="preserve">. Las mujeres </w:t>
      </w:r>
      <w:r w:rsidR="00EC1B22" w:rsidRPr="00742A04">
        <w:t>repr</w:t>
      </w:r>
      <w:r w:rsidR="00EC1B22" w:rsidRPr="00742A04">
        <w:t>e</w:t>
      </w:r>
      <w:r w:rsidR="00EC1B22" w:rsidRPr="00742A04">
        <w:t>sentan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="006B547F" w:rsidRPr="00742A04">
        <w:t xml:space="preserve">el </w:t>
      </w:r>
      <w:r w:rsidR="00545D1B" w:rsidRPr="00742A04">
        <w:t>25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380AC9" w:rsidRPr="00742A04">
        <w:t>empleados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B547F" w:rsidRPr="00742A04">
        <w:t>el sector agrícola</w:t>
      </w:r>
      <w:r w:rsidR="00545D1B" w:rsidRPr="00742A04">
        <w:t xml:space="preserve">. </w:t>
      </w:r>
      <w:r w:rsidRPr="00742A04">
        <w:t>En</w:t>
      </w:r>
      <w:r w:rsidR="00545D1B" w:rsidRPr="00742A04">
        <w:t xml:space="preserve"> </w:t>
      </w:r>
      <w:r w:rsidR="00C27C42" w:rsidRPr="00742A04">
        <w:t>r</w:t>
      </w:r>
      <w:r w:rsidR="00C27C42" w:rsidRPr="00742A04">
        <w:t>e</w:t>
      </w:r>
      <w:r w:rsidR="00C27C42" w:rsidRPr="00742A04">
        <w:t>lación</w:t>
      </w:r>
      <w:r w:rsidR="00545D1B" w:rsidRPr="00742A04">
        <w:t xml:space="preserve"> </w:t>
      </w:r>
      <w:r w:rsidRPr="00742A04">
        <w:t>con</w:t>
      </w:r>
      <w:r w:rsidR="00545D1B" w:rsidRPr="00742A04">
        <w:t xml:space="preserve"> </w:t>
      </w:r>
      <w:r w:rsidR="006B547F" w:rsidRPr="00742A04">
        <w:t xml:space="preserve">las </w:t>
      </w:r>
      <w:r w:rsidR="007C65B3" w:rsidRPr="00742A04">
        <w:t>nueva</w:t>
      </w:r>
      <w:r w:rsidR="006B547F" w:rsidRPr="00742A04">
        <w:t>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0B71AA" w:rsidRPr="00742A04">
        <w:t>la industria</w:t>
      </w:r>
      <w:r w:rsidR="00545D1B" w:rsidRPr="00742A04">
        <w:t xml:space="preserve">, </w:t>
      </w:r>
      <w:r w:rsidR="00E73E8E" w:rsidRPr="00742A04">
        <w:t>la proporción de mujeres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6B547F" w:rsidRPr="00742A04">
        <w:t xml:space="preserve">en </w:t>
      </w:r>
      <w:r w:rsidR="00545D1B" w:rsidRPr="00742A04">
        <w:t>genera</w:t>
      </w:r>
      <w:r w:rsidR="005F7B32" w:rsidRPr="00742A04">
        <w:t>l</w:t>
      </w:r>
      <w:r w:rsidR="006B547F" w:rsidRPr="00742A04">
        <w:t xml:space="preserve"> mucho</w:t>
      </w:r>
      <w:r w:rsidR="00545D1B" w:rsidRPr="00742A04">
        <w:t xml:space="preserve"> </w:t>
      </w:r>
      <w:r w:rsidR="006A0F02" w:rsidRPr="00742A04">
        <w:t>mayor</w:t>
      </w:r>
      <w:r w:rsidR="00545D1B" w:rsidRPr="00742A04">
        <w:t xml:space="preserve">. </w:t>
      </w:r>
      <w:r w:rsidR="000A5430" w:rsidRPr="00742A04">
        <w:t>Por ejemplo</w:t>
      </w:r>
      <w:r w:rsidR="00545D1B" w:rsidRPr="00742A04">
        <w:t xml:space="preserve">, </w:t>
      </w:r>
      <w:r w:rsidR="00E77CF5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EC1B22" w:rsidRPr="00742A04">
        <w:t>representan</w:t>
      </w:r>
      <w:r w:rsidR="00545D1B" w:rsidRPr="00742A04">
        <w:t xml:space="preserve"> </w:t>
      </w:r>
      <w:r w:rsidR="00E77CF5" w:rsidRPr="00742A04">
        <w:t>aproximadamente las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355BCE" w:rsidRPr="00742A04">
        <w:t>terc</w:t>
      </w:r>
      <w:r w:rsidR="00355BCE" w:rsidRPr="00742A04">
        <w:t>e</w:t>
      </w:r>
      <w:r w:rsidR="00355BCE" w:rsidRPr="00742A04">
        <w:t>r</w:t>
      </w:r>
      <w:r w:rsidR="00E77CF5" w:rsidRPr="00742A04">
        <w:t>as parte</w:t>
      </w:r>
      <w:r w:rsidR="00545D1B" w:rsidRPr="00742A04">
        <w:t xml:space="preserve">s </w:t>
      </w:r>
      <w:r w:rsidRPr="00742A04">
        <w:t>de</w:t>
      </w:r>
      <w:r w:rsidR="00E77CF5" w:rsidRPr="00742A04">
        <w:t>l</w:t>
      </w:r>
      <w:r w:rsidR="00545D1B" w:rsidRPr="00742A04">
        <w:t xml:space="preserve"> </w:t>
      </w:r>
      <w:r w:rsidR="00E77CF5" w:rsidRPr="00742A04">
        <w:t>programa ambiental</w:t>
      </w:r>
      <w:r w:rsidR="00545D1B" w:rsidRPr="00742A04">
        <w:t xml:space="preserve"> </w:t>
      </w:r>
      <w:r w:rsidR="00545D1B" w:rsidRPr="00742A04">
        <w:rPr>
          <w:i/>
        </w:rPr>
        <w:t>Innpå tunet</w:t>
      </w:r>
      <w:r w:rsidR="00545D1B" w:rsidRPr="00742A04">
        <w:t xml:space="preserve">. </w:t>
      </w:r>
      <w:r w:rsidR="00E77CF5" w:rsidRPr="00742A04">
        <w:t>E</w:t>
      </w:r>
      <w:r w:rsidR="00545D1B" w:rsidRPr="00742A04">
        <w:t xml:space="preserve">n </w:t>
      </w:r>
      <w:r w:rsidR="009A12C2" w:rsidRPr="00742A04">
        <w:t>las juntas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E77CF5" w:rsidRPr="00742A04">
        <w:t>las</w:t>
      </w:r>
      <w:r w:rsidR="00545D1B" w:rsidRPr="00742A04">
        <w:t xml:space="preserve"> cooperati</w:t>
      </w:r>
      <w:r w:rsidR="00E77CF5" w:rsidRPr="00742A04">
        <w:t>va</w:t>
      </w:r>
      <w:r w:rsidR="00545D1B" w:rsidRPr="00742A04">
        <w:t>s</w:t>
      </w:r>
      <w:r w:rsidR="00E77CF5" w:rsidRPr="00742A04">
        <w:t xml:space="preserve"> agrícolas</w:t>
      </w:r>
      <w:r w:rsidR="00545D1B" w:rsidRPr="00742A04">
        <w:t xml:space="preserve">, </w:t>
      </w:r>
      <w:r w:rsidR="00E73E8E" w:rsidRPr="00742A04">
        <w:t>la proporción de mujeres</w:t>
      </w:r>
      <w:r w:rsidR="00545D1B" w:rsidRPr="00742A04">
        <w:t xml:space="preserve"> </w:t>
      </w:r>
      <w:r w:rsidR="00270205" w:rsidRPr="00742A04">
        <w:t xml:space="preserve">ha </w:t>
      </w:r>
      <w:r w:rsidR="00E77CF5" w:rsidRPr="00742A04">
        <w:t>au</w:t>
      </w:r>
      <w:r w:rsidR="00270205" w:rsidRPr="00742A04">
        <w:t>mentado</w:t>
      </w:r>
      <w:r w:rsidR="00E77CF5" w:rsidRPr="00742A04">
        <w:t xml:space="preserve"> del</w:t>
      </w:r>
      <w:r w:rsidR="008C4612" w:rsidRPr="00742A04">
        <w:t xml:space="preserve"> </w:t>
      </w:r>
      <w:r w:rsidR="00545D1B" w:rsidRPr="00742A04">
        <w:t>16</w:t>
      </w:r>
      <w:r w:rsidR="00E77CF5" w:rsidRPr="00742A04">
        <w:t>%</w:t>
      </w:r>
      <w:r w:rsidR="00545D1B" w:rsidRPr="00742A04">
        <w:t xml:space="preserve"> </w:t>
      </w:r>
      <w:r w:rsidR="0030626A" w:rsidRPr="00742A04">
        <w:t>a</w:t>
      </w:r>
      <w:r w:rsidR="00E77CF5" w:rsidRPr="00742A04">
        <w:t>l</w:t>
      </w:r>
      <w:r w:rsidR="00545D1B" w:rsidRPr="00742A04">
        <w:t xml:space="preserve"> 25</w:t>
      </w:r>
      <w:r w:rsidR="001167D2" w:rsidRPr="00742A04">
        <w:t>%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7D66F2" w:rsidRPr="00742A04">
        <w:t>l</w:t>
      </w:r>
      <w:r w:rsidR="00E77CF5" w:rsidRPr="00742A04">
        <w:t>os</w:t>
      </w:r>
      <w:r w:rsidR="00545D1B" w:rsidRPr="00742A04">
        <w:t xml:space="preserve"> </w:t>
      </w:r>
      <w:r w:rsidR="003C5A2B" w:rsidRPr="00742A04">
        <w:t>dos</w:t>
      </w:r>
      <w:r w:rsidR="00545D1B" w:rsidRPr="00742A04">
        <w:t xml:space="preserve"> </w:t>
      </w:r>
      <w:r w:rsidR="00E77CF5" w:rsidRPr="00742A04">
        <w:t>últ</w:t>
      </w:r>
      <w:r w:rsidR="00E77CF5" w:rsidRPr="00742A04">
        <w:t>i</w:t>
      </w:r>
      <w:r w:rsidR="00E77CF5" w:rsidRPr="00742A04">
        <w:t>m</w:t>
      </w:r>
      <w:r w:rsidR="006B65CD" w:rsidRPr="00742A04">
        <w:t>o</w:t>
      </w:r>
      <w:r w:rsidR="00E77CF5" w:rsidRPr="00742A04">
        <w:t>s años co</w:t>
      </w:r>
      <w:r w:rsidR="006B65CD" w:rsidRPr="00742A04">
        <w:t>mo resultado</w:t>
      </w:r>
      <w:r w:rsidR="00FD7D4E" w:rsidRPr="00742A04">
        <w:t xml:space="preserve"> de </w:t>
      </w:r>
      <w:r w:rsidR="00552048" w:rsidRPr="00742A04">
        <w:t>política</w:t>
      </w:r>
      <w:r w:rsidR="00E77CF5" w:rsidRPr="00742A04">
        <w:t>s</w:t>
      </w:r>
      <w:r w:rsidR="00545D1B" w:rsidRPr="00742A04">
        <w:t xml:space="preserve"> </w:t>
      </w:r>
      <w:r w:rsidR="00242371" w:rsidRPr="00742A04">
        <w:t>encaminadas a</w:t>
      </w:r>
      <w:r w:rsidR="00545D1B" w:rsidRPr="00742A04">
        <w:t xml:space="preserve"> </w:t>
      </w:r>
      <w:r w:rsidR="00E77CF5" w:rsidRPr="00742A04">
        <w:t>llegar a una meta del</w:t>
      </w:r>
      <w:r w:rsidR="00545D1B" w:rsidRPr="00742A04">
        <w:t xml:space="preserve"> 40</w:t>
      </w:r>
      <w:r w:rsidR="001167D2" w:rsidRPr="00742A04">
        <w:t>%</w:t>
      </w:r>
      <w:r w:rsidR="00545D1B" w:rsidRPr="00742A04">
        <w:t xml:space="preserve">. </w:t>
      </w:r>
      <w:r w:rsidRPr="00742A04">
        <w:t>En</w:t>
      </w:r>
      <w:r w:rsidR="00545D1B" w:rsidRPr="00742A04">
        <w:t xml:space="preserve"> 2004</w:t>
      </w:r>
      <w:r w:rsidR="00E77CF5" w:rsidRPr="00742A04">
        <w:t>, los</w:t>
      </w:r>
      <w:r w:rsidR="00545D1B" w:rsidRPr="00742A04">
        <w:t xml:space="preserve"> </w:t>
      </w:r>
      <w:r w:rsidR="00E77CF5" w:rsidRPr="00742A04">
        <w:t>programas d</w:t>
      </w:r>
      <w:r w:rsidR="00445441" w:rsidRPr="00742A04">
        <w:t xml:space="preserve">e </w:t>
      </w:r>
      <w:r w:rsidR="00545D1B" w:rsidRPr="00742A04">
        <w:t>crea</w:t>
      </w:r>
      <w:r w:rsidR="00C14BFF" w:rsidRPr="00742A04">
        <w:t>ción</w:t>
      </w:r>
      <w:r w:rsidR="00E77CF5" w:rsidRPr="00742A04">
        <w:t xml:space="preserve"> de</w:t>
      </w:r>
      <w:r w:rsidR="00C14BFF" w:rsidRPr="00742A04">
        <w:t xml:space="preserve"> </w:t>
      </w:r>
      <w:r w:rsidR="00E77CF5" w:rsidRPr="00742A04">
        <w:t xml:space="preserve">valor en materia de alimentación </w:t>
      </w:r>
      <w:r w:rsidR="00877AA0" w:rsidRPr="00742A04">
        <w:t>y</w:t>
      </w:r>
      <w:r w:rsidR="00545D1B" w:rsidRPr="00742A04">
        <w:t xml:space="preserve"> </w:t>
      </w:r>
      <w:r w:rsidR="00E77CF5" w:rsidRPr="00742A04">
        <w:t>renos</w:t>
      </w:r>
      <w:r w:rsidR="00545D1B" w:rsidRPr="00742A04">
        <w:t xml:space="preserve"> </w:t>
      </w:r>
      <w:r w:rsidR="00E77CF5" w:rsidRPr="00742A04">
        <w:t>fuero</w:t>
      </w:r>
      <w:r w:rsidR="00E73E8E" w:rsidRPr="00742A04">
        <w:t>n</w:t>
      </w:r>
      <w:r w:rsidR="00545D1B" w:rsidRPr="00742A04">
        <w:t xml:space="preserve"> evalua</w:t>
      </w:r>
      <w:r w:rsidR="00E77CF5" w:rsidRPr="00742A04">
        <w:t>dos</w:t>
      </w:r>
      <w:r w:rsidR="00545D1B" w:rsidRPr="00742A04">
        <w:t xml:space="preserve"> </w:t>
      </w:r>
      <w:r w:rsidR="00E77CF5" w:rsidRPr="00742A04">
        <w:t>des</w:t>
      </w:r>
      <w:r w:rsidR="008F0C8E" w:rsidRPr="00742A04">
        <w:t>de</w:t>
      </w:r>
      <w:r w:rsidR="00545D1B" w:rsidRPr="00742A04">
        <w:t xml:space="preserve"> </w:t>
      </w:r>
      <w:r w:rsidR="005E6919" w:rsidRPr="00742A04">
        <w:t>la perspectiva de igualdad de género</w:t>
      </w:r>
      <w:r w:rsidR="00545D1B" w:rsidRPr="00742A04">
        <w:t xml:space="preserve">. </w:t>
      </w:r>
      <w:r w:rsidR="00507A11" w:rsidRPr="00742A04">
        <w:t>Las conclusiones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024DBC" w:rsidRPr="00742A04">
        <w:t>la ev</w:t>
      </w:r>
      <w:r w:rsidR="00024DBC" w:rsidRPr="00742A04">
        <w:t>a</w:t>
      </w:r>
      <w:r w:rsidR="00024DBC" w:rsidRPr="00742A04">
        <w:t>luación</w:t>
      </w:r>
      <w:r w:rsidR="00C14BFF" w:rsidRPr="00742A04">
        <w:t xml:space="preserve"> </w:t>
      </w:r>
      <w:r w:rsidR="00552D31" w:rsidRPr="00742A04">
        <w:t>fuero</w:t>
      </w:r>
      <w:r w:rsidR="00E73E8E" w:rsidRPr="00742A04">
        <w:t>n</w:t>
      </w:r>
      <w:r w:rsidR="00545D1B" w:rsidRPr="00742A04">
        <w:t xml:space="preserve"> </w:t>
      </w:r>
      <w:r w:rsidR="00FD58FD" w:rsidRPr="00742A04">
        <w:t>positiva</w:t>
      </w:r>
      <w:r w:rsidR="00552D31" w:rsidRPr="00742A04">
        <w:t>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552D31" w:rsidRPr="00742A04">
        <w:t>esos</w:t>
      </w:r>
      <w:r w:rsidR="00545D1B" w:rsidRPr="00742A04">
        <w:t xml:space="preserve"> </w:t>
      </w:r>
      <w:r w:rsidR="00F43124" w:rsidRPr="00742A04">
        <w:t>programa</w:t>
      </w:r>
      <w:r w:rsidR="00545D1B" w:rsidRPr="00742A04">
        <w:t xml:space="preserve">s, </w:t>
      </w:r>
      <w:r w:rsidR="00877AA0" w:rsidRPr="00742A04">
        <w:t>y</w:t>
      </w:r>
      <w:r w:rsidR="00545D1B" w:rsidRPr="00742A04">
        <w:t xml:space="preserve"> </w:t>
      </w:r>
      <w:r w:rsidR="00552D31" w:rsidRPr="00742A04">
        <w:t>una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507A11" w:rsidRPr="00742A04">
        <w:t>las conclusiones</w:t>
      </w:r>
      <w:r w:rsidR="00545D1B" w:rsidRPr="00742A04">
        <w:t xml:space="preserve"> </w:t>
      </w:r>
      <w:r w:rsidR="00552D31" w:rsidRPr="00742A04">
        <w:t>fue que</w:t>
      </w:r>
      <w:r w:rsidR="006D6D6A" w:rsidRPr="00742A04">
        <w:t>, p</w:t>
      </w:r>
      <w:r w:rsidR="006D6D6A" w:rsidRPr="00742A04">
        <w:t>a</w:t>
      </w:r>
      <w:r w:rsidR="006D6D6A" w:rsidRPr="00742A04">
        <w:t>r</w:t>
      </w:r>
      <w:r w:rsidR="00651DEE">
        <w:t>a</w:t>
      </w:r>
      <w:r w:rsidR="006D6D6A" w:rsidRPr="00742A04">
        <w:t xml:space="preserve"> lograr</w:t>
      </w:r>
      <w:r w:rsidR="00552D31" w:rsidRPr="00742A04">
        <w:t xml:space="preserve"> </w:t>
      </w:r>
      <w:r w:rsidR="006D6D6A" w:rsidRPr="00742A04">
        <w:t xml:space="preserve">buenos resultados, es necesario mencionar especialmente a </w:t>
      </w:r>
      <w:r w:rsidR="00552D31" w:rsidRPr="00742A04">
        <w:t>la</w:t>
      </w:r>
      <w:r w:rsidR="00545D1B" w:rsidRPr="00742A04">
        <w:t xml:space="preserve"> </w:t>
      </w:r>
      <w:r w:rsidR="00A05847" w:rsidRPr="00742A04">
        <w:t>igualdad de género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52D31" w:rsidRPr="00742A04">
        <w:t>el</w:t>
      </w:r>
      <w:r w:rsidR="00545D1B" w:rsidRPr="00742A04">
        <w:t xml:space="preserve"> </w:t>
      </w:r>
      <w:r w:rsidR="00F650FB" w:rsidRPr="00742A04">
        <w:t xml:space="preserve">empoderamiento </w:t>
      </w:r>
      <w:r w:rsidR="00F43124" w:rsidRPr="00742A04">
        <w:t xml:space="preserve">de la </w:t>
      </w:r>
      <w:r w:rsidR="00F650FB" w:rsidRPr="00742A04">
        <w:t>mujer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552D31" w:rsidRPr="00742A04">
        <w:t xml:space="preserve">los </w:t>
      </w:r>
      <w:r w:rsidR="00232DF9" w:rsidRPr="00742A04">
        <w:t>mandato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regla</w:t>
      </w:r>
      <w:r w:rsidR="00552D31" w:rsidRPr="00742A04">
        <w:t>mentos</w:t>
      </w:r>
      <w:r w:rsidR="00545D1B" w:rsidRPr="00742A04">
        <w:t>.</w:t>
      </w:r>
      <w:r w:rsidR="001167D2" w:rsidRPr="00742A04">
        <w:t xml:space="preserve"> </w:t>
      </w:r>
      <w:r w:rsidR="006D6D6A" w:rsidRPr="00742A04">
        <w:t>E</w:t>
      </w:r>
      <w:r w:rsidR="001167D2" w:rsidRPr="00742A04">
        <w:t xml:space="preserve">l </w:t>
      </w:r>
      <w:r w:rsidRPr="00742A04">
        <w:t>Minist</w:t>
      </w:r>
      <w:r w:rsidRPr="00742A04">
        <w:t>e</w:t>
      </w:r>
      <w:r w:rsidRPr="00742A04">
        <w:t>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Agri</w:t>
      </w:r>
      <w:r w:rsidR="006C1297" w:rsidRPr="00742A04">
        <w:t>cultura</w:t>
      </w:r>
      <w:r w:rsidR="00545D1B" w:rsidRPr="00742A04">
        <w:t xml:space="preserve"> </w:t>
      </w:r>
      <w:r w:rsidR="00166831" w:rsidRPr="00742A04">
        <w:t xml:space="preserve">y Alimentación </w:t>
      </w:r>
      <w:r w:rsidR="00BB4DB1" w:rsidRPr="00742A04">
        <w:t>es</w:t>
      </w:r>
      <w:r w:rsidR="006D6D6A" w:rsidRPr="00742A04">
        <w:t>tá encargándose del seguimiento de las</w:t>
      </w:r>
      <w:r w:rsidR="00545D1B" w:rsidRPr="00742A04">
        <w:t xml:space="preserve"> </w:t>
      </w:r>
      <w:r w:rsidR="00CE1CFC" w:rsidRPr="00742A04">
        <w:t>rec</w:t>
      </w:r>
      <w:r w:rsidR="00CE1CFC" w:rsidRPr="00742A04">
        <w:t>o</w:t>
      </w:r>
      <w:r w:rsidR="00CE1CFC" w:rsidRPr="00742A04">
        <w:t>m</w:t>
      </w:r>
      <w:r w:rsidR="00545D1B" w:rsidRPr="00742A04">
        <w:t>enda</w:t>
      </w:r>
      <w:r w:rsidR="008907B8" w:rsidRPr="00742A04">
        <w:t>ciones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024DBC" w:rsidRPr="00742A04">
        <w:t>la evaluación</w:t>
      </w:r>
      <w:r w:rsidR="00C27C42" w:rsidRPr="00742A04">
        <w:t>.</w:t>
      </w:r>
    </w:p>
    <w:p w:rsidR="00545D1B" w:rsidRPr="00742A04" w:rsidRDefault="00CA313E" w:rsidP="002C4922">
      <w:pPr>
        <w:pStyle w:val="SingleTxt"/>
        <w:rPr>
          <w:b/>
        </w:rPr>
      </w:pPr>
      <w:r w:rsidRPr="00742A04">
        <w:rPr>
          <w:b/>
        </w:rPr>
        <w:t>Pastoreo de renos</w:t>
      </w:r>
    </w:p>
    <w:p w:rsidR="00545D1B" w:rsidRPr="00742A04" w:rsidRDefault="004A0730" w:rsidP="001633F4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Agri</w:t>
      </w:r>
      <w:r w:rsidR="006C1297" w:rsidRPr="00742A04">
        <w:t>cultura</w:t>
      </w:r>
      <w:r w:rsidR="00545D1B" w:rsidRPr="00742A04">
        <w:t xml:space="preserve"> </w:t>
      </w:r>
      <w:r w:rsidR="00166831" w:rsidRPr="00742A04">
        <w:t xml:space="preserve">y Alimentación </w:t>
      </w:r>
      <w:r w:rsidR="00545D1B" w:rsidRPr="00742A04">
        <w:t>ha</w:t>
      </w:r>
      <w:r w:rsidR="00C339D4" w:rsidRPr="00742A04">
        <w:t xml:space="preserve"> establecido</w:t>
      </w:r>
      <w:r w:rsidR="00545D1B" w:rsidRPr="00742A04">
        <w:t xml:space="preserve"> </w:t>
      </w:r>
      <w:r w:rsidR="003C5A2B" w:rsidRPr="00742A04">
        <w:t>instrumentos</w:t>
      </w:r>
      <w:r w:rsidR="00545D1B" w:rsidRPr="00742A04">
        <w:t xml:space="preserve"> </w:t>
      </w:r>
      <w:r w:rsidR="00C339D4" w:rsidRPr="00742A04">
        <w:t>f</w:t>
      </w:r>
      <w:r w:rsidR="00C339D4" w:rsidRPr="00742A04">
        <w:t>i</w:t>
      </w:r>
      <w:r w:rsidR="00C339D4" w:rsidRPr="00742A04">
        <w:t>nancieros par</w:t>
      </w:r>
      <w:r w:rsidR="0030626A" w:rsidRPr="00742A04">
        <w:t>a</w:t>
      </w:r>
      <w:r w:rsidR="00545D1B" w:rsidRPr="00742A04">
        <w:t xml:space="preserve"> </w:t>
      </w:r>
      <w:r w:rsidR="006137EC" w:rsidRPr="00742A04">
        <w:t>fortalecer</w:t>
      </w:r>
      <w:r w:rsidR="00545D1B" w:rsidRPr="00742A04">
        <w:t xml:space="preserve"> </w:t>
      </w:r>
      <w:r w:rsidR="0046110E" w:rsidRPr="00742A04">
        <w:t xml:space="preserve">el rol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339D4" w:rsidRPr="00742A04">
        <w:t>la</w:t>
      </w:r>
      <w:r w:rsidR="00545D1B" w:rsidRPr="00742A04">
        <w:t xml:space="preserve"> </w:t>
      </w:r>
      <w:r w:rsidR="005C6D40" w:rsidRPr="00742A04">
        <w:t>familia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339D4" w:rsidRPr="00742A04">
        <w:t xml:space="preserve">el </w:t>
      </w:r>
      <w:r w:rsidR="00CA313E" w:rsidRPr="00742A04">
        <w:t>pastoreo de renos</w:t>
      </w:r>
      <w:r w:rsidR="00545D1B" w:rsidRPr="00742A04">
        <w:t>.</w:t>
      </w:r>
      <w:r w:rsidR="001167D2" w:rsidRPr="00742A04">
        <w:t xml:space="preserve"> </w:t>
      </w:r>
      <w:r w:rsidR="00C339D4" w:rsidRPr="00742A04">
        <w:t xml:space="preserve">Asimismo, </w:t>
      </w:r>
      <w:r w:rsidR="001167D2" w:rsidRPr="00742A04">
        <w:t xml:space="preserve">el </w:t>
      </w:r>
      <w:r w:rsidRPr="00742A04">
        <w:t>Ministerio</w:t>
      </w:r>
      <w:r w:rsidR="00545D1B" w:rsidRPr="00742A04">
        <w:t xml:space="preserve"> ha intensifi</w:t>
      </w:r>
      <w:r w:rsidR="00C339D4" w:rsidRPr="00742A04">
        <w:t>cado</w:t>
      </w:r>
      <w:r w:rsidR="00545D1B" w:rsidRPr="00742A04">
        <w:t xml:space="preserve"> </w:t>
      </w:r>
      <w:r w:rsidR="00502E16" w:rsidRPr="00742A04">
        <w:t xml:space="preserve">los </w:t>
      </w:r>
      <w:r w:rsidR="00935A90" w:rsidRPr="00742A04">
        <w:t xml:space="preserve">esfuerzos por </w:t>
      </w:r>
      <w:r w:rsidR="00545D1B" w:rsidRPr="00742A04">
        <w:t>re</w:t>
      </w:r>
      <w:r w:rsidR="007C65B3" w:rsidRPr="00742A04">
        <w:t>n</w:t>
      </w:r>
      <w:r w:rsidR="00C339D4" w:rsidRPr="00742A04">
        <w:t>ovar la política de</w:t>
      </w:r>
      <w:r w:rsidR="00545D1B" w:rsidRPr="00742A04">
        <w:t xml:space="preserve"> </w:t>
      </w:r>
      <w:r w:rsidR="00A05847" w:rsidRPr="00742A04">
        <w:t xml:space="preserve">igualdad de </w:t>
      </w:r>
      <w:r w:rsidR="00495D7B" w:rsidRPr="00742A04">
        <w:t>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339D4" w:rsidRPr="00742A04">
        <w:t xml:space="preserve">el </w:t>
      </w:r>
      <w:r w:rsidR="00CA313E" w:rsidRPr="00742A04">
        <w:t>pastoreo de renos</w:t>
      </w:r>
      <w:r w:rsidR="00545D1B" w:rsidRPr="00742A04">
        <w:t xml:space="preserve">. </w:t>
      </w:r>
      <w:r w:rsidR="001C6426" w:rsidRPr="00742A04">
        <w:t xml:space="preserve">Como parte </w:t>
      </w:r>
      <w:r w:rsidRPr="00742A04">
        <w:t>de</w:t>
      </w:r>
      <w:r w:rsidR="00545D1B" w:rsidRPr="00742A04">
        <w:t xml:space="preserve"> </w:t>
      </w:r>
      <w:r w:rsidR="00F43124" w:rsidRPr="00742A04">
        <w:t>esos</w:t>
      </w:r>
      <w:r w:rsidR="00502E16" w:rsidRPr="00742A04">
        <w:t xml:space="preserve"> esfuerzos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2004 </w:t>
      </w:r>
      <w:r w:rsidRPr="00742A04">
        <w:t>el Ministerio</w:t>
      </w:r>
      <w:r w:rsidR="00545D1B" w:rsidRPr="00742A04">
        <w:t xml:space="preserve"> establ</w:t>
      </w:r>
      <w:r w:rsidR="00C339D4" w:rsidRPr="00742A04">
        <w:t>eció</w:t>
      </w:r>
      <w:r w:rsidR="00545D1B" w:rsidRPr="00742A04">
        <w:t xml:space="preserve"> </w:t>
      </w:r>
      <w:r w:rsidR="009B122F" w:rsidRPr="00742A04">
        <w:t>un grupo</w:t>
      </w:r>
      <w:r w:rsidR="005E2D7A" w:rsidRPr="00742A04">
        <w:t xml:space="preserve"> de trabajo</w:t>
      </w:r>
      <w:r w:rsidR="00545D1B" w:rsidRPr="00742A04">
        <w:t xml:space="preserve"> </w:t>
      </w:r>
      <w:r w:rsidR="00C339D4" w:rsidRPr="00742A04">
        <w:t>cuyo</w:t>
      </w:r>
      <w:r w:rsidR="00545D1B" w:rsidRPr="00742A04">
        <w:t xml:space="preserve"> </w:t>
      </w:r>
      <w:r w:rsidR="00232DF9" w:rsidRPr="00742A04">
        <w:t>mandato</w:t>
      </w:r>
      <w:r w:rsidR="00545D1B" w:rsidRPr="00742A04">
        <w:t xml:space="preserve"> </w:t>
      </w:r>
      <w:r w:rsidR="00C339D4" w:rsidRPr="00742A04">
        <w:t>comprendía la detección y la</w:t>
      </w:r>
      <w:r w:rsidR="002E5047" w:rsidRPr="00742A04">
        <w:t xml:space="preserve"> i</w:t>
      </w:r>
      <w:r w:rsidR="00545D1B" w:rsidRPr="00742A04">
        <w:t>nvestiga</w:t>
      </w:r>
      <w:r w:rsidR="00C339D4" w:rsidRPr="00742A04">
        <w:t>ción de los</w:t>
      </w:r>
      <w:r w:rsidR="00545D1B" w:rsidRPr="00742A04">
        <w:t xml:space="preserve"> </w:t>
      </w:r>
      <w:r w:rsidR="00A60159" w:rsidRPr="00742A04">
        <w:t>obstáculo</w:t>
      </w:r>
      <w:r w:rsidR="00545D1B" w:rsidRPr="00742A04">
        <w:t>s</w:t>
      </w:r>
      <w:r w:rsidR="001E30D6" w:rsidRPr="00742A04">
        <w:t xml:space="preserve"> </w:t>
      </w:r>
      <w:r w:rsidR="00C339D4" w:rsidRPr="00742A04">
        <w:t>más importantes para l</w:t>
      </w:r>
      <w:r w:rsidR="001E30D6" w:rsidRPr="00742A04">
        <w:t xml:space="preserve">a </w:t>
      </w:r>
      <w:r w:rsidR="005E6919" w:rsidRPr="00742A04">
        <w:t>participación de las m</w:t>
      </w:r>
      <w:r w:rsidR="005E6919" w:rsidRPr="00742A04">
        <w:t>u</w:t>
      </w:r>
      <w:r w:rsidR="005E6919" w:rsidRPr="00742A04">
        <w:t>jeres</w:t>
      </w:r>
      <w:r w:rsidR="00C14BFF" w:rsidRPr="00742A04">
        <w:t xml:space="preserve"> en</w:t>
      </w:r>
      <w:r w:rsidR="00545D1B" w:rsidRPr="00742A04">
        <w:t xml:space="preserve"> </w:t>
      </w:r>
      <w:r w:rsidR="00C339D4" w:rsidRPr="00742A04">
        <w:t xml:space="preserve">el </w:t>
      </w:r>
      <w:r w:rsidR="00CA313E" w:rsidRPr="00742A04">
        <w:t>pastoreo de renos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C339D4" w:rsidRPr="00742A04">
        <w:t xml:space="preserve">la </w:t>
      </w:r>
      <w:r w:rsidR="00545D1B" w:rsidRPr="00742A04">
        <w:t>proposi</w:t>
      </w:r>
      <w:r w:rsidR="00C339D4" w:rsidRPr="00742A04">
        <w:t>ción de medidas a corto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6F5EFD" w:rsidRPr="00742A04">
        <w:t>a largo plazo</w:t>
      </w:r>
      <w:r w:rsidR="00545D1B" w:rsidRPr="00742A04">
        <w:t xml:space="preserve">. </w:t>
      </w:r>
      <w:r w:rsidR="00C339D4" w:rsidRPr="00742A04">
        <w:t xml:space="preserve">Igual que </w:t>
      </w:r>
      <w:r w:rsidR="00C14BFF" w:rsidRPr="00742A04">
        <w:t>en</w:t>
      </w:r>
      <w:r w:rsidR="00545D1B" w:rsidRPr="00742A04">
        <w:t xml:space="preserve"> </w:t>
      </w:r>
      <w:r w:rsidR="004B580D" w:rsidRPr="00742A04">
        <w:t>otros sectores</w:t>
      </w:r>
      <w:r w:rsidR="00545D1B" w:rsidRPr="00742A04">
        <w:t xml:space="preserve">, </w:t>
      </w:r>
      <w:r w:rsidR="00C27C42" w:rsidRPr="00742A04">
        <w:t>el informe</w:t>
      </w:r>
      <w:r w:rsidR="00545D1B" w:rsidRPr="00742A04">
        <w:t xml:space="preserve"> </w:t>
      </w:r>
      <w:r w:rsidR="00C339D4" w:rsidRPr="00742A04">
        <w:t>indicó</w:t>
      </w:r>
      <w:r w:rsidR="003E5775" w:rsidRPr="00742A04">
        <w:t xml:space="preserve"> que</w:t>
      </w:r>
      <w:r w:rsidR="00545D1B" w:rsidRPr="00742A04">
        <w:t xml:space="preserve"> </w:t>
      </w:r>
      <w:r w:rsidR="00C339D4" w:rsidRPr="00742A04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C339D4" w:rsidRPr="00742A04">
        <w:t xml:space="preserve">no </w:t>
      </w:r>
      <w:r w:rsidR="006137EC" w:rsidRPr="00742A04">
        <w:t>son</w:t>
      </w:r>
      <w:r w:rsidR="00545D1B" w:rsidRPr="00742A04">
        <w:t xml:space="preserve"> </w:t>
      </w:r>
      <w:r w:rsidR="00C339D4" w:rsidRPr="00742A04">
        <w:t>en modo alg</w:t>
      </w:r>
      <w:r w:rsidR="00C339D4" w:rsidRPr="00742A04">
        <w:t>u</w:t>
      </w:r>
      <w:r w:rsidR="00C339D4" w:rsidRPr="00742A04">
        <w:t>no un</w:t>
      </w:r>
      <w:r w:rsidR="00545D1B" w:rsidRPr="00742A04">
        <w:t xml:space="preserve"> </w:t>
      </w:r>
      <w:r w:rsidR="00C339D4" w:rsidRPr="00742A04">
        <w:t xml:space="preserve">grupo </w:t>
      </w:r>
      <w:r w:rsidR="00545D1B" w:rsidRPr="00742A04">
        <w:t>homog</w:t>
      </w:r>
      <w:r w:rsidR="00C339D4" w:rsidRPr="00742A04">
        <w:t>é</w:t>
      </w:r>
      <w:r w:rsidR="00545D1B" w:rsidRPr="00742A04">
        <w:t xml:space="preserve">neo. </w:t>
      </w:r>
      <w:r w:rsidR="00C339D4" w:rsidRPr="00742A04">
        <w:t>Por consiguiente, es preciso adoptar m</w:t>
      </w:r>
      <w:r w:rsidR="00DC0DB8" w:rsidRPr="00742A04">
        <w:t>edidas</w:t>
      </w:r>
      <w:r w:rsidR="00545D1B" w:rsidRPr="00742A04">
        <w:t xml:space="preserve"> </w:t>
      </w:r>
      <w:r w:rsidR="00C339D4" w:rsidRPr="00742A04">
        <w:t xml:space="preserve">que se </w:t>
      </w:r>
      <w:r w:rsidR="00545D1B" w:rsidRPr="00742A04">
        <w:t>ada</w:t>
      </w:r>
      <w:r w:rsidR="00545D1B" w:rsidRPr="00742A04">
        <w:t>p</w:t>
      </w:r>
      <w:r w:rsidR="00C339D4" w:rsidRPr="00742A04">
        <w:t>ten a las</w:t>
      </w:r>
      <w:r w:rsidR="00545D1B" w:rsidRPr="00742A04">
        <w:t xml:space="preserve"> </w:t>
      </w:r>
      <w:r w:rsidR="00587443" w:rsidRPr="00742A04">
        <w:t>divers</w:t>
      </w:r>
      <w:r w:rsidR="009C08FB" w:rsidRPr="00742A04">
        <w:t>as necesidades</w:t>
      </w:r>
      <w:r w:rsidR="00545D1B" w:rsidRPr="00742A04">
        <w:t xml:space="preserve"> </w:t>
      </w:r>
      <w:r w:rsidR="00893DBB" w:rsidRPr="00742A04">
        <w:t xml:space="preserve">del </w:t>
      </w:r>
      <w:r w:rsidR="00B8584B" w:rsidRPr="00742A04">
        <w:t xml:space="preserve">grupo </w:t>
      </w:r>
      <w:r w:rsidR="004118CA" w:rsidRPr="00742A04">
        <w:t>destinatario</w:t>
      </w:r>
      <w:r w:rsidR="00545D1B" w:rsidRPr="00742A04">
        <w:t xml:space="preserve">. </w:t>
      </w:r>
      <w:r w:rsidR="005C39D4" w:rsidRPr="00742A04">
        <w:t>Las medidas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C77FF4" w:rsidRPr="00742A04">
        <w:t xml:space="preserve">de </w:t>
      </w:r>
      <w:r w:rsidR="00894371" w:rsidRPr="00742A04">
        <w:t>amplio</w:t>
      </w:r>
      <w:r w:rsidR="00C77FF4" w:rsidRPr="00742A04">
        <w:t xml:space="preserve"> a</w:t>
      </w:r>
      <w:r w:rsidR="00C77FF4" w:rsidRPr="00742A04">
        <w:t>l</w:t>
      </w:r>
      <w:r w:rsidR="00C77FF4" w:rsidRPr="00742A04">
        <w:t>cance</w:t>
      </w:r>
      <w:r w:rsidR="00545D1B" w:rsidRPr="00742A04">
        <w:t xml:space="preserve"> </w:t>
      </w:r>
      <w:r w:rsidR="00BB4DB1" w:rsidRPr="00742A04">
        <w:t xml:space="preserve">y el </w:t>
      </w:r>
      <w:r w:rsidR="00C27C42" w:rsidRPr="00742A04">
        <w:t>informe</w:t>
      </w:r>
      <w:r w:rsidR="00545D1B" w:rsidRPr="00742A04">
        <w:t xml:space="preserve"> </w:t>
      </w:r>
      <w:r w:rsidR="001A1CB5" w:rsidRPr="00742A04">
        <w:t>propone que</w:t>
      </w:r>
      <w:r w:rsidR="00545D1B" w:rsidRPr="00742A04">
        <w:t xml:space="preserve"> </w:t>
      </w:r>
      <w:r w:rsidR="00C77FF4" w:rsidRPr="00742A04">
        <w:t>se dirijan a</w:t>
      </w:r>
      <w:r w:rsidR="00545D1B" w:rsidRPr="00742A04">
        <w:t xml:space="preserve"> </w:t>
      </w:r>
      <w:r w:rsidR="000B71AA" w:rsidRPr="00742A04">
        <w:t>la industria</w:t>
      </w:r>
      <w:r w:rsidR="00545D1B" w:rsidRPr="00742A04">
        <w:t xml:space="preserve"> </w:t>
      </w:r>
      <w:r w:rsidR="00C77FF4" w:rsidRPr="00742A04">
        <w:t xml:space="preserve">en </w:t>
      </w:r>
      <w:r w:rsidR="008D6EB3" w:rsidRPr="00742A04">
        <w:t>sí mismo</w:t>
      </w:r>
      <w:r w:rsidR="00545D1B" w:rsidRPr="00742A04">
        <w:t xml:space="preserve">, </w:t>
      </w:r>
      <w:r w:rsidR="00C77FF4" w:rsidRPr="00742A04">
        <w:t>a</w:t>
      </w:r>
      <w:r w:rsidRPr="00742A04">
        <w:t>l Ministerio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77FF4" w:rsidRPr="00742A04">
        <w:t xml:space="preserve">a </w:t>
      </w:r>
      <w:r w:rsidR="0079108A" w:rsidRPr="00742A04">
        <w:t xml:space="preserve">la </w:t>
      </w:r>
      <w:r w:rsidR="000248A9" w:rsidRPr="00742A04">
        <w:t>administr</w:t>
      </w:r>
      <w:r w:rsidR="0079108A" w:rsidRPr="00742A04">
        <w:t>ación</w:t>
      </w:r>
      <w:r w:rsidR="00C27C42" w:rsidRPr="00742A04">
        <w:t>.</w:t>
      </w:r>
    </w:p>
    <w:p w:rsidR="000A08D8" w:rsidRPr="00742A04" w:rsidRDefault="002C0100" w:rsidP="001633F4">
      <w:pPr>
        <w:pStyle w:val="SingleTxt"/>
        <w:ind w:firstLine="475"/>
      </w:pPr>
      <w:r w:rsidRPr="00742A04">
        <w:t>En los meses y años próximos se dará p</w:t>
      </w:r>
      <w:r w:rsidR="00545D1B" w:rsidRPr="00742A04">
        <w:t>rior</w:t>
      </w:r>
      <w:r w:rsidR="00502E16" w:rsidRPr="00742A04">
        <w:t>idad</w:t>
      </w:r>
      <w:r w:rsidR="00545D1B" w:rsidRPr="00742A04">
        <w:t xml:space="preserve"> </w:t>
      </w:r>
      <w:r w:rsidRPr="00742A04">
        <w:t>al seguimiento de este</w:t>
      </w:r>
      <w:r w:rsidR="00545D1B" w:rsidRPr="00742A04">
        <w:t xml:space="preserve"> </w:t>
      </w:r>
      <w:r w:rsidR="00B31D97" w:rsidRPr="00742A04">
        <w:t>info</w:t>
      </w:r>
      <w:r w:rsidR="00B31D97" w:rsidRPr="00742A04">
        <w:t>r</w:t>
      </w:r>
      <w:r w:rsidR="00B31D97" w:rsidRPr="00742A04">
        <w:t>me</w:t>
      </w:r>
      <w:r w:rsidR="00545D1B" w:rsidRPr="00742A04">
        <w:t xml:space="preserve">. </w:t>
      </w:r>
      <w:r w:rsidRPr="00742A04">
        <w:t>Se trabajará en relación con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Pr="00742A04">
        <w:t xml:space="preserve">encaminadas </w:t>
      </w:r>
      <w:r w:rsidR="0030626A" w:rsidRPr="00742A04">
        <w:t>a</w:t>
      </w:r>
      <w:r w:rsidR="00545D1B" w:rsidRPr="00742A04">
        <w:t xml:space="preserve"> </w:t>
      </w:r>
      <w:r w:rsidR="00957191" w:rsidRPr="00742A04">
        <w:t>influ</w:t>
      </w:r>
      <w:r w:rsidRPr="00742A04">
        <w:t xml:space="preserve">ir </w:t>
      </w:r>
      <w:r w:rsidR="00957191" w:rsidRPr="00742A04">
        <w:t>en</w:t>
      </w:r>
      <w:r w:rsidR="00545D1B" w:rsidRPr="00742A04">
        <w:t xml:space="preserve"> </w:t>
      </w:r>
      <w:r w:rsidR="007E0DFE" w:rsidRPr="00742A04">
        <w:t>las actitudes</w:t>
      </w:r>
      <w:r w:rsidR="00545D1B" w:rsidRPr="00742A04">
        <w:t xml:space="preserve">, </w:t>
      </w:r>
      <w:r w:rsidR="00DC0DB8" w:rsidRPr="00742A04">
        <w:t>m</w:t>
      </w:r>
      <w:r w:rsidR="00DC0DB8" w:rsidRPr="00742A04">
        <w:t>e</w:t>
      </w:r>
      <w:r w:rsidR="00DC0DB8" w:rsidRPr="00742A04">
        <w:t>didas</w:t>
      </w:r>
      <w:r w:rsidR="00545D1B" w:rsidRPr="00742A04">
        <w:t xml:space="preserve"> </w:t>
      </w:r>
      <w:r w:rsidRPr="00742A04">
        <w:t>atinentes a la Ley sobre el Pastoreo de Renos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Pr="00742A04">
        <w:t>vinculadas con los</w:t>
      </w:r>
      <w:r w:rsidR="00545D1B" w:rsidRPr="00742A04">
        <w:t xml:space="preserve"> </w:t>
      </w:r>
      <w:r w:rsidR="003C5A2B" w:rsidRPr="00742A04">
        <w:t>instrumentos</w:t>
      </w:r>
      <w:r w:rsidR="00545D1B" w:rsidRPr="00742A04">
        <w:t xml:space="preserve"> </w:t>
      </w:r>
      <w:r w:rsidRPr="00742A04">
        <w:t>financieros previstos en</w:t>
      </w:r>
      <w:r w:rsidR="00545D1B" w:rsidRPr="00742A04">
        <w:t xml:space="preserve"> </w:t>
      </w:r>
      <w:r w:rsidRPr="00742A04">
        <w:t>el Acuerdo sobre el</w:t>
      </w:r>
      <w:r w:rsidR="00545D1B" w:rsidRPr="00742A04">
        <w:t xml:space="preserve"> </w:t>
      </w:r>
      <w:r w:rsidR="00CA313E" w:rsidRPr="00742A04">
        <w:t>Pas</w:t>
      </w:r>
      <w:r w:rsidRPr="00742A04">
        <w:t>toreo de R</w:t>
      </w:r>
      <w:r w:rsidR="00CA313E" w:rsidRPr="00742A04">
        <w:t>enos</w:t>
      </w:r>
      <w:r w:rsidR="00545D1B" w:rsidRPr="00742A04">
        <w:t xml:space="preserve">. </w:t>
      </w:r>
      <w:r w:rsidRPr="00742A04">
        <w:t>A</w:t>
      </w:r>
      <w:r w:rsidRPr="00742A04">
        <w:t>c</w:t>
      </w:r>
      <w:r w:rsidRPr="00742A04">
        <w:t>tualmente se está revisando</w:t>
      </w:r>
      <w:r w:rsidR="00545D1B" w:rsidRPr="00742A04">
        <w:t xml:space="preserve"> </w:t>
      </w:r>
      <w:r w:rsidRPr="00742A04">
        <w:t>la Ley sobre el Pastoreo de Renos</w:t>
      </w:r>
      <w:r w:rsidR="00545D1B" w:rsidRPr="00742A04">
        <w:t xml:space="preserve">. </w:t>
      </w:r>
      <w:r w:rsidR="0056679F" w:rsidRPr="00742A04">
        <w:t>A este respecto</w:t>
      </w:r>
      <w:r w:rsidR="00545D1B" w:rsidRPr="00742A04">
        <w:t xml:space="preserve">, </w:t>
      </w:r>
      <w:r w:rsidRPr="00742A04">
        <w:t>ta</w:t>
      </w:r>
      <w:r w:rsidRPr="00742A04">
        <w:t>m</w:t>
      </w:r>
      <w:r w:rsidRPr="00742A04">
        <w:t xml:space="preserve">bién se ha centrado la </w:t>
      </w:r>
      <w:r w:rsidR="00D66FC2" w:rsidRPr="00742A04">
        <w:t>ate</w:t>
      </w:r>
      <w:r w:rsidR="00545D1B" w:rsidRPr="00742A04">
        <w:t>n</w:t>
      </w:r>
      <w:r w:rsidR="00C14BFF" w:rsidRPr="00742A04">
        <w:t xml:space="preserve">ción </w:t>
      </w:r>
      <w:r w:rsidRPr="00742A04">
        <w:t>e</w:t>
      </w:r>
      <w:r w:rsidR="00545D1B" w:rsidRPr="00742A04">
        <w:t xml:space="preserve">n </w:t>
      </w:r>
      <w:r w:rsidR="005E6919" w:rsidRPr="00742A04">
        <w:t>la perspectiva de igualdad de género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Pr="00742A04">
        <w:t>el Acuerdo sobre el Pastoreo de Renos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2005-2006, </w:t>
      </w:r>
      <w:r w:rsidRPr="00742A04">
        <w:t xml:space="preserve">las partes convinieron en pagar un </w:t>
      </w:r>
      <w:r w:rsidR="006A0F02" w:rsidRPr="00742A04">
        <w:t>mayor</w:t>
      </w:r>
      <w:r w:rsidR="00545D1B" w:rsidRPr="00742A04">
        <w:t xml:space="preserve"> </w:t>
      </w:r>
      <w:r w:rsidRPr="00742A04">
        <w:t xml:space="preserve">subsidio </w:t>
      </w:r>
      <w:r w:rsidR="00545D1B" w:rsidRPr="00742A04">
        <w:t>operati</w:t>
      </w:r>
      <w:r w:rsidRPr="00742A04">
        <w:t xml:space="preserve">vo a las dependencias </w:t>
      </w:r>
      <w:r w:rsidR="00545D1B" w:rsidRPr="00742A04">
        <w:t>ope</w:t>
      </w:r>
      <w:r w:rsidRPr="00742A04">
        <w:t>rac</w:t>
      </w:r>
      <w:r w:rsidR="00545D1B" w:rsidRPr="00742A04">
        <w:t>ional</w:t>
      </w:r>
      <w:r w:rsidRPr="00742A04">
        <w:t>e</w:t>
      </w:r>
      <w:r w:rsidR="00545D1B" w:rsidRPr="00742A04">
        <w:t xml:space="preserve">s </w:t>
      </w:r>
      <w:r w:rsidRPr="00742A04">
        <w:t>que tengan como único propietario a una</w:t>
      </w:r>
      <w:r w:rsidR="00545D1B" w:rsidRPr="00742A04">
        <w:t xml:space="preserve"> </w:t>
      </w:r>
      <w:r w:rsidR="00072AD7" w:rsidRPr="00742A04">
        <w:t>mujer</w:t>
      </w:r>
      <w:r w:rsidR="00545D1B" w:rsidRPr="00742A04">
        <w:t xml:space="preserve">. </w:t>
      </w:r>
      <w:r w:rsidRPr="00742A04">
        <w:t xml:space="preserve">Además, las partes señalaron que se dará </w:t>
      </w:r>
      <w:r w:rsidR="00E574AD" w:rsidRPr="00742A04">
        <w:t>esp</w:t>
      </w:r>
      <w:r w:rsidR="00E574AD" w:rsidRPr="00742A04">
        <w:t>e</w:t>
      </w:r>
      <w:r w:rsidR="00E574AD" w:rsidRPr="00742A04">
        <w:t>cial</w:t>
      </w:r>
      <w:r w:rsidR="00545D1B" w:rsidRPr="00742A04">
        <w:t xml:space="preserve"> prior</w:t>
      </w:r>
      <w:r w:rsidR="00502E16" w:rsidRPr="00742A04">
        <w:t>idad</w:t>
      </w:r>
      <w:r w:rsidR="00545D1B" w:rsidRPr="00742A04">
        <w:t xml:space="preserve"> </w:t>
      </w:r>
      <w:r w:rsidRPr="00742A04">
        <w:t xml:space="preserve">a la </w:t>
      </w:r>
      <w:r w:rsidR="00072AD7" w:rsidRPr="00742A04">
        <w:t>igualdad</w:t>
      </w:r>
      <w:r w:rsidR="00A05847" w:rsidRPr="00742A04">
        <w:t xml:space="preserve"> de género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Pr="00742A04">
        <w:t>las próximas</w:t>
      </w:r>
      <w:r w:rsidR="00545D1B" w:rsidRPr="00742A04">
        <w:t xml:space="preserve"> </w:t>
      </w:r>
      <w:r w:rsidR="00893DF9" w:rsidRPr="00742A04">
        <w:t>negociaciones</w:t>
      </w:r>
      <w:r w:rsidR="00545D1B" w:rsidRPr="00742A04">
        <w:t xml:space="preserve"> </w:t>
      </w:r>
      <w:r w:rsidR="00E2548E">
        <w:t>relativas a</w:t>
      </w:r>
      <w:r w:rsidRPr="00742A04">
        <w:t>l Acue</w:t>
      </w:r>
      <w:r w:rsidRPr="00742A04">
        <w:t>r</w:t>
      </w:r>
      <w:r w:rsidRPr="00742A04">
        <w:t>do sobre el Pastoreo de Renos</w:t>
      </w:r>
      <w:r w:rsidR="000A08D8" w:rsidRPr="00742A04">
        <w:t>.</w:t>
      </w:r>
    </w:p>
    <w:p w:rsidR="00545D1B" w:rsidRPr="00742A04" w:rsidRDefault="00CA313E" w:rsidP="00BF7359">
      <w:pPr>
        <w:pStyle w:val="SingleTxt"/>
        <w:keepNext/>
        <w:rPr>
          <w:b/>
        </w:rPr>
      </w:pPr>
      <w:r w:rsidRPr="00742A04">
        <w:rPr>
          <w:b/>
        </w:rPr>
        <w:t xml:space="preserve">La industria </w:t>
      </w:r>
      <w:r w:rsidR="00F43124" w:rsidRPr="00742A04">
        <w:rPr>
          <w:b/>
        </w:rPr>
        <w:t xml:space="preserve">de la </w:t>
      </w:r>
      <w:r w:rsidRPr="00742A04">
        <w:rPr>
          <w:b/>
        </w:rPr>
        <w:t>pesca y la acui</w:t>
      </w:r>
      <w:r w:rsidR="006C1297" w:rsidRPr="00742A04">
        <w:rPr>
          <w:b/>
        </w:rPr>
        <w:t>cultura</w:t>
      </w:r>
      <w:r w:rsidR="00545D1B" w:rsidRPr="00742A04">
        <w:rPr>
          <w:b/>
        </w:rPr>
        <w:t xml:space="preserve"> </w:t>
      </w:r>
    </w:p>
    <w:p w:rsidR="000A08D8" w:rsidRPr="00742A04" w:rsidRDefault="00CA313E" w:rsidP="001633F4">
      <w:pPr>
        <w:pStyle w:val="SingleTxt"/>
        <w:ind w:firstLine="475"/>
      </w:pPr>
      <w:r w:rsidRPr="00742A04">
        <w:t xml:space="preserve">La industria </w:t>
      </w:r>
      <w:r w:rsidR="00F43124" w:rsidRPr="00742A04">
        <w:t xml:space="preserve">de la </w:t>
      </w:r>
      <w:r w:rsidRPr="00742A04">
        <w:t>pesca y la acuicultura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495D7B" w:rsidRPr="00742A04">
        <w:t>un</w:t>
      </w:r>
      <w:r w:rsidR="00BF7359" w:rsidRPr="00742A04">
        <w:t>a de las</w:t>
      </w:r>
      <w:r w:rsidR="008C4612" w:rsidRPr="00742A04">
        <w:t xml:space="preserve"> </w:t>
      </w:r>
      <w:r w:rsidR="00BF7359" w:rsidRPr="00742A04">
        <w:t xml:space="preserve">mayores </w:t>
      </w:r>
      <w:r w:rsidR="008A7280" w:rsidRPr="00742A04">
        <w:t>industrias</w:t>
      </w:r>
      <w:r w:rsidR="00BF7359" w:rsidRPr="00742A04">
        <w:t xml:space="preserve"> de</w:t>
      </w:r>
      <w:r w:rsidR="00545D1B" w:rsidRPr="00742A04">
        <w:t xml:space="preserve"> </w:t>
      </w:r>
      <w:r w:rsidR="00BF7359" w:rsidRPr="00742A04">
        <w:t xml:space="preserve">exportación </w:t>
      </w:r>
      <w:r w:rsidR="003E30FC" w:rsidRPr="00742A04">
        <w:t xml:space="preserve">de Noruega </w:t>
      </w:r>
      <w:r w:rsidR="00877AA0" w:rsidRPr="00742A04">
        <w:t>y</w:t>
      </w:r>
      <w:r w:rsidR="00545D1B" w:rsidRPr="00742A04">
        <w:t xml:space="preserve"> </w:t>
      </w:r>
      <w:r w:rsidR="00BF7359" w:rsidRPr="00742A04">
        <w:t>s</w:t>
      </w:r>
      <w:r w:rsidR="00BD47D3" w:rsidRPr="00742A04">
        <w:t>e</w:t>
      </w:r>
      <w:r w:rsidR="00BF7359" w:rsidRPr="00742A04">
        <w:t xml:space="preserve"> prevé que haya de desempeñar un papel aún más i</w:t>
      </w:r>
      <w:r w:rsidR="00BF7359" w:rsidRPr="00742A04">
        <w:t>m</w:t>
      </w:r>
      <w:r w:rsidR="00BF7359" w:rsidRPr="00742A04">
        <w:t>portante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F7359" w:rsidRPr="00742A04">
        <w:t>la</w:t>
      </w:r>
      <w:r w:rsidR="00545D1B" w:rsidRPr="00742A04">
        <w:t xml:space="preserve"> eco</w:t>
      </w:r>
      <w:r w:rsidR="00BF7359" w:rsidRPr="00742A04">
        <w:t>nomía</w:t>
      </w:r>
      <w:r w:rsidR="00545D1B" w:rsidRPr="00742A04">
        <w:t xml:space="preserve"> </w:t>
      </w:r>
      <w:r w:rsidR="00BF7359" w:rsidRPr="00742A04">
        <w:t xml:space="preserve">de Noruega </w:t>
      </w:r>
      <w:r w:rsidR="00C14BFF" w:rsidRPr="00742A04">
        <w:t>en</w:t>
      </w:r>
      <w:r w:rsidR="00545D1B" w:rsidRPr="00742A04">
        <w:t xml:space="preserve"> </w:t>
      </w:r>
      <w:r w:rsidR="00BF7359" w:rsidRPr="00742A04">
        <w:t>los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="00BF7359" w:rsidRPr="00742A04">
        <w:t>próximos</w:t>
      </w:r>
      <w:r w:rsidR="00545D1B" w:rsidRPr="00742A04">
        <w:t xml:space="preserve">. </w:t>
      </w:r>
      <w:r w:rsidR="00E73E8E" w:rsidRPr="00742A04">
        <w:t>La proporción de muj</w:t>
      </w:r>
      <w:r w:rsidR="00E73E8E" w:rsidRPr="00742A04">
        <w:t>e</w:t>
      </w:r>
      <w:r w:rsidR="00E73E8E" w:rsidRPr="00742A04">
        <w:t>r</w:t>
      </w:r>
      <w:r w:rsidR="002C189D" w:rsidRPr="00742A04">
        <w:t>es</w:t>
      </w:r>
      <w:r w:rsidR="00BF7359" w:rsidRPr="00742A04">
        <w:t xml:space="preserve"> que </w:t>
      </w:r>
      <w:r w:rsidR="002C189D" w:rsidRPr="00742A04">
        <w:t>trabajan</w:t>
      </w:r>
      <w:r w:rsidR="005532F5" w:rsidRPr="00742A04">
        <w:t xml:space="preserve"> en </w:t>
      </w:r>
      <w:r w:rsidR="005E08DF" w:rsidRPr="00742A04">
        <w:t xml:space="preserve">la </w:t>
      </w:r>
      <w:r w:rsidRPr="00742A04">
        <w:t xml:space="preserve">industria </w:t>
      </w:r>
      <w:r w:rsidR="00F43124" w:rsidRPr="00742A04">
        <w:t xml:space="preserve">de la </w:t>
      </w:r>
      <w:r w:rsidRPr="00742A04">
        <w:t>pesca y la acuicultura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genera</w:t>
      </w:r>
      <w:r w:rsidR="005F7B32" w:rsidRPr="00742A04">
        <w:t xml:space="preserve">lmente </w:t>
      </w:r>
      <w:r w:rsidR="00894371" w:rsidRPr="00742A04">
        <w:t>baja</w:t>
      </w:r>
      <w:r w:rsidR="00545D1B" w:rsidRPr="00742A04">
        <w:t xml:space="preserve">. </w:t>
      </w:r>
      <w:r w:rsidR="00A836A1" w:rsidRPr="00742A04">
        <w:t>S</w:t>
      </w:r>
      <w:r w:rsidR="00A836A1" w:rsidRPr="00742A04">
        <w:t>ó</w:t>
      </w:r>
      <w:r w:rsidR="00A836A1" w:rsidRPr="00742A04">
        <w:t>lo</w:t>
      </w:r>
      <w:r w:rsidR="00545D1B" w:rsidRPr="00742A04">
        <w:t xml:space="preserve"> </w:t>
      </w:r>
      <w:r w:rsidR="00BF7359" w:rsidRPr="00742A04">
        <w:t>el 2,</w:t>
      </w:r>
      <w:r w:rsidR="00545D1B" w:rsidRPr="00742A04">
        <w:t>2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F7359" w:rsidRPr="00742A04">
        <w:t>las personas</w:t>
      </w:r>
      <w:r w:rsidR="00545D1B" w:rsidRPr="00742A04">
        <w:t xml:space="preserve"> </w:t>
      </w:r>
      <w:r w:rsidR="00BF7359" w:rsidRPr="00742A04">
        <w:t>cuya</w:t>
      </w:r>
      <w:r w:rsidR="00545D1B" w:rsidRPr="00742A04">
        <w:t xml:space="preserve"> </w:t>
      </w:r>
      <w:r w:rsidR="00964178" w:rsidRPr="00742A04">
        <w:t>principal</w:t>
      </w:r>
      <w:r w:rsidR="00545D1B" w:rsidRPr="00742A04">
        <w:t xml:space="preserve"> </w:t>
      </w:r>
      <w:r w:rsidR="00B82A08" w:rsidRPr="00742A04">
        <w:t>ocup</w:t>
      </w:r>
      <w:r w:rsidR="00545D1B" w:rsidRPr="00742A04">
        <w:t>a</w:t>
      </w:r>
      <w:r w:rsidR="00C14BFF" w:rsidRPr="00742A04">
        <w:t xml:space="preserve">ción </w:t>
      </w:r>
      <w:r w:rsidR="00BB4DB1" w:rsidRPr="00742A04">
        <w:t>es</w:t>
      </w:r>
      <w:r w:rsidR="00545D1B" w:rsidRPr="00742A04">
        <w:t xml:space="preserve"> </w:t>
      </w:r>
      <w:r w:rsidR="00BF7359" w:rsidRPr="00742A04">
        <w:t>la pesca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mujeres</w:t>
      </w:r>
      <w:r w:rsidR="00545D1B" w:rsidRPr="00742A04">
        <w:t xml:space="preserve">, </w:t>
      </w:r>
      <w:r w:rsidR="00BF7359" w:rsidRPr="00742A04">
        <w:t>y</w:t>
      </w:r>
      <w:r w:rsidR="00545D1B" w:rsidRPr="00742A04">
        <w:t xml:space="preserve"> </w:t>
      </w:r>
      <w:r w:rsidR="00A836A1" w:rsidRPr="00742A04">
        <w:t>aproximadamente</w:t>
      </w:r>
      <w:r w:rsidR="00545D1B" w:rsidRPr="00742A04">
        <w:t xml:space="preserve"> </w:t>
      </w:r>
      <w:r w:rsidR="00BF7359" w:rsidRPr="00742A04">
        <w:t xml:space="preserve">el </w:t>
      </w:r>
      <w:r w:rsidR="00545D1B" w:rsidRPr="00742A04">
        <w:t>10</w:t>
      </w:r>
      <w:r w:rsidR="001167D2" w:rsidRPr="00742A04">
        <w:t>%</w:t>
      </w:r>
      <w:r w:rsidR="00545D1B" w:rsidRPr="00742A04">
        <w:t xml:space="preserve"> </w:t>
      </w:r>
      <w:r w:rsidR="00C076F2" w:rsidRPr="00742A04">
        <w:t xml:space="preserve">de los </w:t>
      </w:r>
      <w:r w:rsidR="00380AC9" w:rsidRPr="00742A04">
        <w:t>empleados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F7359" w:rsidRPr="00742A04">
        <w:t>la industria de la acuicultura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072AD7" w:rsidRPr="00742A04">
        <w:t>m</w:t>
      </w:r>
      <w:r w:rsidR="00072AD7" w:rsidRPr="00742A04">
        <w:t>u</w:t>
      </w:r>
      <w:r w:rsidR="00072AD7" w:rsidRPr="00742A04">
        <w:t>jeres</w:t>
      </w:r>
      <w:r w:rsidR="000A08D8" w:rsidRPr="00742A04">
        <w:t>.</w:t>
      </w:r>
    </w:p>
    <w:p w:rsidR="00545D1B" w:rsidRPr="00742A04" w:rsidRDefault="00CF2F77" w:rsidP="001633F4">
      <w:pPr>
        <w:pStyle w:val="SingleTxt"/>
        <w:ind w:firstLine="475"/>
      </w:pPr>
      <w:r w:rsidRPr="00742A04">
        <w:t>Es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BF7359" w:rsidRPr="00742A04">
        <w:t>que las</w:t>
      </w:r>
      <w:r w:rsidR="00545D1B" w:rsidRPr="00742A04">
        <w:t xml:space="preserve"> </w:t>
      </w:r>
      <w:r w:rsidR="00BF7359" w:rsidRPr="00742A04">
        <w:t>industrias de la pesca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F7359" w:rsidRPr="00742A04">
        <w:t xml:space="preserve">la </w:t>
      </w:r>
      <w:r w:rsidR="00CA313E" w:rsidRPr="00742A04">
        <w:t>acuicultura</w:t>
      </w:r>
      <w:r w:rsidR="00545D1B" w:rsidRPr="00742A04">
        <w:t xml:space="preserve"> </w:t>
      </w:r>
      <w:r w:rsidR="00BF7359" w:rsidRPr="00742A04">
        <w:t>hagan un esfuerzo</w:t>
      </w:r>
      <w:r w:rsidR="00545D1B" w:rsidRPr="00742A04">
        <w:t xml:space="preserve"> consci</w:t>
      </w:r>
      <w:r w:rsidR="00BF7359" w:rsidRPr="00742A04">
        <w:t>ente</w:t>
      </w:r>
      <w:r w:rsidR="00545D1B" w:rsidRPr="00742A04">
        <w:t xml:space="preserve"> </w:t>
      </w:r>
      <w:r w:rsidR="00BF7359" w:rsidRPr="00742A04">
        <w:t>por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BF7359" w:rsidRPr="00742A04">
        <w:t xml:space="preserve">para poder </w:t>
      </w:r>
      <w:r w:rsidR="00545D1B" w:rsidRPr="00742A04">
        <w:t>benefi</w:t>
      </w:r>
      <w:r w:rsidR="00BF7359" w:rsidRPr="00742A04">
        <w:t>ciarse</w:t>
      </w:r>
      <w:r w:rsidR="00545D1B" w:rsidRPr="00742A04">
        <w:t xml:space="preserve"> </w:t>
      </w:r>
      <w:r w:rsidR="008F0C8E" w:rsidRPr="00742A04">
        <w:t>de</w:t>
      </w:r>
      <w:r w:rsidR="00BF7359" w:rsidRPr="00742A04">
        <w:t xml:space="preserve"> los</w:t>
      </w:r>
      <w:r w:rsidR="00545D1B" w:rsidRPr="00742A04">
        <w:t xml:space="preserve"> </w:t>
      </w:r>
      <w:r w:rsidR="003E5775" w:rsidRPr="00742A04">
        <w:t>conocimiento</w:t>
      </w:r>
      <w:r w:rsidR="00BF7359" w:rsidRPr="00742A04"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42371" w:rsidRPr="00742A04">
        <w:t>las capacidades especializadas</w:t>
      </w:r>
      <w:r w:rsidR="00545D1B" w:rsidRPr="00742A04">
        <w:t xml:space="preserve"> </w:t>
      </w:r>
      <w:r w:rsidR="00492C77" w:rsidRPr="00742A04">
        <w:t>que las mujeres</w:t>
      </w:r>
      <w:r w:rsidR="00545D1B" w:rsidRPr="00742A04">
        <w:t xml:space="preserve"> represent</w:t>
      </w:r>
      <w:r w:rsidR="00BF7359" w:rsidRPr="00742A04">
        <w:t>an</w:t>
      </w:r>
      <w:r w:rsidR="00545D1B" w:rsidRPr="00742A04">
        <w:t xml:space="preserve">. </w:t>
      </w:r>
      <w:r w:rsidR="00191077" w:rsidRPr="00742A04">
        <w:t>N</w:t>
      </w:r>
      <w:r w:rsidR="00545D1B" w:rsidRPr="00742A04">
        <w:t>e</w:t>
      </w:r>
      <w:r w:rsidR="00191077" w:rsidRPr="00742A04">
        <w:t>c</w:t>
      </w:r>
      <w:r w:rsidR="00545D1B" w:rsidRPr="00742A04">
        <w:t>e</w:t>
      </w:r>
      <w:r w:rsidR="00191077" w:rsidRPr="00742A04">
        <w:t>s</w:t>
      </w:r>
      <w:r w:rsidR="00191077" w:rsidRPr="00742A04">
        <w:t>i</w:t>
      </w:r>
      <w:r w:rsidR="00191077" w:rsidRPr="00742A04">
        <w:t>tamos una</w:t>
      </w:r>
      <w:r w:rsidR="00545D1B" w:rsidRPr="00742A04">
        <w:t xml:space="preserve"> </w:t>
      </w:r>
      <w:r w:rsidR="009D1A12" w:rsidRPr="00742A04">
        <w:t>mejor</w:t>
      </w:r>
      <w:r w:rsidR="00545D1B" w:rsidRPr="00742A04">
        <w:t xml:space="preserve"> </w:t>
      </w:r>
      <w:r w:rsidR="00615664" w:rsidRPr="00742A04">
        <w:t>comprensión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52CFE" w:rsidRPr="00742A04">
        <w:t xml:space="preserve">los </w:t>
      </w:r>
      <w:r w:rsidR="00657260" w:rsidRPr="00742A04">
        <w:t>factores</w:t>
      </w:r>
      <w:r w:rsidR="00545D1B" w:rsidRPr="00742A04">
        <w:t xml:space="preserve"> </w:t>
      </w:r>
      <w:r w:rsidR="00191077" w:rsidRPr="00742A04">
        <w:t>que</w:t>
      </w:r>
      <w:r w:rsidR="00545D1B" w:rsidRPr="00742A04">
        <w:t xml:space="preserve"> </w:t>
      </w:r>
      <w:r w:rsidR="00D76655" w:rsidRPr="00742A04">
        <w:t>afectan</w:t>
      </w:r>
      <w:r w:rsidR="00545D1B" w:rsidRPr="00742A04">
        <w:t xml:space="preserve"> </w:t>
      </w:r>
      <w:r w:rsidR="00191077" w:rsidRPr="00742A04">
        <w:t xml:space="preserve">a </w:t>
      </w:r>
      <w:r w:rsidR="00982243" w:rsidRPr="00742A04">
        <w:t>la cantidad</w:t>
      </w:r>
      <w:r w:rsidR="00545D1B" w:rsidRPr="00742A04">
        <w:t xml:space="preserve"> </w:t>
      </w:r>
      <w:r w:rsidR="004D313C" w:rsidRPr="00742A04">
        <w:t>de las muj</w:t>
      </w:r>
      <w:r w:rsidR="004D313C" w:rsidRPr="00742A04">
        <w:t>e</w:t>
      </w:r>
      <w:r w:rsidR="004D313C" w:rsidRPr="00742A04">
        <w:t>res</w:t>
      </w:r>
      <w:r w:rsidR="00545D1B" w:rsidRPr="00742A04">
        <w:t xml:space="preserve"> </w:t>
      </w:r>
      <w:r w:rsidR="00191077" w:rsidRPr="00742A04">
        <w:t>que desean seguir un</w:t>
      </w:r>
      <w:r w:rsidR="00545D1B" w:rsidRPr="00742A04">
        <w:t xml:space="preserve">a </w:t>
      </w:r>
      <w:r w:rsidR="005C6D40" w:rsidRPr="00742A04">
        <w:t>carrera</w:t>
      </w:r>
      <w:r w:rsidR="00545D1B" w:rsidRPr="00742A04">
        <w:t xml:space="preserve"> </w:t>
      </w:r>
      <w:r w:rsidR="00C14BFF" w:rsidRPr="00742A04">
        <w:t>en</w:t>
      </w:r>
      <w:r w:rsidR="005E08DF" w:rsidRPr="00742A04">
        <w:t xml:space="preserve"> la </w:t>
      </w:r>
      <w:r w:rsidR="00CA313E" w:rsidRPr="00742A04">
        <w:t xml:space="preserve">industria </w:t>
      </w:r>
      <w:r w:rsidR="00F43124" w:rsidRPr="00742A04">
        <w:t xml:space="preserve">de la </w:t>
      </w:r>
      <w:r w:rsidR="00CA313E" w:rsidRPr="00742A04">
        <w:t>pesca y la acuicultura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191077" w:rsidRPr="00742A04">
        <w:t>la</w:t>
      </w:r>
      <w:r w:rsidR="00545D1B" w:rsidRPr="00742A04">
        <w:t xml:space="preserve"> </w:t>
      </w:r>
      <w:r w:rsidR="000B71AA" w:rsidRPr="00742A04">
        <w:t>i</w:t>
      </w:r>
      <w:r w:rsidR="000B71AA" w:rsidRPr="00742A04">
        <w:t>n</w:t>
      </w:r>
      <w:r w:rsidR="000B71AA" w:rsidRPr="00742A04">
        <w:t>dustria</w:t>
      </w:r>
      <w:r w:rsidR="00545D1B" w:rsidRPr="00742A04">
        <w:t xml:space="preserve"> </w:t>
      </w:r>
      <w:r w:rsidR="007D4688" w:rsidRPr="00742A04">
        <w:t>debe</w:t>
      </w:r>
      <w:r w:rsidR="00545D1B" w:rsidRPr="00742A04">
        <w:t xml:space="preserve"> </w:t>
      </w:r>
      <w:r w:rsidR="00191077" w:rsidRPr="00742A04">
        <w:t>hacer</w:t>
      </w:r>
      <w:r w:rsidR="00545D1B" w:rsidRPr="00742A04">
        <w:t xml:space="preserve"> </w:t>
      </w:r>
      <w:r w:rsidR="00935A90" w:rsidRPr="00742A04">
        <w:t xml:space="preserve">esfuerzos </w:t>
      </w:r>
      <w:r w:rsidR="00191077" w:rsidRPr="00742A04">
        <w:t xml:space="preserve">conscientes </w:t>
      </w:r>
      <w:r w:rsidR="00935A90" w:rsidRPr="00742A04">
        <w:t xml:space="preserve">por </w:t>
      </w:r>
      <w:r w:rsidR="00CB0483" w:rsidRPr="00742A04">
        <w:t>eliminar</w:t>
      </w:r>
      <w:r w:rsidR="00545D1B" w:rsidRPr="00742A04">
        <w:t xml:space="preserve"> </w:t>
      </w:r>
      <w:r w:rsidR="00EC5FA6" w:rsidRPr="00742A04">
        <w:t xml:space="preserve">las </w:t>
      </w:r>
      <w:r w:rsidR="00585E84" w:rsidRPr="00742A04">
        <w:t>barreras</w:t>
      </w:r>
      <w:r w:rsidR="00191077" w:rsidRPr="00742A04">
        <w:t xml:space="preserve"> que se oponen</w:t>
      </w:r>
      <w:r w:rsidR="001E30D6" w:rsidRPr="00742A04">
        <w:t xml:space="preserve"> </w:t>
      </w:r>
      <w:r w:rsidR="00191077" w:rsidRPr="00742A04">
        <w:t>a l</w:t>
      </w:r>
      <w:r w:rsidR="001E30D6" w:rsidRPr="00742A04">
        <w:t xml:space="preserve">a </w:t>
      </w:r>
      <w:r w:rsidR="005E6919" w:rsidRPr="00742A04">
        <w:t>participación de las mujeres</w:t>
      </w:r>
      <w:r w:rsidR="00C27C42" w:rsidRPr="00742A04">
        <w:t>.</w:t>
      </w:r>
      <w:r w:rsidR="00545D1B" w:rsidRPr="00742A04">
        <w:t xml:space="preserve"> </w:t>
      </w:r>
      <w:r w:rsidR="004A0730" w:rsidRPr="00742A04">
        <w:t>En</w:t>
      </w:r>
      <w:r w:rsidR="00545D1B" w:rsidRPr="00742A04">
        <w:t xml:space="preserve"> </w:t>
      </w:r>
      <w:r w:rsidR="00AD5494" w:rsidRPr="00742A04">
        <w:t>el verano de</w:t>
      </w:r>
      <w:r w:rsidR="00545D1B" w:rsidRPr="00742A04">
        <w:t xml:space="preserve"> 2005 </w:t>
      </w:r>
      <w:r w:rsidR="00BE1768" w:rsidRPr="00742A04">
        <w:t>se estableció</w:t>
      </w:r>
      <w:r w:rsidR="00545D1B" w:rsidRPr="00742A04">
        <w:t xml:space="preserve"> </w:t>
      </w:r>
      <w:r w:rsidR="00162347" w:rsidRPr="00742A04">
        <w:t xml:space="preserve">un grupo de trabajo </w:t>
      </w:r>
      <w:r w:rsidR="006B65CD" w:rsidRPr="00742A04">
        <w:t>integrado por representantes</w:t>
      </w:r>
      <w:r w:rsidR="0030626A" w:rsidRPr="00742A04">
        <w:t xml:space="preserve"> del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76976" w:rsidRPr="00742A04">
        <w:t>Pesca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62347" w:rsidRPr="00742A04">
        <w:t>Asuntos Costeros</w:t>
      </w:r>
      <w:r w:rsidR="00545D1B" w:rsidRPr="00742A04">
        <w:t xml:space="preserve">, </w:t>
      </w:r>
      <w:r w:rsidR="004A0730" w:rsidRPr="00742A04">
        <w:t>el Minist</w:t>
      </w:r>
      <w:r w:rsidR="004A0730" w:rsidRPr="00742A04">
        <w:t>e</w:t>
      </w:r>
      <w:r w:rsidR="004A0730" w:rsidRPr="00742A04">
        <w:t>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62347" w:rsidRPr="00742A04">
        <w:t>las</w:t>
      </w:r>
      <w:r w:rsidR="00545D1B" w:rsidRPr="00742A04">
        <w:t xml:space="preserve"> </w:t>
      </w:r>
      <w:r w:rsidR="00FB5EDF" w:rsidRPr="00742A04">
        <w:t>organizaciones</w:t>
      </w:r>
      <w:r w:rsidR="00545D1B" w:rsidRPr="00742A04">
        <w:t xml:space="preserve"> </w:t>
      </w:r>
      <w:r w:rsidR="00162347" w:rsidRPr="00742A04">
        <w:t>de la</w:t>
      </w:r>
      <w:r w:rsidR="00545D1B" w:rsidRPr="00742A04">
        <w:t xml:space="preserve"> </w:t>
      </w:r>
      <w:r w:rsidR="000B71AA" w:rsidRPr="00742A04">
        <w:t>industria</w:t>
      </w:r>
      <w:r w:rsidR="00545D1B" w:rsidRPr="00742A04">
        <w:t xml:space="preserve"> </w:t>
      </w:r>
      <w:r w:rsidR="00162347" w:rsidRPr="00742A04">
        <w:t>par</w:t>
      </w:r>
      <w:r w:rsidR="0030626A" w:rsidRPr="00742A04">
        <w:t>a</w:t>
      </w:r>
      <w:r w:rsidR="00545D1B" w:rsidRPr="00742A04">
        <w:t xml:space="preserve"> formula</w:t>
      </w:r>
      <w:r w:rsidR="00162347" w:rsidRPr="00742A04">
        <w:t>r</w:t>
      </w:r>
      <w:r w:rsidR="00B05988" w:rsidRPr="00742A04">
        <w:t xml:space="preserve"> un </w:t>
      </w:r>
      <w:r w:rsidR="00162347" w:rsidRPr="00742A04">
        <w:t>p</w:t>
      </w:r>
      <w:r w:rsidR="00B05988" w:rsidRPr="00742A04">
        <w:t xml:space="preserve">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162347" w:rsidRPr="00742A04">
        <w:t xml:space="preserve">encaminado </w:t>
      </w:r>
      <w:r w:rsidR="0030626A" w:rsidRPr="00742A04">
        <w:t>a</w:t>
      </w:r>
      <w:r w:rsidR="00545D1B" w:rsidRPr="00742A04">
        <w:t xml:space="preserve"> </w:t>
      </w:r>
      <w:r w:rsidR="00242371" w:rsidRPr="00742A04">
        <w:t>incrementar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162347" w:rsidRPr="00742A04">
        <w:t>el</w:t>
      </w:r>
      <w:r w:rsidR="00545D1B" w:rsidRPr="00742A04">
        <w:t xml:space="preserve"> sector</w:t>
      </w:r>
      <w:r w:rsidR="00162347" w:rsidRPr="00742A04">
        <w:t xml:space="preserve"> m</w:t>
      </w:r>
      <w:r w:rsidR="00162347" w:rsidRPr="00742A04">
        <w:t>a</w:t>
      </w:r>
      <w:r w:rsidR="00162347" w:rsidRPr="00742A04">
        <w:t>rino</w:t>
      </w:r>
      <w:r w:rsidR="00545D1B" w:rsidRPr="00742A04">
        <w:t xml:space="preserve">. </w:t>
      </w:r>
      <w:r w:rsidR="00162347" w:rsidRPr="00742A04">
        <w:t>El p</w:t>
      </w:r>
      <w:r w:rsidR="008A0C75" w:rsidRPr="00742A04">
        <w:t xml:space="preserve">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162347" w:rsidRPr="00742A04">
        <w:t>abarcará</w:t>
      </w:r>
      <w:r w:rsidR="00545D1B" w:rsidRPr="00742A04">
        <w:t xml:space="preserve"> </w:t>
      </w:r>
      <w:r w:rsidR="000A5430" w:rsidRPr="00742A04">
        <w:t>todas las esferas</w:t>
      </w:r>
      <w:r w:rsidR="00545D1B" w:rsidRPr="00742A04">
        <w:t xml:space="preserve"> </w:t>
      </w:r>
      <w:r w:rsidR="00F43124" w:rsidRPr="00742A04">
        <w:t xml:space="preserve">de la </w:t>
      </w:r>
      <w:r w:rsidR="00CA313E" w:rsidRPr="00742A04">
        <w:t xml:space="preserve">industria </w:t>
      </w:r>
      <w:r w:rsidR="00F43124" w:rsidRPr="00742A04">
        <w:t xml:space="preserve">de la </w:t>
      </w:r>
      <w:r w:rsidR="00CA313E" w:rsidRPr="00742A04">
        <w:t>pesca y la acuicultura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162347" w:rsidRPr="00742A04">
        <w:t>comprenderá</w:t>
      </w:r>
      <w:r w:rsidR="00545D1B" w:rsidRPr="00742A04">
        <w:t xml:space="preserve"> </w:t>
      </w:r>
      <w:r w:rsidR="003C25BF" w:rsidRPr="00742A04">
        <w:t>propuesta</w:t>
      </w:r>
      <w:r w:rsidR="00545D1B" w:rsidRPr="00742A04">
        <w:t xml:space="preserve">s </w:t>
      </w:r>
      <w:r w:rsidR="00F43124" w:rsidRPr="00742A04">
        <w:t>para</w:t>
      </w:r>
      <w:r w:rsidR="00545D1B" w:rsidRPr="00742A04">
        <w:t xml:space="preserve"> </w:t>
      </w:r>
      <w:r w:rsidR="00E542AA" w:rsidRPr="00742A04">
        <w:t>increment</w:t>
      </w:r>
      <w:r w:rsidR="00162347" w:rsidRPr="00742A04">
        <w:t>ar</w:t>
      </w:r>
      <w:r w:rsidR="00545D1B" w:rsidRPr="00742A04">
        <w:t xml:space="preserve"> </w:t>
      </w:r>
      <w:r w:rsidR="00E73E8E" w:rsidRPr="00742A04">
        <w:t>la proporción de mujeres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B71AA" w:rsidRPr="00742A04">
        <w:t>la industria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general, </w:t>
      </w:r>
      <w:r w:rsidR="00894371" w:rsidRPr="00742A04">
        <w:t>en</w:t>
      </w:r>
      <w:r w:rsidR="00545D1B" w:rsidRPr="00742A04">
        <w:t xml:space="preserve"> </w:t>
      </w:r>
      <w:r w:rsidR="00162347" w:rsidRPr="00742A04">
        <w:t>las juntas de g</w:t>
      </w:r>
      <w:r w:rsidR="001B4F21" w:rsidRPr="00742A04">
        <w:t>obierno</w:t>
      </w:r>
      <w:r w:rsidR="00545D1B" w:rsidRPr="00742A04">
        <w:t xml:space="preserve">, </w:t>
      </w:r>
      <w:r w:rsidR="00A836A1" w:rsidRPr="00742A04">
        <w:t>consejos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836A1" w:rsidRPr="00742A04">
        <w:t>comités</w:t>
      </w:r>
      <w:r w:rsidR="00545D1B" w:rsidRPr="00742A04">
        <w:t xml:space="preserve">, </w:t>
      </w:r>
      <w:r w:rsidR="00162347" w:rsidRPr="00742A04">
        <w:t>así como</w:t>
      </w:r>
      <w:r w:rsidR="00545D1B" w:rsidRPr="00742A04">
        <w:t xml:space="preserve"> </w:t>
      </w:r>
      <w:r w:rsidR="00162347" w:rsidRPr="00742A04">
        <w:t>e</w:t>
      </w:r>
      <w:r w:rsidR="00545D1B" w:rsidRPr="00742A04">
        <w:t xml:space="preserve">n </w:t>
      </w:r>
      <w:r w:rsidR="009A12C2" w:rsidRPr="00742A04">
        <w:t>las juntas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62347" w:rsidRPr="00742A04">
        <w:t xml:space="preserve">las </w:t>
      </w:r>
      <w:r w:rsidR="00545D1B" w:rsidRPr="00742A04">
        <w:t>cooper</w:t>
      </w:r>
      <w:r w:rsidR="00545D1B" w:rsidRPr="00742A04">
        <w:t>a</w:t>
      </w:r>
      <w:r w:rsidR="00545D1B" w:rsidRPr="00742A04">
        <w:t>tiv</w:t>
      </w:r>
      <w:r w:rsidR="00162347" w:rsidRPr="00742A04">
        <w:t>as de p</w:t>
      </w:r>
      <w:r w:rsidR="00545D1B" w:rsidRPr="00742A04">
        <w:t>es</w:t>
      </w:r>
      <w:r w:rsidR="00162347" w:rsidRPr="00742A04">
        <w:t>ca</w:t>
      </w:r>
      <w:r w:rsidR="00545D1B" w:rsidRPr="00742A04">
        <w:t>.</w:t>
      </w:r>
    </w:p>
    <w:p w:rsidR="00545D1B" w:rsidRPr="00742A04" w:rsidRDefault="000B60DC" w:rsidP="00E0359D">
      <w:pPr>
        <w:pStyle w:val="SingleTxt"/>
        <w:keepNext/>
        <w:rPr>
          <w:b/>
        </w:rPr>
      </w:pPr>
      <w:r w:rsidRPr="00742A04">
        <w:rPr>
          <w:b/>
        </w:rPr>
        <w:t>La industria del petróleo</w:t>
      </w:r>
      <w:r w:rsidR="00545D1B" w:rsidRPr="00742A04">
        <w:rPr>
          <w:b/>
        </w:rPr>
        <w:t xml:space="preserve"> </w:t>
      </w:r>
      <w:r w:rsidR="00877AA0" w:rsidRPr="00742A04">
        <w:rPr>
          <w:b/>
        </w:rPr>
        <w:t>y</w:t>
      </w:r>
      <w:r w:rsidR="00545D1B" w:rsidRPr="00742A04">
        <w:rPr>
          <w:b/>
        </w:rPr>
        <w:t xml:space="preserve"> </w:t>
      </w:r>
      <w:r w:rsidR="00D62786" w:rsidRPr="00742A04">
        <w:rPr>
          <w:b/>
        </w:rPr>
        <w:t>la energía</w:t>
      </w:r>
      <w:r w:rsidR="00545D1B" w:rsidRPr="00742A04">
        <w:rPr>
          <w:b/>
        </w:rPr>
        <w:t xml:space="preserve"> </w:t>
      </w:r>
    </w:p>
    <w:p w:rsidR="000A08D8" w:rsidRPr="00742A04" w:rsidRDefault="004A0730" w:rsidP="001633F4">
      <w:pPr>
        <w:pStyle w:val="SingleTxt"/>
        <w:ind w:firstLine="475"/>
      </w:pPr>
      <w:r w:rsidRPr="00742A04">
        <w:t>El Ministerio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</w:t>
      </w:r>
      <w:r w:rsidR="000B60DC" w:rsidRPr="00742A04">
        <w:t>Petróleo</w:t>
      </w:r>
      <w:r w:rsidR="00545D1B" w:rsidRPr="00742A04">
        <w:t xml:space="preserve"> </w:t>
      </w:r>
      <w:r w:rsidR="00877AA0" w:rsidRPr="00742A04">
        <w:t>y</w:t>
      </w:r>
      <w:r w:rsidR="005E08DF" w:rsidRPr="00742A04">
        <w:t xml:space="preserve"> </w:t>
      </w:r>
      <w:r w:rsidR="000B60DC" w:rsidRPr="00742A04">
        <w:t>E</w:t>
      </w:r>
      <w:r w:rsidR="00D62786" w:rsidRPr="00742A04">
        <w:t>nergía</w:t>
      </w:r>
      <w:r w:rsidR="00545D1B" w:rsidRPr="00742A04">
        <w:t xml:space="preserve"> </w:t>
      </w:r>
      <w:r w:rsidR="00C60E8E" w:rsidRPr="00742A04">
        <w:t>ha iniciado</w:t>
      </w:r>
      <w:r w:rsidR="00545D1B" w:rsidRPr="00742A04">
        <w:t xml:space="preserve"> </w:t>
      </w:r>
      <w:r w:rsidR="0077058E" w:rsidRPr="00742A04">
        <w:t>un proyecto</w:t>
      </w:r>
      <w:r w:rsidR="00545D1B" w:rsidRPr="00742A04">
        <w:t xml:space="preserve"> </w:t>
      </w:r>
      <w:r w:rsidR="000B60DC" w:rsidRPr="00742A04">
        <w:t>encaminado 0</w:t>
      </w:r>
      <w:r w:rsidR="0030626A" w:rsidRPr="00742A04">
        <w:t>a</w:t>
      </w:r>
      <w:r w:rsidR="00545D1B" w:rsidRPr="00742A04">
        <w:t xml:space="preserve"> i</w:t>
      </w:r>
      <w:r w:rsidR="00545D1B" w:rsidRPr="00742A04">
        <w:t>n</w:t>
      </w:r>
      <w:r w:rsidR="00545D1B" w:rsidRPr="00742A04">
        <w:t>vestiga</w:t>
      </w:r>
      <w:r w:rsidR="000B60DC" w:rsidRPr="00742A04">
        <w:t>r la</w:t>
      </w:r>
      <w:r w:rsidR="00545D1B" w:rsidRPr="00742A04">
        <w:t xml:space="preserve"> representa</w:t>
      </w:r>
      <w:r w:rsidR="00C14BFF" w:rsidRPr="00742A04">
        <w:t>ción</w:t>
      </w:r>
      <w:r w:rsidR="002E5047" w:rsidRPr="00742A04">
        <w:t xml:space="preserve"> </w:t>
      </w:r>
      <w:r w:rsidR="000B60DC" w:rsidRPr="00742A04">
        <w:t>y la</w:t>
      </w:r>
      <w:r w:rsidR="002E5047" w:rsidRPr="00742A04">
        <w:t xml:space="preserve"> </w:t>
      </w:r>
      <w:r w:rsidR="00957191" w:rsidRPr="00742A04">
        <w:t>influencia</w:t>
      </w:r>
      <w:r w:rsidR="00545D1B" w:rsidRPr="00742A04">
        <w:t xml:space="preserve"> </w:t>
      </w:r>
      <w:r w:rsidR="004D313C" w:rsidRPr="00742A04">
        <w:t>de las mujeres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0B60DC" w:rsidRPr="00742A04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B60DC" w:rsidRPr="00742A04">
        <w:t>la</w:t>
      </w:r>
      <w:r w:rsidR="00545D1B" w:rsidRPr="00742A04">
        <w:t xml:space="preserve"> </w:t>
      </w:r>
      <w:r w:rsidR="000B60DC" w:rsidRPr="00742A04">
        <w:t>indu</w:t>
      </w:r>
      <w:r w:rsidR="000B60DC" w:rsidRPr="00742A04">
        <w:t>s</w:t>
      </w:r>
      <w:r w:rsidR="000B60DC" w:rsidRPr="00742A04">
        <w:t>tria del petr</w:t>
      </w:r>
      <w:r w:rsidR="000B60DC" w:rsidRPr="00742A04">
        <w:t>ó</w:t>
      </w:r>
      <w:r w:rsidR="000B60DC" w:rsidRPr="00742A04">
        <w:t>leo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62786" w:rsidRPr="00742A04">
        <w:t>la energía</w:t>
      </w:r>
      <w:r w:rsidR="00545D1B" w:rsidRPr="00742A04">
        <w:t xml:space="preserve">. </w:t>
      </w:r>
      <w:r w:rsidR="000B60DC" w:rsidRPr="00742A04">
        <w:t>Los trabajos comenzaron a</w:t>
      </w:r>
      <w:r w:rsidR="007C268A" w:rsidRPr="00742A04">
        <w:t xml:space="preserve"> finales</w:t>
      </w:r>
      <w:r w:rsidR="00545D1B" w:rsidRPr="00742A04">
        <w:t xml:space="preserve"> </w:t>
      </w:r>
      <w:r w:rsidRPr="00742A04">
        <w:t>de</w:t>
      </w:r>
      <w:r w:rsidR="00545D1B" w:rsidRPr="00742A04">
        <w:t xml:space="preserve"> 2005</w:t>
      </w:r>
      <w:r w:rsidR="000A08D8" w:rsidRPr="00742A04">
        <w:t>.</w:t>
      </w:r>
    </w:p>
    <w:p w:rsidR="00466626" w:rsidRPr="00742A04" w:rsidRDefault="00466626" w:rsidP="00466626">
      <w:pPr>
        <w:pStyle w:val="SingleTxt"/>
        <w:spacing w:after="0" w:line="120" w:lineRule="exact"/>
        <w:rPr>
          <w:sz w:val="10"/>
        </w:rPr>
      </w:pPr>
      <w:bookmarkStart w:id="70" w:name="_Toc147129485"/>
    </w:p>
    <w:p w:rsidR="00466626" w:rsidRPr="00742A04" w:rsidRDefault="00814B5D" w:rsidP="00466626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466626" w:rsidRPr="00742A04">
        <w:rPr>
          <w:bCs/>
        </w:rPr>
        <w:t xml:space="preserve"> 15</w:t>
      </w:r>
    </w:p>
    <w:p w:rsidR="00545D1B" w:rsidRPr="00742A04" w:rsidRDefault="00B83FEB" w:rsidP="00466626">
      <w:pPr>
        <w:pStyle w:val="H1"/>
        <w:ind w:left="1267"/>
        <w:rPr>
          <w:bCs/>
        </w:rPr>
      </w:pPr>
      <w:r w:rsidRPr="00742A04">
        <w:rPr>
          <w:bCs/>
        </w:rPr>
        <w:t>La igualdad de género en el sistema jurídico</w:t>
      </w:r>
      <w:bookmarkEnd w:id="70"/>
    </w:p>
    <w:p w:rsidR="00466626" w:rsidRPr="00742A04" w:rsidRDefault="00466626" w:rsidP="00466626">
      <w:pPr>
        <w:pStyle w:val="SingleTxt"/>
        <w:spacing w:after="0" w:line="120" w:lineRule="exact"/>
        <w:rPr>
          <w:sz w:val="10"/>
        </w:rPr>
      </w:pPr>
    </w:p>
    <w:p w:rsidR="000A08D8" w:rsidRPr="00742A04" w:rsidRDefault="0046110E" w:rsidP="00466626">
      <w:pPr>
        <w:pStyle w:val="SingleTxt"/>
        <w:ind w:firstLine="475"/>
      </w:pPr>
      <w:r w:rsidRPr="00742A04">
        <w:t>Cabe remitirse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81EAA" w:rsidRPr="00742A04">
        <w:t>los anteriores informes de Noruega</w:t>
      </w:r>
      <w:r w:rsidR="000A08D8" w:rsidRPr="00742A04">
        <w:t>.</w:t>
      </w:r>
    </w:p>
    <w:p w:rsidR="00E0359D" w:rsidRPr="00742A04" w:rsidRDefault="00E0359D" w:rsidP="00E0359D">
      <w:pPr>
        <w:pStyle w:val="SingleTxt"/>
        <w:spacing w:after="0" w:line="120" w:lineRule="exact"/>
        <w:rPr>
          <w:sz w:val="10"/>
        </w:rPr>
      </w:pPr>
      <w:bookmarkStart w:id="71" w:name="_Toc147129486"/>
    </w:p>
    <w:p w:rsidR="00E0359D" w:rsidRPr="00742A04" w:rsidRDefault="00814B5D" w:rsidP="00E0359D">
      <w:pPr>
        <w:pStyle w:val="H1"/>
        <w:ind w:left="1267"/>
        <w:rPr>
          <w:bCs/>
        </w:rPr>
      </w:pPr>
      <w:r w:rsidRPr="00742A04">
        <w:rPr>
          <w:bCs/>
        </w:rPr>
        <w:t>Artículo</w:t>
      </w:r>
      <w:r w:rsidR="00E0359D" w:rsidRPr="00742A04">
        <w:rPr>
          <w:bCs/>
        </w:rPr>
        <w:t xml:space="preserve"> 16</w:t>
      </w:r>
    </w:p>
    <w:p w:rsidR="00545D1B" w:rsidRPr="00742A04" w:rsidRDefault="00B83FEB" w:rsidP="00E0359D">
      <w:pPr>
        <w:pStyle w:val="H1"/>
        <w:ind w:left="1267"/>
        <w:rPr>
          <w:bCs/>
        </w:rPr>
      </w:pPr>
      <w:r w:rsidRPr="00742A04">
        <w:rPr>
          <w:bCs/>
        </w:rPr>
        <w:t>Eliminar la discriminación contra la mujer en todas las cuestiones</w:t>
      </w:r>
      <w:r w:rsidR="00E0359D" w:rsidRPr="00742A04">
        <w:rPr>
          <w:bCs/>
        </w:rPr>
        <w:br/>
      </w:r>
      <w:r w:rsidRPr="00742A04">
        <w:rPr>
          <w:bCs/>
        </w:rPr>
        <w:t>relacionadas con el matrimonio y los asuntos familiares</w:t>
      </w:r>
      <w:bookmarkEnd w:id="71"/>
    </w:p>
    <w:p w:rsidR="00E0359D" w:rsidRPr="00742A04" w:rsidRDefault="00E0359D" w:rsidP="00E0359D">
      <w:pPr>
        <w:pStyle w:val="H1"/>
        <w:ind w:left="1267"/>
        <w:rPr>
          <w:bCs/>
          <w:sz w:val="10"/>
        </w:rPr>
      </w:pPr>
      <w:bookmarkStart w:id="72" w:name="_Toc147129487"/>
    </w:p>
    <w:p w:rsidR="00545D1B" w:rsidRPr="00742A04" w:rsidRDefault="00814B5D" w:rsidP="008920C7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16 </w:t>
      </w:r>
      <w:r w:rsidR="00545D1B" w:rsidRPr="00742A04">
        <w:rPr>
          <w:bCs/>
          <w:i/>
        </w:rPr>
        <w:t>b</w:t>
      </w:r>
      <w:bookmarkEnd w:id="72"/>
    </w:p>
    <w:p w:rsidR="00E0359D" w:rsidRPr="00742A04" w:rsidRDefault="00E0359D" w:rsidP="00E0359D">
      <w:pPr>
        <w:pStyle w:val="SingleTxt"/>
        <w:spacing w:after="0" w:line="120" w:lineRule="exact"/>
        <w:rPr>
          <w:sz w:val="10"/>
        </w:rPr>
      </w:pPr>
    </w:p>
    <w:p w:rsidR="00545D1B" w:rsidRPr="00742A04" w:rsidRDefault="00EA26AB" w:rsidP="00466626">
      <w:pPr>
        <w:pStyle w:val="SingleTxt"/>
        <w:ind w:firstLine="475"/>
      </w:pPr>
      <w:r w:rsidRPr="00742A04">
        <w:t>Noruega</w:t>
      </w:r>
      <w:r w:rsidR="00545D1B" w:rsidRPr="00742A04">
        <w:t xml:space="preserve"> ha</w:t>
      </w:r>
      <w:r w:rsidR="008D37F5" w:rsidRPr="00742A04">
        <w:t xml:space="preserve"> aplicado numerosa</w:t>
      </w:r>
      <w:r w:rsidR="00545D1B" w:rsidRPr="00742A04">
        <w:t xml:space="preserve">s </w:t>
      </w:r>
      <w:r w:rsidR="00DC0DB8" w:rsidRPr="00742A04">
        <w:t>medidas</w:t>
      </w:r>
      <w:r w:rsidR="00545D1B" w:rsidRPr="00742A04">
        <w:t xml:space="preserve"> </w:t>
      </w:r>
      <w:r w:rsidR="007C341F" w:rsidRPr="00742A04">
        <w:t xml:space="preserve">de lucha </w:t>
      </w:r>
      <w:r w:rsidR="00834309" w:rsidRPr="00742A04">
        <w:t>contra los matrimonios fo</w:t>
      </w:r>
      <w:r w:rsidR="00834309" w:rsidRPr="00742A04">
        <w:t>r</w:t>
      </w:r>
      <w:r w:rsidR="00834309" w:rsidRPr="00742A04">
        <w:t>zados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1998 </w:t>
      </w:r>
      <w:r w:rsidR="008F0C8E" w:rsidRPr="00742A04">
        <w:t>el Gobierno</w:t>
      </w:r>
      <w:r w:rsidR="00545D1B" w:rsidRPr="00742A04">
        <w:t xml:space="preserve"> </w:t>
      </w:r>
      <w:r w:rsidR="00B31D97" w:rsidRPr="00742A04">
        <w:t>presentó</w:t>
      </w:r>
      <w:r w:rsidR="00545D1B" w:rsidRPr="00742A04">
        <w:t xml:space="preserve"> </w:t>
      </w:r>
      <w:r w:rsidR="008D37F5" w:rsidRPr="00742A04">
        <w:t>un</w:t>
      </w:r>
      <w:r w:rsidR="00545D1B" w:rsidRPr="00742A04">
        <w:t xml:space="preserve"> Plan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8D37F5" w:rsidRPr="00742A04">
        <w:t xml:space="preserve">trienal </w:t>
      </w:r>
      <w:r w:rsidR="00DF189C" w:rsidRPr="00742A04">
        <w:t xml:space="preserve">de lucha </w:t>
      </w:r>
      <w:r w:rsidR="00834309" w:rsidRPr="00742A04">
        <w:t>contra los matrimonios forzados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2E2883" w:rsidRPr="00742A04">
        <w:t>contenía</w:t>
      </w:r>
      <w:r w:rsidR="00545D1B" w:rsidRPr="00742A04">
        <w:t xml:space="preserve"> 40 </w:t>
      </w:r>
      <w:r w:rsidR="00DC0DB8" w:rsidRPr="00742A04">
        <w:t>medidas</w:t>
      </w:r>
      <w:r w:rsidR="00545D1B" w:rsidRPr="00742A04">
        <w:t xml:space="preserve"> </w:t>
      </w:r>
      <w:r w:rsidR="008D37F5" w:rsidRPr="00742A04">
        <w:t>que abarcaban numerosas</w:t>
      </w:r>
      <w:r w:rsidR="00545D1B" w:rsidRPr="00742A04">
        <w:t xml:space="preserve"> </w:t>
      </w:r>
      <w:r w:rsidR="00A8633B" w:rsidRPr="00742A04">
        <w:t>esferas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informa</w:t>
      </w:r>
      <w:r w:rsidR="00935A90" w:rsidRPr="00742A04">
        <w:t>ción,</w:t>
      </w:r>
      <w:r w:rsidR="00545D1B" w:rsidRPr="00742A04">
        <w:t xml:space="preserve"> </w:t>
      </w:r>
      <w:r w:rsidR="0030350D" w:rsidRPr="00742A04">
        <w:t>diálogo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35A90" w:rsidRPr="00742A04">
        <w:t>colab</w:t>
      </w:r>
      <w:r w:rsidR="00545D1B" w:rsidRPr="00742A04">
        <w:t>ora</w:t>
      </w:r>
      <w:r w:rsidR="00935A90" w:rsidRPr="00742A04">
        <w:t>ción,</w:t>
      </w:r>
      <w:r w:rsidR="00545D1B" w:rsidRPr="00742A04">
        <w:t xml:space="preserve"> crisis, </w:t>
      </w:r>
      <w:r w:rsidR="00F43124" w:rsidRPr="00742A04">
        <w:t>capacitación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07ED9" w:rsidRPr="00742A04">
        <w:t xml:space="preserve">desarrollo </w:t>
      </w:r>
      <w:r w:rsidR="00C076F2" w:rsidRPr="00742A04">
        <w:t xml:space="preserve">de los </w:t>
      </w:r>
      <w:r w:rsidR="00C07ED9" w:rsidRPr="00742A04">
        <w:t>recursos humanos</w:t>
      </w:r>
      <w:r w:rsidR="00545D1B" w:rsidRPr="00742A04">
        <w:t xml:space="preserve">, </w:t>
      </w:r>
      <w:r w:rsidR="00CD2FF0" w:rsidRPr="00742A04">
        <w:t>enmiendas</w:t>
      </w:r>
      <w:r w:rsidR="008D37F5" w:rsidRPr="00742A04">
        <w:t xml:space="preserve"> </w:t>
      </w:r>
      <w:r w:rsidR="009D5D64" w:rsidRPr="00742A04">
        <w:t>legislativ</w:t>
      </w:r>
      <w:r w:rsidR="008D37F5" w:rsidRPr="00742A04">
        <w:t>as</w:t>
      </w:r>
      <w:r w:rsidR="00545D1B" w:rsidRPr="00742A04">
        <w:t xml:space="preserve">, </w:t>
      </w:r>
      <w:r w:rsidR="00844FDB" w:rsidRPr="00742A04">
        <w:t>investigación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documenta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4A0730" w:rsidRPr="00742A04">
        <w:t>En</w:t>
      </w:r>
      <w:r w:rsidR="00545D1B" w:rsidRPr="00742A04">
        <w:t xml:space="preserve"> 2002 </w:t>
      </w:r>
      <w:r w:rsidR="008F0C8E" w:rsidRPr="00742A04">
        <w:t>el Gobierno</w:t>
      </w:r>
      <w:r w:rsidR="00545D1B" w:rsidRPr="00742A04">
        <w:t xml:space="preserve"> </w:t>
      </w:r>
      <w:r w:rsidR="00B31D97" w:rsidRPr="00742A04">
        <w:t>presentó</w:t>
      </w:r>
      <w:r w:rsidR="00545D1B" w:rsidRPr="00742A04">
        <w:t xml:space="preserve"> 30 </w:t>
      </w:r>
      <w:r w:rsidR="007C65B3" w:rsidRPr="00742A04">
        <w:t>nueva</w:t>
      </w:r>
      <w:r w:rsidR="008D37F5" w:rsidRPr="00742A04">
        <w:t>s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7C341F" w:rsidRPr="00742A04">
        <w:t xml:space="preserve">de lucha </w:t>
      </w:r>
      <w:r w:rsidR="00834309" w:rsidRPr="00742A04">
        <w:t>contra los matrimonios fo</w:t>
      </w:r>
      <w:r w:rsidR="00834309" w:rsidRPr="00742A04">
        <w:t>r</w:t>
      </w:r>
      <w:r w:rsidR="00834309" w:rsidRPr="00742A04">
        <w:t>zados</w:t>
      </w:r>
      <w:r w:rsidR="00545D1B" w:rsidRPr="00742A04">
        <w:t xml:space="preserve">. </w:t>
      </w:r>
      <w:r w:rsidR="009D5D64" w:rsidRPr="00742A04">
        <w:t>Esta vez estab</w:t>
      </w:r>
      <w:r w:rsidR="00E73E8E" w:rsidRPr="00742A04">
        <w:t>an</w:t>
      </w:r>
      <w:r w:rsidR="00545D1B" w:rsidRPr="00742A04">
        <w:t xml:space="preserve"> concentra</w:t>
      </w:r>
      <w:r w:rsidR="009D5D64" w:rsidRPr="00742A04">
        <w:t>das en los tema</w:t>
      </w:r>
      <w:r w:rsidR="00545D1B" w:rsidRPr="00742A04">
        <w:t xml:space="preserve">s </w:t>
      </w:r>
      <w:r w:rsidR="004A0730" w:rsidRPr="00742A04">
        <w:t>de</w:t>
      </w:r>
      <w:r w:rsidR="00545D1B" w:rsidRPr="00742A04">
        <w:t xml:space="preserve"> </w:t>
      </w:r>
      <w:r w:rsidR="009D5D64" w:rsidRPr="00742A04">
        <w:t xml:space="preserve">la </w:t>
      </w:r>
      <w:r w:rsidR="00502E16" w:rsidRPr="00742A04">
        <w:t>asistencia</w:t>
      </w:r>
      <w:r w:rsidR="009D5D64" w:rsidRPr="00742A04">
        <w:t xml:space="preserve"> de crisis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, </w:t>
      </w:r>
      <w:r w:rsidR="009D5D64" w:rsidRPr="00742A04">
        <w:t>la elevación d</w:t>
      </w:r>
      <w:r w:rsidR="00B31D97" w:rsidRPr="00742A04">
        <w:t>el nivel de conciencia</w:t>
      </w:r>
      <w:r w:rsidR="00545D1B" w:rsidRPr="00742A04">
        <w:t xml:space="preserve">, </w:t>
      </w:r>
      <w:r w:rsidR="009D5D64" w:rsidRPr="00742A04">
        <w:t>el perfeccion</w:t>
      </w:r>
      <w:r w:rsidR="00B31D97" w:rsidRPr="00742A04">
        <w:t>a</w:t>
      </w:r>
      <w:r w:rsidR="00545D1B" w:rsidRPr="00742A04">
        <w:t>m</w:t>
      </w:r>
      <w:r w:rsidR="009D5D64" w:rsidRPr="00742A04">
        <w:t>i</w:t>
      </w:r>
      <w:r w:rsidR="00545D1B" w:rsidRPr="00742A04">
        <w:t>ent</w:t>
      </w:r>
      <w:r w:rsidR="009D5D64" w:rsidRPr="00742A04">
        <w:t>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D5D64" w:rsidRPr="00742A04">
        <w:t xml:space="preserve">la </w:t>
      </w:r>
      <w:r w:rsidR="00894371" w:rsidRPr="00742A04">
        <w:t>compete</w:t>
      </w:r>
      <w:r w:rsidR="00894371" w:rsidRPr="00742A04">
        <w:t>n</w:t>
      </w:r>
      <w:r w:rsidR="00894371">
        <w:t>cia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D5D64" w:rsidRPr="00742A04">
        <w:t xml:space="preserve">las </w:t>
      </w:r>
      <w:r w:rsidR="00545D1B" w:rsidRPr="00742A04">
        <w:t>regla</w:t>
      </w:r>
      <w:r w:rsidR="009D5D64" w:rsidRPr="00742A04">
        <w:t>menta</w:t>
      </w:r>
      <w:r w:rsidR="008907B8" w:rsidRPr="00742A04">
        <w:t>ciones</w:t>
      </w:r>
      <w:r w:rsidR="00545D1B" w:rsidRPr="00742A04">
        <w:t xml:space="preserve">. </w:t>
      </w:r>
      <w:r w:rsidR="009D5D64" w:rsidRPr="00742A04">
        <w:t>Hacia mediados de 2004 se había logrado mucho</w:t>
      </w:r>
      <w:r w:rsidR="00545D1B" w:rsidRPr="00742A04">
        <w:t xml:space="preserve">. </w:t>
      </w:r>
      <w:r w:rsidR="00F05119" w:rsidRPr="00742A04">
        <w:t>El t</w:t>
      </w:r>
      <w:r w:rsidR="00F05119" w:rsidRPr="00742A04">
        <w:t>e</w:t>
      </w:r>
      <w:r w:rsidR="00F05119" w:rsidRPr="00742A04">
        <w:t>ma</w:t>
      </w:r>
      <w:r w:rsidR="00C07ED9" w:rsidRPr="00742A04">
        <w:t xml:space="preserve"> del </w:t>
      </w:r>
      <w:r w:rsidR="00CA313E" w:rsidRPr="00742A04">
        <w:t>matrimonio forzado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9D5D64" w:rsidRPr="00742A04">
        <w:t>objeto de examen</w:t>
      </w:r>
      <w:r w:rsidR="003E30FC">
        <w:t>,</w:t>
      </w:r>
      <w:r w:rsidR="00545D1B" w:rsidRPr="00742A04">
        <w:t xml:space="preserve"> </w:t>
      </w:r>
      <w:r w:rsidR="00837D84" w:rsidRPr="00742A04">
        <w:t>la competencia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9108A" w:rsidRPr="00742A04">
        <w:t xml:space="preserve">la </w:t>
      </w:r>
      <w:r w:rsidR="000248A9" w:rsidRPr="00742A04">
        <w:t>administr</w:t>
      </w:r>
      <w:r w:rsidR="0079108A" w:rsidRPr="00742A04">
        <w:t>a</w:t>
      </w:r>
      <w:r w:rsidR="0079108A" w:rsidRPr="00742A04">
        <w:t>ción</w:t>
      </w:r>
      <w:r w:rsidR="00C14BFF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B31D97" w:rsidRPr="00742A04">
        <w:t>los servicios de apoyo</w:t>
      </w:r>
      <w:r w:rsidR="00545D1B" w:rsidRPr="00742A04">
        <w:t xml:space="preserve"> ha </w:t>
      </w:r>
      <w:r w:rsidR="00B31D97" w:rsidRPr="00742A04">
        <w:t>mejora</w:t>
      </w:r>
      <w:r w:rsidR="009D5D64" w:rsidRPr="00742A04">
        <w:t>do</w:t>
      </w:r>
      <w:r w:rsidR="00545D1B" w:rsidRPr="00742A04">
        <w:t xml:space="preserve"> </w:t>
      </w:r>
      <w:r w:rsidR="005D2D07" w:rsidRPr="00742A04">
        <w:t>significativamente</w:t>
      </w:r>
      <w:r w:rsidR="00545D1B" w:rsidRPr="00742A04">
        <w:t xml:space="preserve">, </w:t>
      </w:r>
      <w:r w:rsidR="00877AA0" w:rsidRPr="00742A04">
        <w:t>y</w:t>
      </w:r>
      <w:r w:rsidR="009D5D64" w:rsidRPr="00742A04">
        <w:t xml:space="preserve"> hay</w:t>
      </w:r>
      <w:r w:rsidR="00545D1B" w:rsidRPr="00742A04">
        <w:t xml:space="preserve"> </w:t>
      </w:r>
      <w:r w:rsidR="009D5D64" w:rsidRPr="00742A04">
        <w:t>bueno</w:t>
      </w:r>
      <w:r w:rsidR="005C19C7" w:rsidRPr="00742A04">
        <w:t>s</w:t>
      </w:r>
      <w:r w:rsidR="009D5D64" w:rsidRPr="00742A04">
        <w:t xml:space="preserve"> serv</w:t>
      </w:r>
      <w:r w:rsidR="009D5D64" w:rsidRPr="00742A04">
        <w:t>i</w:t>
      </w:r>
      <w:r w:rsidR="009D5D64" w:rsidRPr="00742A04">
        <w:t>cios de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. </w:t>
      </w:r>
      <w:r w:rsidR="00F43124" w:rsidRPr="00742A04">
        <w:t>Algunas de las</w:t>
      </w:r>
      <w:r w:rsidR="00545D1B" w:rsidRPr="00742A04">
        <w:t xml:space="preserve"> </w:t>
      </w:r>
      <w:r w:rsidR="009D5D64" w:rsidRPr="00742A04">
        <w:t>principales</w:t>
      </w:r>
      <w:r w:rsidR="00545D1B" w:rsidRPr="00742A04">
        <w:t xml:space="preserve"> </w:t>
      </w:r>
      <w:r w:rsidR="00AE7B93" w:rsidRPr="00742A04">
        <w:t>organizaciones no g</w:t>
      </w:r>
      <w:r w:rsidR="00AE7B93" w:rsidRPr="00742A04">
        <w:t>u</w:t>
      </w:r>
      <w:r w:rsidR="00AE7B93" w:rsidRPr="00742A04">
        <w:t>bernamentales</w:t>
      </w:r>
      <w:r w:rsidR="00545D1B" w:rsidRPr="00742A04">
        <w:t xml:space="preserve"> ha</w:t>
      </w:r>
      <w:r w:rsidR="009D5D64" w:rsidRPr="00742A04">
        <w:t>n desempeñado un activo</w:t>
      </w:r>
      <w:r w:rsidR="00545D1B" w:rsidRPr="00742A04">
        <w:t xml:space="preserve"> </w:t>
      </w:r>
      <w:r w:rsidR="009D5D64" w:rsidRPr="00742A04">
        <w:t>pape</w:t>
      </w:r>
      <w:r w:rsidR="006B65CD" w:rsidRPr="00742A04">
        <w:t>l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F43124" w:rsidRPr="00742A04">
        <w:t>esos</w:t>
      </w:r>
      <w:r w:rsidR="00502E16" w:rsidRPr="00742A04">
        <w:t xml:space="preserve"> esfue</w:t>
      </w:r>
      <w:r w:rsidR="00502E16" w:rsidRPr="00742A04">
        <w:t>r</w:t>
      </w:r>
      <w:r w:rsidR="00502E16" w:rsidRPr="00742A04">
        <w:t>zos</w:t>
      </w:r>
      <w:r w:rsidR="00545D1B" w:rsidRPr="00742A04">
        <w:t>.</w:t>
      </w:r>
    </w:p>
    <w:p w:rsidR="00545D1B" w:rsidRPr="00742A04" w:rsidRDefault="008B63DF" w:rsidP="002C4922">
      <w:pPr>
        <w:pStyle w:val="SingleTxt"/>
        <w:rPr>
          <w:i/>
        </w:rPr>
      </w:pPr>
      <w:r w:rsidRPr="00742A04">
        <w:rPr>
          <w:i/>
        </w:rPr>
        <w:t>Enmiendas legislativas</w:t>
      </w:r>
    </w:p>
    <w:p w:rsidR="00545D1B" w:rsidRPr="00742A04" w:rsidRDefault="009D5D64" w:rsidP="00466626">
      <w:pPr>
        <w:pStyle w:val="SingleTxt"/>
        <w:ind w:firstLine="475"/>
      </w:pPr>
      <w:r w:rsidRPr="00742A04">
        <w:t>H</w:t>
      </w:r>
      <w:r w:rsidR="006D7D2F" w:rsidRPr="00742A04">
        <w:t>a sido</w:t>
      </w:r>
      <w:r w:rsidR="00545D1B" w:rsidRPr="00742A04">
        <w:t xml:space="preserve"> </w:t>
      </w:r>
      <w:r w:rsidR="00417824" w:rsidRPr="00742A04">
        <w:t>necesario</w:t>
      </w:r>
      <w:r w:rsidR="00545D1B" w:rsidRPr="00742A04">
        <w:t xml:space="preserve"> </w:t>
      </w:r>
      <w:r w:rsidRPr="00742A04">
        <w:t>promulgar</w:t>
      </w:r>
      <w:r w:rsidR="00545D1B" w:rsidRPr="00742A04">
        <w:t xml:space="preserve"> </w:t>
      </w:r>
      <w:r w:rsidRPr="00742A04">
        <w:t>varia</w:t>
      </w:r>
      <w:r w:rsidR="004D313C" w:rsidRPr="00742A04">
        <w:t>s</w:t>
      </w:r>
      <w:r w:rsidR="00545D1B" w:rsidRPr="00742A04">
        <w:t xml:space="preserve"> </w:t>
      </w:r>
      <w:r w:rsidR="00AF398C" w:rsidRPr="00742A04">
        <w:t>enmiendas legislativas</w:t>
      </w:r>
      <w:r w:rsidR="00545D1B" w:rsidRPr="00742A04">
        <w:t xml:space="preserve"> </w:t>
      </w:r>
      <w:r w:rsidRPr="00742A04">
        <w:t>a fin</w:t>
      </w:r>
      <w:r w:rsidR="00545D1B" w:rsidRPr="00742A04">
        <w:t xml:space="preserve"> </w:t>
      </w:r>
      <w:r w:rsidR="007C341F" w:rsidRPr="00742A04">
        <w:t>de lucha</w:t>
      </w:r>
      <w:r w:rsidRPr="00742A04">
        <w:t>r</w:t>
      </w:r>
      <w:r w:rsidR="007C341F" w:rsidRPr="00742A04">
        <w:t xml:space="preserve"> </w:t>
      </w:r>
      <w:r w:rsidR="00834309" w:rsidRPr="00742A04">
        <w:t>c</w:t>
      </w:r>
      <w:r w:rsidR="00834309" w:rsidRPr="00742A04">
        <w:t>o</w:t>
      </w:r>
      <w:r w:rsidR="00834309" w:rsidRPr="00742A04">
        <w:t>n</w:t>
      </w:r>
      <w:r w:rsidRPr="00742A04">
        <w:softHyphen/>
      </w:r>
      <w:r w:rsidR="00834309" w:rsidRPr="00742A04">
        <w:t>tra los matrimonios forzados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2003,</w:t>
      </w:r>
      <w:r w:rsidR="00B05988" w:rsidRPr="00742A04">
        <w:t xml:space="preserve"> </w:t>
      </w:r>
      <w:r w:rsidRPr="00742A04">
        <w:t>se añadió</w:t>
      </w:r>
      <w:r w:rsidR="00E575DB" w:rsidRPr="00742A04">
        <w:t xml:space="preserve"> al </w:t>
      </w:r>
      <w:r w:rsidR="00831F07" w:rsidRPr="00742A04">
        <w:t xml:space="preserve">artículo </w:t>
      </w:r>
      <w:r w:rsidR="00545D1B" w:rsidRPr="00742A04">
        <w:t xml:space="preserve">222 </w:t>
      </w:r>
      <w:r w:rsidR="008A38B9" w:rsidRPr="00742A04">
        <w:t>del Código Penal</w:t>
      </w:r>
      <w:r w:rsidRPr="00742A04">
        <w:t xml:space="preserve"> un nuevo párrafo segundo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Pr="00742A04">
        <w:t>establece la</w:t>
      </w:r>
      <w:r w:rsidR="00545D1B" w:rsidRPr="00742A04">
        <w:t xml:space="preserve"> prohibi</w:t>
      </w:r>
      <w:r w:rsidR="00C14BFF" w:rsidRPr="00742A04">
        <w:t xml:space="preserve">ción </w:t>
      </w:r>
      <w:r w:rsidRPr="00742A04">
        <w:t>de</w:t>
      </w:r>
      <w:r w:rsidR="00545D1B" w:rsidRPr="00742A04">
        <w:t xml:space="preserve"> for</w:t>
      </w:r>
      <w:r w:rsidRPr="00742A04">
        <w:t xml:space="preserve">zar a </w:t>
      </w:r>
      <w:r w:rsidR="008E5EBF" w:rsidRPr="00742A04">
        <w:t xml:space="preserve">una persona </w:t>
      </w:r>
      <w:r w:rsidR="0030626A" w:rsidRPr="00742A04">
        <w:t>a</w:t>
      </w:r>
      <w:r w:rsidR="00545D1B" w:rsidRPr="00742A04">
        <w:t xml:space="preserve"> </w:t>
      </w:r>
      <w:r w:rsidRPr="00742A04">
        <w:t>contraer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. </w:t>
      </w:r>
      <w:r w:rsidRPr="00742A04">
        <w:t>La pena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Pr="00742A04">
        <w:t>los casos de</w:t>
      </w:r>
      <w:r w:rsidR="00CA313E" w:rsidRPr="00742A04">
        <w:t xml:space="preserve"> matrimonio forzado</w:t>
      </w:r>
      <w:r w:rsidR="00545D1B" w:rsidRPr="00742A04">
        <w:t xml:space="preserve"> </w:t>
      </w:r>
      <w:r w:rsidR="00BB4DB1" w:rsidRPr="00742A04">
        <w:t>es</w:t>
      </w:r>
      <w:r w:rsidRPr="00742A04">
        <w:t xml:space="preserve"> de</w:t>
      </w:r>
      <w:r w:rsidR="00545D1B" w:rsidRPr="00742A04">
        <w:t xml:space="preserve"> </w:t>
      </w:r>
      <w:r w:rsidR="00B92550" w:rsidRPr="00742A04">
        <w:t>prisión</w:t>
      </w:r>
      <w:r w:rsidR="00545D1B" w:rsidRPr="00742A04">
        <w:t xml:space="preserve"> </w:t>
      </w:r>
      <w:r w:rsidR="00CC4794" w:rsidRPr="00742A04">
        <w:t>hasta</w:t>
      </w:r>
      <w:r w:rsidRPr="00742A04">
        <w:t xml:space="preserve"> un máximo de</w:t>
      </w:r>
      <w:r w:rsidR="00CC4794" w:rsidRPr="00742A04">
        <w:t xml:space="preserve"> </w:t>
      </w:r>
      <w:r w:rsidR="00A8580D" w:rsidRPr="00742A04">
        <w:t>seis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3C25BF" w:rsidRPr="00742A04">
        <w:t>la misma</w:t>
      </w:r>
      <w:r w:rsidR="00545D1B" w:rsidRPr="00742A04">
        <w:t xml:space="preserve"> </w:t>
      </w:r>
      <w:r w:rsidRPr="00742A04">
        <w:t>pena</w:t>
      </w:r>
      <w:r w:rsidR="00545D1B" w:rsidRPr="00742A04">
        <w:t xml:space="preserve"> </w:t>
      </w:r>
      <w:r w:rsidR="008E5EBF" w:rsidRPr="00742A04">
        <w:t>se aplica</w:t>
      </w:r>
      <w:r w:rsidR="00E575DB" w:rsidRPr="00742A04">
        <w:t xml:space="preserve"> a</w:t>
      </w:r>
      <w:r w:rsidRPr="00742A04">
        <w:t xml:space="preserve"> </w:t>
      </w:r>
      <w:r w:rsidR="00E575DB" w:rsidRPr="00742A04">
        <w:t>l</w:t>
      </w:r>
      <w:r w:rsidRPr="00742A04">
        <w:t>os cómplices</w:t>
      </w:r>
      <w:r w:rsidR="00545D1B" w:rsidRPr="00742A04">
        <w:t xml:space="preserve">. </w:t>
      </w:r>
      <w:r w:rsidRPr="00742A04">
        <w:t>D</w:t>
      </w:r>
      <w:r w:rsidR="0020526A" w:rsidRPr="00742A04">
        <w:t xml:space="preserve">ebe </w:t>
      </w:r>
      <w:r w:rsidRPr="00742A04">
        <w:t>s</w:t>
      </w:r>
      <w:r w:rsidRPr="00742A04">
        <w:t>e</w:t>
      </w:r>
      <w:r w:rsidRPr="00742A04">
        <w:t>ñalarse que</w:t>
      </w:r>
      <w:r w:rsidR="00545D1B" w:rsidRPr="00742A04">
        <w:t xml:space="preserve"> </w:t>
      </w:r>
      <w:r w:rsidR="00CA313E" w:rsidRPr="00742A04">
        <w:t>el matrimonio forzado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EE16A2" w:rsidRPr="00742A04">
        <w:t>un delito penal</w:t>
      </w:r>
      <w:r w:rsidR="00545D1B" w:rsidRPr="00742A04">
        <w:t xml:space="preserve"> </w:t>
      </w:r>
      <w:r w:rsidRPr="00742A04">
        <w:t>con arreglo a</w:t>
      </w:r>
      <w:r w:rsidR="00BD47D3" w:rsidRPr="00742A04">
        <w:t>l derecho de N</w:t>
      </w:r>
      <w:r w:rsidR="00BD47D3" w:rsidRPr="00742A04">
        <w:t>o</w:t>
      </w:r>
      <w:r w:rsidR="00BD47D3" w:rsidRPr="00742A04">
        <w:t>ruega</w:t>
      </w:r>
      <w:r w:rsidR="00545D1B" w:rsidRPr="00742A04">
        <w:t xml:space="preserve"> </w:t>
      </w:r>
      <w:r w:rsidR="00A826CB" w:rsidRPr="00742A04">
        <w:t>antes de</w:t>
      </w:r>
      <w:r w:rsidR="00545D1B" w:rsidRPr="00742A04">
        <w:t xml:space="preserve"> </w:t>
      </w:r>
      <w:r w:rsidRPr="00742A04">
        <w:t>la</w:t>
      </w:r>
      <w:r w:rsidR="00545D1B" w:rsidRPr="00742A04">
        <w:t xml:space="preserve"> adop</w:t>
      </w:r>
      <w:r w:rsidRPr="00742A04">
        <w:t>ción</w:t>
      </w:r>
      <w:r w:rsidR="00893DBB" w:rsidRPr="00742A04">
        <w:t xml:space="preserve"> del </w:t>
      </w:r>
      <w:r w:rsidR="003D75F0" w:rsidRPr="00742A04">
        <w:t>segundo</w:t>
      </w:r>
      <w:r w:rsidR="00545D1B" w:rsidRPr="00742A04">
        <w:t xml:space="preserve"> </w:t>
      </w:r>
      <w:r w:rsidR="000B1D12" w:rsidRPr="00742A04">
        <w:t>párrafo</w:t>
      </w:r>
      <w:r w:rsidR="004F2F8A" w:rsidRPr="00742A04">
        <w:t xml:space="preserve"> del </w:t>
      </w:r>
      <w:r w:rsidR="00831F07" w:rsidRPr="00742A04">
        <w:t xml:space="preserve">artículo </w:t>
      </w:r>
      <w:r w:rsidR="00545D1B" w:rsidRPr="00742A04">
        <w:t xml:space="preserve">222 </w:t>
      </w:r>
      <w:r w:rsidR="008A38B9" w:rsidRPr="00742A04">
        <w:t>del Código Penal</w:t>
      </w:r>
      <w:r w:rsidR="00545D1B" w:rsidRPr="00742A04">
        <w:t xml:space="preserve">, </w:t>
      </w:r>
      <w:r w:rsidRPr="00742A04">
        <w:t>en calidad de</w:t>
      </w:r>
      <w:r w:rsidR="00545D1B" w:rsidRPr="00742A04">
        <w:t xml:space="preserve"> coerc</w:t>
      </w:r>
      <w:r w:rsidR="005E6919" w:rsidRPr="00742A04">
        <w:t xml:space="preserve">ión </w:t>
      </w:r>
      <w:r w:rsidRPr="00742A04">
        <w:t xml:space="preserve">ordinaria </w:t>
      </w:r>
      <w:r w:rsidR="00BD47D3" w:rsidRPr="00742A04">
        <w:t>en virtud de</w:t>
      </w:r>
      <w:r w:rsidRPr="00742A04">
        <w:t>l</w:t>
      </w:r>
      <w:r w:rsidR="00545D1B" w:rsidRPr="00742A04">
        <w:t xml:space="preserve"> </w:t>
      </w:r>
      <w:r w:rsidR="004B1620" w:rsidRPr="00742A04">
        <w:rPr>
          <w:i/>
        </w:rPr>
        <w:t>primer</w:t>
      </w:r>
      <w:r w:rsidR="004F2F8A" w:rsidRPr="00742A04">
        <w:t xml:space="preserve"> </w:t>
      </w:r>
      <w:r w:rsidRPr="00742A04">
        <w:t xml:space="preserve">párrafo </w:t>
      </w:r>
      <w:r w:rsidR="004F2F8A" w:rsidRPr="00742A04">
        <w:t xml:space="preserve">del </w:t>
      </w:r>
      <w:r w:rsidR="00831F07" w:rsidRPr="00742A04">
        <w:t xml:space="preserve">artículo </w:t>
      </w:r>
      <w:r w:rsidR="00545D1B" w:rsidRPr="00742A04">
        <w:t xml:space="preserve">222. </w:t>
      </w:r>
      <w:r w:rsidRPr="00742A04">
        <w:t>Ta</w:t>
      </w:r>
      <w:r w:rsidRPr="00742A04">
        <w:t>m</w:t>
      </w:r>
      <w:r w:rsidRPr="00742A04">
        <w:t>bién se han enmendado l</w:t>
      </w:r>
      <w:r w:rsidR="00130F7F" w:rsidRPr="00742A04">
        <w:t>as normas</w:t>
      </w:r>
      <w:r w:rsidR="00545D1B" w:rsidRPr="00742A04">
        <w:t xml:space="preserve"> </w:t>
      </w:r>
      <w:r w:rsidRPr="00742A04">
        <w:t>sobre la acción penal</w:t>
      </w:r>
      <w:r w:rsidR="00C14BFF" w:rsidRPr="00742A04">
        <w:t xml:space="preserve"> </w:t>
      </w:r>
      <w:r w:rsidRPr="00742A04">
        <w:t xml:space="preserve">que figuran </w:t>
      </w:r>
      <w:r w:rsidR="00C14BFF" w:rsidRPr="00742A04">
        <w:t>en</w:t>
      </w:r>
      <w:r w:rsidR="00545D1B" w:rsidRPr="00742A04">
        <w:t xml:space="preserve"> </w:t>
      </w:r>
      <w:r w:rsidR="007A3217" w:rsidRPr="00742A04">
        <w:t>dicho</w:t>
      </w:r>
      <w:r w:rsidR="00831F07" w:rsidRPr="00742A04">
        <w:t xml:space="preserve"> art</w:t>
      </w:r>
      <w:r w:rsidR="00831F07" w:rsidRPr="00742A04">
        <w:t>í</w:t>
      </w:r>
      <w:r w:rsidR="00831F07" w:rsidRPr="00742A04">
        <w:t>cu</w:t>
      </w:r>
      <w:r w:rsidR="007A3217" w:rsidRPr="00742A04">
        <w:t>lo</w:t>
      </w:r>
      <w:r w:rsidR="00545D1B" w:rsidRPr="00742A04">
        <w:t xml:space="preserve"> 222 </w:t>
      </w:r>
      <w:r w:rsidR="007A3217" w:rsidRPr="00742A04">
        <w:t>del Código Penal, así como</w:t>
      </w:r>
      <w:r w:rsidR="00545D1B" w:rsidRPr="00742A04">
        <w:t xml:space="preserve"> </w:t>
      </w:r>
      <w:r w:rsidR="007A3217" w:rsidRPr="00742A04">
        <w:t xml:space="preserve">en el artículo </w:t>
      </w:r>
      <w:r w:rsidR="00545D1B" w:rsidRPr="00742A04">
        <w:t xml:space="preserve">227 </w:t>
      </w:r>
      <w:r w:rsidR="007A3217" w:rsidRPr="00742A04">
        <w:t>(relativo a las amenazas)</w:t>
      </w:r>
      <w:r w:rsidRPr="00742A04">
        <w:t>,</w:t>
      </w:r>
      <w:r w:rsidR="00545D1B" w:rsidRPr="00742A04">
        <w:t xml:space="preserve"> </w:t>
      </w:r>
      <w:r w:rsidRPr="00742A04">
        <w:t>d</w:t>
      </w:r>
      <w:r w:rsidRPr="00742A04">
        <w:t>e</w:t>
      </w:r>
      <w:r w:rsidRPr="00742A04">
        <w:t>terminando que la acción</w:t>
      </w:r>
      <w:r w:rsidR="00545D1B" w:rsidRPr="00742A04">
        <w:t xml:space="preserve"> </w:t>
      </w:r>
      <w:r w:rsidR="00657260" w:rsidRPr="00742A04">
        <w:t>públic</w:t>
      </w:r>
      <w:r w:rsidRPr="00742A04">
        <w:t>a sea i</w:t>
      </w:r>
      <w:r w:rsidR="00545D1B" w:rsidRPr="00742A04">
        <w:t>ncondi</w:t>
      </w:r>
      <w:r w:rsidRPr="00742A04">
        <w:t>c</w:t>
      </w:r>
      <w:r w:rsidR="00545D1B" w:rsidRPr="00742A04">
        <w:t xml:space="preserve">ional </w:t>
      </w:r>
      <w:r w:rsidR="00C14BFF" w:rsidRPr="00742A04">
        <w:t>en</w:t>
      </w:r>
      <w:r w:rsidR="00545D1B" w:rsidRPr="00742A04">
        <w:t xml:space="preserve"> </w:t>
      </w:r>
      <w:r w:rsidR="00502E16" w:rsidRPr="00742A04">
        <w:t>tal</w:t>
      </w:r>
      <w:r w:rsidRPr="00742A04">
        <w:t>es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2005</w:t>
      </w:r>
      <w:r w:rsidRPr="00742A04">
        <w:t xml:space="preserve"> se co</w:t>
      </w:r>
      <w:r w:rsidRPr="00742A04">
        <w:t>n</w:t>
      </w:r>
      <w:r w:rsidRPr="00742A04">
        <w:t>denó</w:t>
      </w:r>
      <w:r w:rsidR="00545D1B" w:rsidRPr="00742A04">
        <w:t xml:space="preserve"> a </w:t>
      </w:r>
      <w:r w:rsidRPr="00742A04">
        <w:t xml:space="preserve">un </w:t>
      </w:r>
      <w:r w:rsidR="00D238A4" w:rsidRPr="00742A04">
        <w:t>padre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Pr="00742A04">
        <w:t>un hermano</w:t>
      </w:r>
      <w:r w:rsidR="00545D1B" w:rsidRPr="00742A04">
        <w:t xml:space="preserve"> </w:t>
      </w:r>
      <w:r w:rsidRPr="00742A04">
        <w:t>por</w:t>
      </w:r>
      <w:r w:rsidR="00545D1B" w:rsidRPr="00742A04">
        <w:t xml:space="preserve"> contraven</w:t>
      </w:r>
      <w:r w:rsidR="00C14BFF" w:rsidRPr="00742A04">
        <w:t>ción</w:t>
      </w:r>
      <w:r w:rsidR="004F2F8A" w:rsidRPr="00742A04">
        <w:t xml:space="preserve"> del </w:t>
      </w:r>
      <w:r w:rsidR="00A8580D" w:rsidRPr="00742A04">
        <w:t xml:space="preserve">segundo párrafo del </w:t>
      </w:r>
      <w:r w:rsidR="00831F07" w:rsidRPr="00742A04">
        <w:t xml:space="preserve">artículo </w:t>
      </w:r>
      <w:r w:rsidR="00545D1B" w:rsidRPr="00742A04">
        <w:t xml:space="preserve">222, </w:t>
      </w:r>
      <w:r w:rsidR="00A8580D" w:rsidRPr="00742A04">
        <w:t>por haber</w:t>
      </w:r>
      <w:r w:rsidR="00545D1B" w:rsidRPr="00742A04">
        <w:t xml:space="preserve"> for</w:t>
      </w:r>
      <w:r w:rsidR="00A8580D" w:rsidRPr="00742A04">
        <w:t>za</w:t>
      </w:r>
      <w:r w:rsidR="00545D1B" w:rsidRPr="00742A04">
        <w:t>d</w:t>
      </w:r>
      <w:r w:rsidR="00A8580D" w:rsidRPr="00742A04">
        <w:t>o</w:t>
      </w:r>
      <w:r w:rsidR="00545D1B" w:rsidRPr="00742A04">
        <w:t xml:space="preserve"> </w:t>
      </w:r>
      <w:r w:rsidR="00A8580D" w:rsidRPr="00742A04">
        <w:t xml:space="preserve">a </w:t>
      </w:r>
      <w:r w:rsidR="00F97F41" w:rsidRPr="00742A04">
        <w:t>su</w:t>
      </w:r>
      <w:r w:rsidR="00545D1B" w:rsidRPr="00742A04">
        <w:t xml:space="preserve"> </w:t>
      </w:r>
      <w:r w:rsidR="00A8580D" w:rsidRPr="00742A04">
        <w:t>hija y hermana, respectivamente,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contraer</w:t>
      </w:r>
      <w:r w:rsidR="00545D1B" w:rsidRPr="00742A04">
        <w:t xml:space="preserve"> a </w:t>
      </w:r>
      <w:r w:rsidR="00EA1805" w:rsidRPr="00742A04">
        <w:t>matrim</w:t>
      </w:r>
      <w:r w:rsidR="00EA1805" w:rsidRPr="00742A04">
        <w:t>o</w:t>
      </w:r>
      <w:r w:rsidR="00EA1805" w:rsidRPr="00742A04">
        <w:t>nio</w:t>
      </w:r>
      <w:r w:rsidR="00545D1B" w:rsidRPr="00742A04">
        <w:t xml:space="preserve">. </w:t>
      </w:r>
      <w:r w:rsidR="008A7280" w:rsidRPr="00742A04">
        <w:t xml:space="preserve">El </w:t>
      </w:r>
      <w:r w:rsidR="008F7F9D" w:rsidRPr="00742A04">
        <w:t>Tribunal de Apelación</w:t>
      </w:r>
      <w:r w:rsidR="00545D1B" w:rsidRPr="00742A04">
        <w:t xml:space="preserve"> </w:t>
      </w:r>
      <w:r w:rsidR="00A8580D" w:rsidRPr="00742A04">
        <w:t>fijó</w:t>
      </w:r>
      <w:r w:rsidR="00545D1B" w:rsidRPr="00742A04">
        <w:t xml:space="preserve"> </w:t>
      </w:r>
      <w:r w:rsidR="00B92550" w:rsidRPr="00742A04">
        <w:t>la pena</w:t>
      </w:r>
      <w:r w:rsidR="00545D1B" w:rsidRPr="00742A04">
        <w:t xml:space="preserve"> </w:t>
      </w:r>
      <w:r w:rsidR="00A8580D" w:rsidRPr="00742A04">
        <w:t xml:space="preserve">de prisión </w:t>
      </w:r>
      <w:r w:rsidR="00F43124" w:rsidRPr="00742A04">
        <w:t>para</w:t>
      </w:r>
      <w:r w:rsidR="00545D1B" w:rsidRPr="00742A04">
        <w:t xml:space="preserve"> </w:t>
      </w:r>
      <w:r w:rsidR="007B45F5" w:rsidRPr="00742A04">
        <w:t>el padre</w:t>
      </w:r>
      <w:r w:rsidR="00545D1B" w:rsidRPr="00742A04">
        <w:t xml:space="preserve"> </w:t>
      </w:r>
      <w:r w:rsidR="00A8580D" w:rsidRPr="00742A04">
        <w:t>en un</w:t>
      </w:r>
      <w:r w:rsidR="00545D1B" w:rsidRPr="00742A04">
        <w:t xml:space="preserve"> </w:t>
      </w:r>
      <w:r w:rsidR="004D313C" w:rsidRPr="00742A04">
        <w:t>año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8580D" w:rsidRPr="00742A04">
        <w:t>nueve</w:t>
      </w:r>
      <w:r w:rsidR="00545D1B" w:rsidRPr="00742A04">
        <w:t xml:space="preserve"> </w:t>
      </w:r>
      <w:r w:rsidR="00AD5494" w:rsidRPr="00742A04">
        <w:t>meses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8580D" w:rsidRPr="00742A04">
        <w:t>el hermano en un</w:t>
      </w:r>
      <w:r w:rsidR="00545D1B" w:rsidRPr="00742A04">
        <w:t xml:space="preserve"> </w:t>
      </w:r>
      <w:r w:rsidR="004D313C" w:rsidRPr="00742A04">
        <w:t>año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8580D" w:rsidRPr="00742A04">
        <w:t>cinco</w:t>
      </w:r>
      <w:r w:rsidR="00545D1B" w:rsidRPr="00742A04">
        <w:t xml:space="preserve"> </w:t>
      </w:r>
      <w:r w:rsidR="00AD5494" w:rsidRPr="00742A04">
        <w:t>meses</w:t>
      </w:r>
      <w:r w:rsidR="00545D1B" w:rsidRPr="00742A04">
        <w:t xml:space="preserve">. </w:t>
      </w:r>
      <w:r w:rsidR="000A5430" w:rsidRPr="00742A04">
        <w:t>El caso</w:t>
      </w:r>
      <w:r w:rsidR="00545D1B" w:rsidRPr="00742A04">
        <w:t xml:space="preserve"> </w:t>
      </w:r>
      <w:r w:rsidR="001139B2" w:rsidRPr="00742A04">
        <w:t>fue apelad</w:t>
      </w:r>
      <w:r w:rsidR="00A8580D" w:rsidRPr="00742A04">
        <w:t>o ante la</w:t>
      </w:r>
      <w:r w:rsidR="001E30D6" w:rsidRPr="00742A04">
        <w:t xml:space="preserve"> </w:t>
      </w:r>
      <w:r w:rsidR="000A1286" w:rsidRPr="00742A04">
        <w:t>S</w:t>
      </w:r>
      <w:r w:rsidR="000A1286" w:rsidRPr="00742A04">
        <w:t>u</w:t>
      </w:r>
      <w:r w:rsidR="000A1286" w:rsidRPr="00742A04">
        <w:t>prema Corte</w:t>
      </w:r>
      <w:r w:rsidR="00545D1B" w:rsidRPr="00742A04">
        <w:t xml:space="preserve">, </w:t>
      </w:r>
      <w:r w:rsidR="00E575DB" w:rsidRPr="00742A04">
        <w:t>que</w:t>
      </w:r>
      <w:r w:rsidR="00545D1B" w:rsidRPr="00742A04">
        <w:t xml:space="preserve"> </w:t>
      </w:r>
      <w:r w:rsidR="00AC1BF5" w:rsidRPr="00742A04">
        <w:t>incremen</w:t>
      </w:r>
      <w:r w:rsidR="00A8580D" w:rsidRPr="00742A04">
        <w:t>tó las</w:t>
      </w:r>
      <w:r w:rsidR="00545D1B" w:rsidRPr="00742A04">
        <w:t xml:space="preserve"> </w:t>
      </w:r>
      <w:r w:rsidR="000F0ACC" w:rsidRPr="00742A04">
        <w:t>penas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8580D" w:rsidRPr="00742A04">
        <w:t>dos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="00877AA0" w:rsidRPr="00742A04">
        <w:t>y</w:t>
      </w:r>
      <w:r w:rsidR="00A8580D" w:rsidRPr="00742A04">
        <w:t xml:space="preserve"> seis</w:t>
      </w:r>
      <w:r w:rsidR="00545D1B" w:rsidRPr="00742A04">
        <w:t xml:space="preserve"> </w:t>
      </w:r>
      <w:r w:rsidR="00AD5494" w:rsidRPr="00742A04">
        <w:t>meses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7B45F5" w:rsidRPr="00742A04">
        <w:t>el padre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8580D" w:rsidRPr="00742A04">
        <w:t>dos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8580D" w:rsidRPr="00742A04">
        <w:t>el hermano</w:t>
      </w:r>
      <w:r w:rsidR="00545D1B" w:rsidRPr="00742A04">
        <w:t xml:space="preserve">. </w:t>
      </w:r>
      <w:r w:rsidR="00A8580D" w:rsidRPr="00742A04">
        <w:t xml:space="preserve">Asimismo se ha introducido una </w:t>
      </w:r>
      <w:r w:rsidR="00CD2FF0" w:rsidRPr="00742A04">
        <w:t>enmienda</w:t>
      </w:r>
      <w:r w:rsidR="00545D1B" w:rsidRPr="00742A04">
        <w:t xml:space="preserve"> </w:t>
      </w:r>
      <w:r w:rsidR="00A8580D" w:rsidRPr="00742A04">
        <w:t>en e</w:t>
      </w:r>
      <w:r w:rsidR="00E575DB" w:rsidRPr="00742A04">
        <w:t xml:space="preserve">l </w:t>
      </w:r>
      <w:r w:rsidR="00831F07" w:rsidRPr="00742A04">
        <w:t xml:space="preserve">artículo </w:t>
      </w:r>
      <w:r w:rsidR="00545D1B" w:rsidRPr="00742A04">
        <w:t xml:space="preserve">220 </w:t>
      </w:r>
      <w:r w:rsidR="008A38B9" w:rsidRPr="00742A04">
        <w:t>del Código Penal</w:t>
      </w:r>
      <w:r w:rsidR="00545D1B" w:rsidRPr="00742A04">
        <w:t xml:space="preserve">, </w:t>
      </w:r>
      <w:r w:rsidR="00A8580D" w:rsidRPr="00742A04">
        <w:t>tipificando como</w:t>
      </w:r>
      <w:r w:rsidR="00EE16A2" w:rsidRPr="00742A04">
        <w:t xml:space="preserve"> delito penal</w:t>
      </w:r>
      <w:r w:rsidR="00A8580D" w:rsidRPr="00742A04">
        <w:t xml:space="preserve"> el hecho de</w:t>
      </w:r>
      <w:r w:rsidR="00545D1B" w:rsidRPr="00742A04">
        <w:t xml:space="preserve"> </w:t>
      </w:r>
      <w:r w:rsidRPr="00742A04">
        <w:t>contraer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8E5EBF" w:rsidRPr="00742A04">
        <w:t xml:space="preserve">una persona </w:t>
      </w:r>
      <w:r w:rsidR="00A8580D" w:rsidRPr="00742A04">
        <w:t>menor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16</w:t>
      </w:r>
      <w:r w:rsidR="00A8580D" w:rsidRPr="00742A04">
        <w:t xml:space="preserve"> años</w:t>
      </w:r>
      <w:r w:rsidR="00545D1B" w:rsidRPr="00742A04">
        <w:t xml:space="preserve">. </w:t>
      </w:r>
      <w:r w:rsidRPr="00742A04">
        <w:t>La pena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8580D" w:rsidRPr="00742A04">
        <w:t xml:space="preserve">la </w:t>
      </w:r>
      <w:r w:rsidR="00545D1B" w:rsidRPr="00742A04">
        <w:t>contraven</w:t>
      </w:r>
      <w:r w:rsidR="00C14BFF" w:rsidRPr="00742A04">
        <w:t>ción</w:t>
      </w:r>
      <w:r w:rsidR="004F2F8A" w:rsidRPr="00742A04">
        <w:t xml:space="preserve"> del </w:t>
      </w:r>
      <w:r w:rsidR="00831F07" w:rsidRPr="00742A04">
        <w:t xml:space="preserve">artículo </w:t>
      </w:r>
      <w:r w:rsidR="00545D1B" w:rsidRPr="00742A04">
        <w:t xml:space="preserve">220 </w:t>
      </w:r>
      <w:r w:rsidR="008A38B9" w:rsidRPr="00742A04">
        <w:t>del Código Penal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A8580D" w:rsidRPr="00742A04">
        <w:t xml:space="preserve">de </w:t>
      </w:r>
      <w:r w:rsidR="00B92550" w:rsidRPr="00742A04">
        <w:t>prisión</w:t>
      </w:r>
      <w:r w:rsidR="00545D1B" w:rsidRPr="00742A04">
        <w:t xml:space="preserve"> </w:t>
      </w:r>
      <w:r w:rsidR="00F43124" w:rsidRPr="00742A04">
        <w:t>p</w:t>
      </w:r>
      <w:r w:rsidR="00A8580D" w:rsidRPr="00742A04">
        <w:t>or un máximo de cuatro</w:t>
      </w:r>
      <w:r w:rsidR="00545D1B" w:rsidRPr="00742A04">
        <w:t xml:space="preserve"> </w:t>
      </w:r>
      <w:r w:rsidR="004D313C" w:rsidRPr="00742A04">
        <w:t>años</w:t>
      </w:r>
      <w:r w:rsidR="00545D1B" w:rsidRPr="00742A04">
        <w:t xml:space="preserve">. </w:t>
      </w:r>
      <w:r w:rsidR="005E603B" w:rsidRPr="00742A04">
        <w:t>Con arreglo al artíc</w:t>
      </w:r>
      <w:r w:rsidR="005E603B" w:rsidRPr="00742A04">
        <w:t>u</w:t>
      </w:r>
      <w:r w:rsidR="005E603B" w:rsidRPr="00742A04">
        <w:t xml:space="preserve">lo </w:t>
      </w:r>
      <w:r w:rsidR="00545D1B" w:rsidRPr="00742A04">
        <w:t>1</w:t>
      </w:r>
      <w:r w:rsidR="00A47430" w:rsidRPr="00742A04">
        <w:t>°</w:t>
      </w:r>
      <w:r w:rsidR="00545D1B" w:rsidRPr="00742A04">
        <w:t xml:space="preserve"> </w:t>
      </w:r>
      <w:r w:rsidR="00F43124" w:rsidRPr="00742A04">
        <w:t xml:space="preserve">de la </w:t>
      </w:r>
      <w:r w:rsidR="00963214" w:rsidRPr="00742A04">
        <w:t xml:space="preserve">Ley </w:t>
      </w:r>
      <w:r w:rsidR="008B63DF" w:rsidRPr="00742A04">
        <w:t>sobre el Matrimonio</w:t>
      </w:r>
      <w:r w:rsidR="00A47430" w:rsidRPr="00742A04">
        <w:t>,</w:t>
      </w:r>
      <w:r w:rsidR="00545D1B" w:rsidRPr="00742A04">
        <w:t xml:space="preserve"> </w:t>
      </w:r>
      <w:r w:rsidR="003E30FC" w:rsidRPr="00742A04">
        <w:t xml:space="preserve">N° 47, </w:t>
      </w:r>
      <w:r w:rsidR="004A0730" w:rsidRPr="00742A04">
        <w:t>de</w:t>
      </w:r>
      <w:r w:rsidR="00834309" w:rsidRPr="00742A04">
        <w:t xml:space="preserve"> 1° de julio</w:t>
      </w:r>
      <w:r w:rsidR="00545D1B" w:rsidRPr="00742A04">
        <w:t xml:space="preserve"> 1991</w:t>
      </w:r>
      <w:r w:rsidR="00A47430" w:rsidRPr="00742A04">
        <w:t>,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DA461E" w:rsidRPr="00742A04">
        <w:t>l</w:t>
      </w:r>
      <w:r w:rsidR="00A47430" w:rsidRPr="00742A04">
        <w:t>os requis</w:t>
      </w:r>
      <w:r w:rsidR="00A47430" w:rsidRPr="00742A04">
        <w:t>i</w:t>
      </w:r>
      <w:r w:rsidR="00A47430" w:rsidRPr="00742A04">
        <w:t>tos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A47430" w:rsidRPr="00742A04">
        <w:t>contraer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0C68A8" w:rsidRPr="00742A04">
        <w:t xml:space="preserve">que la </w:t>
      </w:r>
      <w:r w:rsidR="00D3378F" w:rsidRPr="00742A04">
        <w:t xml:space="preserve">persona </w:t>
      </w:r>
      <w:r w:rsidR="00A47430" w:rsidRPr="00742A04">
        <w:t>de que se trata</w:t>
      </w:r>
      <w:r w:rsidR="00545D1B" w:rsidRPr="00742A04">
        <w:t xml:space="preserve"> ha</w:t>
      </w:r>
      <w:r w:rsidR="00A47430" w:rsidRPr="00742A04">
        <w:t>ya cumplido 18 años 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. </w:t>
      </w:r>
      <w:r w:rsidR="00A47430" w:rsidRPr="00742A04">
        <w:t>Sin embargo, e</w:t>
      </w:r>
      <w:r w:rsidR="008A7280" w:rsidRPr="00742A04">
        <w:t xml:space="preserve">l </w:t>
      </w:r>
      <w:r w:rsidR="001B4F21" w:rsidRPr="00742A04">
        <w:t>gobernador de condado</w:t>
      </w:r>
      <w:r w:rsidR="00545D1B" w:rsidRPr="00742A04">
        <w:t xml:space="preserve"> </w:t>
      </w:r>
      <w:r w:rsidR="00A47430" w:rsidRPr="00742A04">
        <w:t>puede otorgar un</w:t>
      </w:r>
      <w:r w:rsidR="00545D1B" w:rsidRPr="00742A04">
        <w:t>a dispens</w:t>
      </w:r>
      <w:r w:rsidR="00545D1B" w:rsidRPr="00742A04">
        <w:t>a</w:t>
      </w:r>
      <w:r w:rsidR="00C14BFF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A47430" w:rsidRPr="00742A04">
        <w:t>esa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 </w:t>
      </w:r>
      <w:r w:rsidR="00A47430" w:rsidRPr="00742A04">
        <w:t>mínima por motivos</w:t>
      </w:r>
      <w:r w:rsidR="00545D1B" w:rsidRPr="00742A04">
        <w:t xml:space="preserve"> extraordinar</w:t>
      </w:r>
      <w:r w:rsidR="00A47430" w:rsidRPr="00742A04">
        <w:t>io</w:t>
      </w:r>
      <w:r w:rsidR="00545D1B" w:rsidRPr="00742A04">
        <w:t>s.</w:t>
      </w:r>
    </w:p>
    <w:p w:rsidR="000A08D8" w:rsidRPr="00742A04" w:rsidRDefault="00CC70FB" w:rsidP="00466626">
      <w:pPr>
        <w:pStyle w:val="SingleTxt"/>
        <w:ind w:firstLine="475"/>
      </w:pPr>
      <w:r w:rsidRPr="00742A04">
        <w:t>Una</w:t>
      </w:r>
      <w:r w:rsidR="00545D1B" w:rsidRPr="00742A04">
        <w:t xml:space="preserve"> </w:t>
      </w:r>
      <w:r w:rsidR="007C65B3" w:rsidRPr="00742A04">
        <w:t>nueva</w:t>
      </w:r>
      <w:r w:rsidR="00545D1B" w:rsidRPr="00742A04">
        <w:t xml:space="preserve"> </w:t>
      </w:r>
      <w:r w:rsidR="002E2883" w:rsidRPr="00742A04">
        <w:t>disposición</w:t>
      </w:r>
      <w:r w:rsidR="005E6919" w:rsidRPr="00742A04">
        <w:t xml:space="preserve"> </w:t>
      </w:r>
      <w:r w:rsidR="004D313C" w:rsidRPr="00742A04">
        <w:t>contenida en el artículo</w:t>
      </w:r>
      <w:r w:rsidR="00C14BFF" w:rsidRPr="00742A04">
        <w:t xml:space="preserve"> </w:t>
      </w:r>
      <w:smartTag w:uri="urn:schemas-microsoft-com:office:smarttags" w:element="metricconverter">
        <w:smartTagPr>
          <w:attr w:name="ProductID" w:val="30 a"/>
        </w:smartTagPr>
        <w:r w:rsidR="00545D1B" w:rsidRPr="00742A04">
          <w:t xml:space="preserve">30 </w:t>
        </w:r>
        <w:r w:rsidR="00545D1B" w:rsidRPr="00742A04">
          <w:rPr>
            <w:i/>
          </w:rPr>
          <w:t>a</w:t>
        </w:r>
      </w:smartTag>
      <w:r w:rsidR="00545D1B" w:rsidRPr="00742A04">
        <w:t xml:space="preserve"> </w:t>
      </w:r>
      <w:r w:rsidR="00F43124" w:rsidRPr="00742A04">
        <w:t xml:space="preserve">de la </w:t>
      </w:r>
      <w:r w:rsidR="00AD0883" w:rsidRPr="00742A04">
        <w:t>Ley sobre la Infancia</w:t>
      </w:r>
      <w:r w:rsidR="00545D1B" w:rsidRPr="00742A04">
        <w:t xml:space="preserve"> </w:t>
      </w:r>
      <w:r w:rsidRPr="00742A04">
        <w:t>aclara</w:t>
      </w:r>
      <w:r w:rsidR="00545D1B" w:rsidRPr="00742A04">
        <w:t xml:space="preserve"> </w:t>
      </w:r>
      <w:r w:rsidR="00C42BED" w:rsidRPr="00742A04">
        <w:t xml:space="preserve">que los </w:t>
      </w:r>
      <w:r w:rsidR="0063079C" w:rsidRPr="00742A04">
        <w:t>padres y madres</w:t>
      </w:r>
      <w:r w:rsidR="00545D1B" w:rsidRPr="00742A04">
        <w:t xml:space="preserve"> </w:t>
      </w:r>
      <w:r w:rsidR="00980475" w:rsidRPr="00742A04">
        <w:t>u otras</w:t>
      </w:r>
      <w:r w:rsidRPr="00742A04">
        <w:t xml:space="preserve"> persona</w:t>
      </w:r>
      <w:r w:rsidR="00545D1B" w:rsidRPr="00742A04">
        <w:t xml:space="preserve">s </w:t>
      </w:r>
      <w:r w:rsidR="00154FBB" w:rsidRPr="00742A04">
        <w:t>no pueden</w:t>
      </w:r>
      <w:r w:rsidR="00545D1B" w:rsidRPr="00742A04">
        <w:t xml:space="preserve"> </w:t>
      </w:r>
      <w:r w:rsidR="009D5D64" w:rsidRPr="00742A04">
        <w:t>c</w:t>
      </w:r>
      <w:r w:rsidRPr="00742A04">
        <w:t>elebrar un acuerd</w:t>
      </w:r>
      <w:r w:rsidR="009D5D64" w:rsidRPr="00742A04">
        <w:t>o</w:t>
      </w:r>
      <w:r w:rsidRPr="00742A04">
        <w:t xml:space="preserve"> </w:t>
      </w:r>
      <w:r w:rsidR="00EA1805" w:rsidRPr="00742A04">
        <w:t>m</w:t>
      </w:r>
      <w:r w:rsidR="00EA1805" w:rsidRPr="00742A04">
        <w:t>a</w:t>
      </w:r>
      <w:r w:rsidR="00EA1805" w:rsidRPr="00742A04">
        <w:t>trimoni</w:t>
      </w:r>
      <w:r w:rsidRPr="00742A04">
        <w:t>al válido en nombre de un niño</w:t>
      </w:r>
      <w:r w:rsidR="00545D1B" w:rsidRPr="00742A04">
        <w:t xml:space="preserve">. </w:t>
      </w:r>
      <w:r w:rsidR="000B41AF" w:rsidRPr="00742A04">
        <w:t>La Ley</w:t>
      </w:r>
      <w:r w:rsidR="008B63DF" w:rsidRPr="00742A04">
        <w:t xml:space="preserve"> sobre el Matrimonio</w:t>
      </w:r>
      <w:r w:rsidR="00545D1B" w:rsidRPr="00742A04">
        <w:t xml:space="preserve"> </w:t>
      </w:r>
      <w:r w:rsidR="00756C0D" w:rsidRPr="00742A04">
        <w:t>también ha</w:t>
      </w:r>
      <w:r w:rsidRPr="00742A04">
        <w:t xml:space="preserve"> sido</w:t>
      </w:r>
      <w:r w:rsidR="00545D1B" w:rsidRPr="00742A04">
        <w:t xml:space="preserve"> </w:t>
      </w:r>
      <w:r w:rsidRPr="00742A04">
        <w:t>en</w:t>
      </w:r>
      <w:r w:rsidR="00545D1B" w:rsidRPr="00742A04">
        <w:t>men</w:t>
      </w:r>
      <w:r w:rsidRPr="00742A04">
        <w:t>da</w:t>
      </w:r>
      <w:r w:rsidR="00545D1B" w:rsidRPr="00742A04">
        <w:t>d</w:t>
      </w:r>
      <w:r w:rsidRPr="00742A04">
        <w:t>a</w:t>
      </w:r>
      <w:r w:rsidR="00545D1B" w:rsidRPr="00742A04">
        <w:t xml:space="preserve">. </w:t>
      </w:r>
      <w:r w:rsidR="00491694" w:rsidRPr="00742A04">
        <w:t xml:space="preserve">Desde </w:t>
      </w:r>
      <w:r w:rsidR="00B34971" w:rsidRPr="00742A04">
        <w:t>e</w:t>
      </w:r>
      <w:r w:rsidRPr="00742A04">
        <w:t>l</w:t>
      </w:r>
      <w:r w:rsidR="00545D1B" w:rsidRPr="00742A04">
        <w:t xml:space="preserve"> 1</w:t>
      </w:r>
      <w:r w:rsidR="00491694" w:rsidRPr="00742A04">
        <w:t>°</w:t>
      </w:r>
      <w:r w:rsidR="00545D1B" w:rsidRPr="00742A04">
        <w:t xml:space="preserve"> </w:t>
      </w:r>
      <w:r w:rsidR="00EA776F" w:rsidRPr="00742A04">
        <w:t>de marzo de</w:t>
      </w:r>
      <w:r w:rsidR="00545D1B" w:rsidRPr="00742A04">
        <w:t xml:space="preserve"> 2004 </w:t>
      </w:r>
      <w:r w:rsidR="008A7280" w:rsidRPr="00742A04">
        <w:t xml:space="preserve">el </w:t>
      </w:r>
      <w:r w:rsidR="001B4F21" w:rsidRPr="00742A04">
        <w:t>gobernador de condado</w:t>
      </w:r>
      <w:r w:rsidR="00545D1B" w:rsidRPr="00742A04">
        <w:t xml:space="preserve"> </w:t>
      </w:r>
      <w:r w:rsidR="00491694" w:rsidRPr="00742A04">
        <w:t>tiene</w:t>
      </w:r>
      <w:r w:rsidR="00545D1B" w:rsidRPr="00742A04">
        <w:t xml:space="preserve"> </w:t>
      </w:r>
      <w:r w:rsidR="00FC59C5" w:rsidRPr="00742A04">
        <w:t>comp</w:t>
      </w:r>
      <w:r w:rsidR="00FC59C5" w:rsidRPr="00742A04">
        <w:t>e</w:t>
      </w:r>
      <w:r w:rsidR="00FC59C5" w:rsidRPr="00742A04">
        <w:t>tencia</w:t>
      </w:r>
      <w:r w:rsidR="00545D1B" w:rsidRPr="00742A04">
        <w:t xml:space="preserve"> </w:t>
      </w:r>
      <w:r w:rsidR="00491694" w:rsidRPr="00742A04">
        <w:t>para entablar una</w:t>
      </w:r>
      <w:r w:rsidR="00545D1B" w:rsidRPr="00742A04">
        <w:t xml:space="preserve"> ac</w:t>
      </w:r>
      <w:r w:rsidR="00C14BFF" w:rsidRPr="00742A04">
        <w:t xml:space="preserve">ción </w:t>
      </w:r>
      <w:r w:rsidR="00491694" w:rsidRPr="00742A04">
        <w:t>a fin de que se determine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491694" w:rsidRPr="00742A04">
        <w:t>un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491694" w:rsidRPr="00742A04">
        <w:t>es</w:t>
      </w:r>
      <w:r w:rsidR="00545D1B" w:rsidRPr="00742A04">
        <w:t xml:space="preserve"> v</w:t>
      </w:r>
      <w:r w:rsidR="00491694" w:rsidRPr="00742A04">
        <w:t>á</w:t>
      </w:r>
      <w:r w:rsidR="00545D1B" w:rsidRPr="00742A04">
        <w:t>lid</w:t>
      </w:r>
      <w:r w:rsidR="00491694" w:rsidRPr="00742A04">
        <w:t>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5206AC" w:rsidRPr="00742A04">
        <w:t>no</w:t>
      </w:r>
      <w:r w:rsidR="00545D1B" w:rsidRPr="00742A04">
        <w:t>.</w:t>
      </w:r>
      <w:r w:rsidR="00491694" w:rsidRPr="00742A04">
        <w:t xml:space="preserve"> Esta</w:t>
      </w:r>
      <w:r w:rsidR="00545D1B" w:rsidRPr="00742A04">
        <w:t xml:space="preserve"> </w:t>
      </w:r>
      <w:r w:rsidR="002E2883" w:rsidRPr="00742A04">
        <w:t>disposición</w:t>
      </w:r>
      <w:r w:rsidR="005E6919" w:rsidRPr="00742A04">
        <w:t xml:space="preserve"> </w:t>
      </w:r>
      <w:r w:rsidR="00491694" w:rsidRPr="00742A04">
        <w:t>puede utilizarse</w:t>
      </w:r>
      <w:r w:rsidR="00545D1B" w:rsidRPr="00742A04">
        <w:t xml:space="preserve">, </w:t>
      </w:r>
      <w:r w:rsidR="00232DF9" w:rsidRPr="00742A04">
        <w:t>entre otras cosas</w:t>
      </w:r>
      <w:r w:rsidR="00545D1B" w:rsidRPr="00742A04">
        <w:t xml:space="preserve">, </w:t>
      </w:r>
      <w:r w:rsidR="00491694" w:rsidRPr="00742A04">
        <w:t xml:space="preserve">para entablar una </w:t>
      </w:r>
      <w:r w:rsidR="00545D1B" w:rsidRPr="00742A04">
        <w:t>ac</w:t>
      </w:r>
      <w:r w:rsidR="00C14BFF" w:rsidRPr="00742A04">
        <w:t xml:space="preserve">ción </w:t>
      </w:r>
      <w:r w:rsidR="003C25BF" w:rsidRPr="00742A04">
        <w:t>cuando</w:t>
      </w:r>
      <w:r w:rsidR="00545D1B" w:rsidRPr="00742A04">
        <w:t xml:space="preserve"> </w:t>
      </w:r>
      <w:r w:rsidR="00491694" w:rsidRPr="00742A04">
        <w:t>existe l</w:t>
      </w:r>
      <w:r w:rsidR="00545D1B" w:rsidRPr="00742A04">
        <w:t xml:space="preserve">a </w:t>
      </w:r>
      <w:r w:rsidR="001E30D6" w:rsidRPr="00742A04">
        <w:t>posi</w:t>
      </w:r>
      <w:r w:rsidR="00545D1B" w:rsidRPr="00742A04">
        <w:t>b</w:t>
      </w:r>
      <w:r w:rsidR="00502E16" w:rsidRPr="00742A04">
        <w:t>ilidad</w:t>
      </w:r>
      <w:r w:rsidR="00545D1B" w:rsidRPr="00742A04">
        <w:t xml:space="preserve"> </w:t>
      </w:r>
      <w:r w:rsidR="00491694" w:rsidRPr="00742A04">
        <w:t>de que se haya contraído un</w:t>
      </w:r>
      <w:r w:rsidR="00CA313E" w:rsidRPr="00742A04">
        <w:t xml:space="preserve"> matrimonio forzado</w:t>
      </w:r>
      <w:r w:rsidR="00545D1B" w:rsidRPr="00742A04">
        <w:t xml:space="preserve">. </w:t>
      </w:r>
      <w:r w:rsidR="00491694" w:rsidRPr="00742A04">
        <w:t>Ese</w:t>
      </w:r>
      <w:r w:rsidR="00545D1B" w:rsidRPr="00742A04">
        <w:t xml:space="preserve"> </w:t>
      </w:r>
      <w:r w:rsidR="00B83FEB" w:rsidRPr="00742A04">
        <w:t>derecho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ac</w:t>
      </w:r>
      <w:r w:rsidR="00C14BFF" w:rsidRPr="00742A04">
        <w:t xml:space="preserve">ción </w:t>
      </w:r>
      <w:r w:rsidR="00AE7B93" w:rsidRPr="00742A04">
        <w:t>hará</w:t>
      </w:r>
      <w:r w:rsidR="00545D1B" w:rsidRPr="00742A04">
        <w:t xml:space="preserve"> </w:t>
      </w:r>
      <w:r w:rsidR="00C27C42" w:rsidRPr="00742A04">
        <w:t>posible</w:t>
      </w:r>
      <w:r w:rsidR="00545D1B" w:rsidRPr="00742A04">
        <w:t xml:space="preserve"> </w:t>
      </w:r>
      <w:r w:rsidR="0030626A" w:rsidRPr="00742A04">
        <w:t>a</w:t>
      </w:r>
      <w:r w:rsidR="002357B0" w:rsidRPr="00742A04">
        <w:t>yudar a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2357B0" w:rsidRPr="00742A04">
        <w:t>de los contrayentes, o a ambos,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2357B0" w:rsidRPr="00742A04">
        <w:t>les resulta demasiado</w:t>
      </w:r>
      <w:r w:rsidR="00545D1B" w:rsidRPr="00742A04">
        <w:t xml:space="preserve"> </w:t>
      </w:r>
      <w:r w:rsidR="00F05119" w:rsidRPr="00742A04">
        <w:t>difícil</w:t>
      </w:r>
      <w:r w:rsidR="00545D1B" w:rsidRPr="00742A04">
        <w:t xml:space="preserve"> </w:t>
      </w:r>
      <w:r w:rsidR="002357B0" w:rsidRPr="00742A04">
        <w:t>entablar una</w:t>
      </w:r>
      <w:r w:rsidR="00545D1B" w:rsidRPr="00742A04">
        <w:t xml:space="preserve"> ac</w:t>
      </w:r>
      <w:r w:rsidR="00C14BFF" w:rsidRPr="00742A04">
        <w:t xml:space="preserve">ción </w:t>
      </w:r>
      <w:r w:rsidR="002357B0" w:rsidRPr="00742A04">
        <w:t>por sí mismos</w:t>
      </w:r>
      <w:r w:rsidR="00545D1B" w:rsidRPr="00742A04">
        <w:t xml:space="preserve">. </w:t>
      </w:r>
      <w:r w:rsidR="002357B0" w:rsidRPr="00742A04">
        <w:t>La r</w:t>
      </w:r>
      <w:r w:rsidR="008E5EBF" w:rsidRPr="00742A04">
        <w:t>esponsabilidad</w:t>
      </w:r>
      <w:r w:rsidR="00545D1B" w:rsidRPr="00742A04">
        <w:t xml:space="preserve"> </w:t>
      </w:r>
      <w:r w:rsidR="002357B0" w:rsidRPr="00742A04">
        <w:t>de</w:t>
      </w:r>
      <w:r w:rsidR="00545D1B" w:rsidRPr="00742A04">
        <w:t xml:space="preserve"> verif</w:t>
      </w:r>
      <w:r w:rsidR="002357B0" w:rsidRPr="00742A04">
        <w:t>icar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2357B0" w:rsidRPr="00742A04">
        <w:t>se han cumplido lo</w:t>
      </w:r>
      <w:r w:rsidR="00DA461E" w:rsidRPr="00742A04">
        <w:t xml:space="preserve">s </w:t>
      </w:r>
      <w:r w:rsidR="002357B0" w:rsidRPr="00742A04">
        <w:t>requisitos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357B0" w:rsidRPr="00742A04">
        <w:t xml:space="preserve">el </w:t>
      </w:r>
      <w:r w:rsidR="00EA1805" w:rsidRPr="00742A04">
        <w:t>matrimonio</w:t>
      </w:r>
      <w:r w:rsidR="00545D1B" w:rsidRPr="00742A04">
        <w:t xml:space="preserve"> </w:t>
      </w:r>
      <w:r w:rsidR="008E38BC" w:rsidRPr="00742A04">
        <w:t>se ha</w:t>
      </w:r>
      <w:r w:rsidR="00545D1B" w:rsidRPr="00742A04">
        <w:t xml:space="preserve"> transfer</w:t>
      </w:r>
      <w:r w:rsidR="002357B0" w:rsidRPr="00742A04">
        <w:t>ido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357B0" w:rsidRPr="00742A04">
        <w:t>un órgano</w:t>
      </w:r>
      <w:r w:rsidR="00545D1B" w:rsidRPr="00742A04">
        <w:t xml:space="preserve"> </w:t>
      </w:r>
      <w:r w:rsidR="00657260" w:rsidRPr="00742A04">
        <w:t>público</w:t>
      </w:r>
      <w:r w:rsidR="00545D1B" w:rsidRPr="00742A04">
        <w:t xml:space="preserve">, </w:t>
      </w:r>
      <w:r w:rsidR="008B63DF" w:rsidRPr="00742A04">
        <w:t>el Registro Civil</w:t>
      </w:r>
      <w:r w:rsidR="00545D1B" w:rsidRPr="00742A04">
        <w:t xml:space="preserve">, </w:t>
      </w:r>
      <w:r w:rsidR="000F0ACC" w:rsidRPr="00742A04">
        <w:t>a fin de</w:t>
      </w:r>
      <w:r w:rsidR="002357B0" w:rsidRPr="00742A04">
        <w:t xml:space="preserve"> a</w:t>
      </w:r>
      <w:r w:rsidR="00CF2F77" w:rsidRPr="00742A04">
        <w:t>segurar</w:t>
      </w:r>
      <w:r w:rsidR="00545D1B" w:rsidRPr="00742A04">
        <w:t xml:space="preserve"> </w:t>
      </w:r>
      <w:r w:rsidR="002357B0" w:rsidRPr="00742A04">
        <w:t xml:space="preserve">una consideración </w:t>
      </w:r>
      <w:r w:rsidR="00BA5ABE" w:rsidRPr="00742A04">
        <w:t>más</w:t>
      </w:r>
      <w:r w:rsidR="00545D1B" w:rsidRPr="00742A04">
        <w:t xml:space="preserve"> </w:t>
      </w:r>
      <w:r w:rsidR="002357B0" w:rsidRPr="00742A04">
        <w:t>completa e</w:t>
      </w:r>
      <w:r w:rsidR="00545D1B" w:rsidRPr="00742A04">
        <w:t xml:space="preserve"> </w:t>
      </w:r>
      <w:r w:rsidR="00581775" w:rsidRPr="00742A04">
        <w:t>igual</w:t>
      </w:r>
      <w:r w:rsidR="002357B0" w:rsidRPr="00742A04">
        <w:t>itaria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357B0" w:rsidRPr="00742A04">
        <w:t>estos</w:t>
      </w:r>
      <w:r w:rsidR="00545D1B" w:rsidRPr="00742A04">
        <w:t xml:space="preserve"> </w:t>
      </w:r>
      <w:r w:rsidR="008A2682" w:rsidRPr="00742A04">
        <w:t>casos</w:t>
      </w:r>
      <w:r w:rsidR="000A08D8" w:rsidRPr="00742A04">
        <w:t>.</w:t>
      </w:r>
    </w:p>
    <w:p w:rsidR="00545D1B" w:rsidRPr="00742A04" w:rsidRDefault="00232DF9" w:rsidP="00466626">
      <w:pPr>
        <w:pStyle w:val="SingleTxt"/>
        <w:ind w:firstLine="475"/>
      </w:pPr>
      <w:r w:rsidRPr="00742A04">
        <w:t>Si</w:t>
      </w:r>
      <w:r w:rsidR="00545D1B" w:rsidRPr="00742A04">
        <w:t xml:space="preserve"> </w:t>
      </w:r>
      <w:r w:rsidR="002357B0" w:rsidRPr="00742A04">
        <w:t>no se ha presentado un certificado vá</w:t>
      </w:r>
      <w:r w:rsidR="00545D1B" w:rsidRPr="00742A04">
        <w:t>lid</w:t>
      </w:r>
      <w:r w:rsidR="002357B0" w:rsidRPr="00742A04">
        <w:t>o de</w:t>
      </w:r>
      <w:r w:rsidR="00545D1B" w:rsidRPr="00742A04">
        <w:t xml:space="preserve"> verifica</w:t>
      </w:r>
      <w:r w:rsidR="00C14BFF" w:rsidRPr="00742A04">
        <w:t xml:space="preserve">ción </w:t>
      </w:r>
      <w:r w:rsidR="002357B0" w:rsidRPr="00742A04">
        <w:t xml:space="preserve">emanado </w:t>
      </w:r>
      <w:r w:rsidR="00C07ED9" w:rsidRPr="00742A04">
        <w:t xml:space="preserve">del </w:t>
      </w:r>
      <w:r w:rsidR="008B63DF" w:rsidRPr="00742A04">
        <w:t>R</w:t>
      </w:r>
      <w:r w:rsidR="008B63DF" w:rsidRPr="00742A04">
        <w:t>e</w:t>
      </w:r>
      <w:r w:rsidR="008B63DF" w:rsidRPr="00742A04">
        <w:t>gistro Civil</w:t>
      </w:r>
      <w:r w:rsidR="00545D1B" w:rsidRPr="00742A04">
        <w:t xml:space="preserve">, </w:t>
      </w:r>
      <w:r w:rsidR="002357B0" w:rsidRPr="00742A04">
        <w:t>el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2357B0" w:rsidRPr="00742A04">
        <w:t>será vá</w:t>
      </w:r>
      <w:r w:rsidR="00545D1B" w:rsidRPr="00742A04">
        <w:t>lid</w:t>
      </w:r>
      <w:r w:rsidR="002357B0" w:rsidRPr="00742A04">
        <w:t>o</w:t>
      </w:r>
      <w:r w:rsidR="00545D1B" w:rsidRPr="00742A04">
        <w:t>.</w:t>
      </w:r>
      <w:r w:rsidR="00B05988" w:rsidRPr="00742A04">
        <w:t xml:space="preserve"> </w:t>
      </w:r>
      <w:r w:rsidR="002357B0" w:rsidRPr="00742A04">
        <w:t>U</w:t>
      </w:r>
      <w:r w:rsidR="00B05988" w:rsidRPr="00742A04">
        <w:t>n</w:t>
      </w:r>
      <w:r w:rsidR="002357B0" w:rsidRPr="00742A04">
        <w:t>a nueva</w:t>
      </w:r>
      <w:r w:rsidR="00545D1B" w:rsidRPr="00742A04">
        <w:t xml:space="preserve"> </w:t>
      </w:r>
      <w:r w:rsidR="002E2883" w:rsidRPr="00742A04">
        <w:t>disposición</w:t>
      </w:r>
      <w:r w:rsidR="005E6919" w:rsidRPr="00742A04">
        <w:t xml:space="preserve"> </w:t>
      </w:r>
      <w:r w:rsidR="004D313C" w:rsidRPr="00742A04">
        <w:t>contenida en el a</w:t>
      </w:r>
      <w:r w:rsidR="004D313C" w:rsidRPr="00742A04">
        <w:t>r</w:t>
      </w:r>
      <w:r w:rsidR="004D313C" w:rsidRPr="00742A04">
        <w:t>tículo</w:t>
      </w:r>
      <w:r w:rsidR="00C14BFF" w:rsidRPr="00742A04">
        <w:t xml:space="preserve"> </w:t>
      </w:r>
      <w:smartTag w:uri="urn:schemas-microsoft-com:office:smarttags" w:element="metricconverter">
        <w:smartTagPr>
          <w:attr w:name="ProductID" w:val="1 a"/>
        </w:smartTagPr>
        <w:r w:rsidR="00545D1B" w:rsidRPr="00742A04">
          <w:t xml:space="preserve">1 </w:t>
        </w:r>
        <w:r w:rsidR="00545D1B" w:rsidRPr="00742A04">
          <w:rPr>
            <w:i/>
          </w:rPr>
          <w:t>a</w:t>
        </w:r>
      </w:smartTag>
      <w:r w:rsidR="00545D1B" w:rsidRPr="00742A04">
        <w:t xml:space="preserve"> </w:t>
      </w:r>
      <w:r w:rsidR="00F43124" w:rsidRPr="00742A04">
        <w:t xml:space="preserve">de la </w:t>
      </w:r>
      <w:r w:rsidR="00963214" w:rsidRPr="00742A04">
        <w:t xml:space="preserve">Ley </w:t>
      </w:r>
      <w:r w:rsidR="008B63DF" w:rsidRPr="00742A04">
        <w:t>sobre el Matrimonio</w:t>
      </w:r>
      <w:r w:rsidR="00545D1B" w:rsidRPr="00742A04">
        <w:t xml:space="preserve"> </w:t>
      </w:r>
      <w:r w:rsidR="002357B0" w:rsidRPr="00742A04">
        <w:t>estipula que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357B0" w:rsidRPr="00742A04">
        <w:t>lo</w:t>
      </w:r>
      <w:r w:rsidR="00DA461E" w:rsidRPr="00742A04">
        <w:t xml:space="preserve">s </w:t>
      </w:r>
      <w:r w:rsidR="002357B0" w:rsidRPr="00742A04">
        <w:t>requisitos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357B0" w:rsidRPr="00742A04">
        <w:t>co</w:t>
      </w:r>
      <w:r w:rsidR="002357B0" w:rsidRPr="00742A04">
        <w:t>n</w:t>
      </w:r>
      <w:r w:rsidR="002357B0" w:rsidRPr="00742A04">
        <w:t>traer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81178E" w:rsidRPr="00742A04">
        <w:t>es que</w:t>
      </w:r>
      <w:r w:rsidR="00545D1B" w:rsidRPr="00742A04">
        <w:t xml:space="preserve"> </w:t>
      </w:r>
      <w:r w:rsidR="002357B0" w:rsidRPr="00742A04">
        <w:t>ést</w:t>
      </w:r>
      <w:r w:rsidR="00BD47D3" w:rsidRPr="00742A04">
        <w:t>e</w:t>
      </w:r>
      <w:r w:rsidR="002357B0" w:rsidRPr="00742A04">
        <w:t xml:space="preserve"> </w:t>
      </w:r>
      <w:r w:rsidR="00BD47D3" w:rsidRPr="00742A04">
        <w:t>s</w:t>
      </w:r>
      <w:r w:rsidR="002357B0" w:rsidRPr="00742A04">
        <w:t>ea voluntario</w:t>
      </w:r>
      <w:r w:rsidR="00545D1B" w:rsidRPr="00742A04">
        <w:t xml:space="preserve">. </w:t>
      </w:r>
      <w:r w:rsidR="002357B0" w:rsidRPr="00742A04">
        <w:t>Esta</w:t>
      </w:r>
      <w:r w:rsidR="00545D1B" w:rsidRPr="00742A04">
        <w:t xml:space="preserve"> </w:t>
      </w:r>
      <w:r w:rsidR="00CD2FF0" w:rsidRPr="00742A04">
        <w:t>enmienda</w:t>
      </w:r>
      <w:r w:rsidR="00545D1B" w:rsidRPr="00742A04">
        <w:t xml:space="preserve"> </w:t>
      </w:r>
      <w:r w:rsidR="002357B0" w:rsidRPr="00742A04">
        <w:t>legislativa tiene la fin</w:t>
      </w:r>
      <w:r w:rsidR="002357B0" w:rsidRPr="00742A04">
        <w:t>a</w:t>
      </w:r>
      <w:r w:rsidR="002357B0" w:rsidRPr="00742A04">
        <w:t>lidad de</w:t>
      </w:r>
      <w:r w:rsidR="00545D1B" w:rsidRPr="00742A04">
        <w:t xml:space="preserve"> </w:t>
      </w:r>
      <w:r w:rsidR="00CE7870" w:rsidRPr="00742A04">
        <w:t>contribuir a</w:t>
      </w:r>
      <w:r w:rsidR="00545D1B" w:rsidRPr="00742A04">
        <w:t xml:space="preserve"> </w:t>
      </w:r>
      <w:r w:rsidR="002357B0" w:rsidRPr="00742A04">
        <w:t>a</w:t>
      </w:r>
      <w:r w:rsidR="00545D1B" w:rsidRPr="00742A04">
        <w:t>clar</w:t>
      </w:r>
      <w:r w:rsidR="002357B0" w:rsidRPr="00742A04">
        <w:t>ar</w:t>
      </w:r>
      <w:r w:rsidR="00545D1B" w:rsidRPr="00742A04">
        <w:t xml:space="preserve"> </w:t>
      </w:r>
      <w:r w:rsidR="002357B0" w:rsidRPr="00742A04">
        <w:t>la</w:t>
      </w:r>
      <w:r w:rsidR="00545D1B" w:rsidRPr="00742A04">
        <w:t xml:space="preserve"> </w:t>
      </w:r>
      <w:r w:rsidR="005F7B32" w:rsidRPr="00742A04">
        <w:t>actual</w:t>
      </w:r>
      <w:r w:rsidR="00545D1B" w:rsidRPr="00742A04">
        <w:t xml:space="preserve"> situa</w:t>
      </w:r>
      <w:r w:rsidR="00C14BFF" w:rsidRPr="00742A04">
        <w:t>ción</w:t>
      </w:r>
      <w:r w:rsidR="002357B0" w:rsidRPr="00742A04">
        <w:t xml:space="preserve"> jurídica con arreglo a la</w:t>
      </w:r>
      <w:r w:rsidR="00F43124" w:rsidRPr="00742A04">
        <w:t xml:space="preserve"> </w:t>
      </w:r>
      <w:r w:rsidR="00963214" w:rsidRPr="00742A04">
        <w:t xml:space="preserve">Ley </w:t>
      </w:r>
      <w:r w:rsidR="008B63DF" w:rsidRPr="00742A04">
        <w:t>s</w:t>
      </w:r>
      <w:r w:rsidR="008B63DF" w:rsidRPr="00742A04">
        <w:t>o</w:t>
      </w:r>
      <w:r w:rsidR="008B63DF" w:rsidRPr="00742A04">
        <w:t>bre el Matrimonio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357B0" w:rsidRPr="00742A04">
        <w:t>las obligaciones asumidas por</w:t>
      </w:r>
      <w:r w:rsidR="004B2748" w:rsidRPr="00742A04">
        <w:t xml:space="preserve"> Noruega</w:t>
      </w:r>
      <w:r w:rsidR="00545D1B" w:rsidRPr="00742A04">
        <w:t xml:space="preserve"> </w:t>
      </w:r>
      <w:r w:rsidR="00BD47D3" w:rsidRPr="00742A04">
        <w:t>en virtud de</w:t>
      </w:r>
      <w:r w:rsidR="002357B0" w:rsidRPr="00742A04">
        <w:t>l</w:t>
      </w:r>
      <w:r w:rsidR="00FF575F" w:rsidRPr="00742A04">
        <w:t xml:space="preserve"> artículo</w:t>
      </w:r>
      <w:r w:rsidR="00545D1B" w:rsidRPr="00742A04">
        <w:t xml:space="preserve"> 16 </w:t>
      </w:r>
      <w:r w:rsidR="00F43124" w:rsidRPr="00742A04">
        <w:t xml:space="preserve">de la </w:t>
      </w:r>
      <w:r w:rsidR="00CD2FF0" w:rsidRPr="00742A04">
        <w:t>Convención</w:t>
      </w:r>
      <w:r w:rsidR="00EA776F" w:rsidRPr="00742A04">
        <w:t xml:space="preserve"> de </w:t>
      </w:r>
      <w:r w:rsidR="00230F13" w:rsidRPr="00742A04">
        <w:t>las Naciones Unidas</w:t>
      </w:r>
      <w:r w:rsidR="00CE5FA4" w:rsidRPr="00742A04">
        <w:t xml:space="preserve"> sobre la eliminación de todas las formas de di</w:t>
      </w:r>
      <w:r w:rsidR="00CE5FA4" w:rsidRPr="00742A04">
        <w:t>s</w:t>
      </w:r>
      <w:r w:rsidR="00CE5FA4" w:rsidRPr="00742A04">
        <w:t>criminación contra la mujer</w:t>
      </w:r>
      <w:r w:rsidR="00545D1B" w:rsidRPr="00742A04">
        <w:t xml:space="preserve">. </w:t>
      </w:r>
      <w:r w:rsidR="002357B0" w:rsidRPr="00742A04">
        <w:t xml:space="preserve">Ello se ha aclarado </w:t>
      </w:r>
      <w:r w:rsidR="0030626A" w:rsidRPr="00742A04">
        <w:t>también</w:t>
      </w:r>
      <w:r w:rsidR="00545D1B" w:rsidRPr="00742A04">
        <w:t xml:space="preserve"> </w:t>
      </w:r>
      <w:r w:rsidR="004D313C" w:rsidRPr="00742A04">
        <w:t>en el artículo</w:t>
      </w:r>
      <w:r w:rsidR="00C14BFF" w:rsidRPr="00742A04">
        <w:t xml:space="preserve"> </w:t>
      </w:r>
      <w:r w:rsidR="00545D1B" w:rsidRPr="00742A04">
        <w:t xml:space="preserve">7 </w:t>
      </w:r>
      <w:r w:rsidR="00F43124" w:rsidRPr="00742A04">
        <w:t xml:space="preserve">de la </w:t>
      </w:r>
      <w:r w:rsidR="00963214" w:rsidRPr="00742A04">
        <w:t xml:space="preserve">Ley </w:t>
      </w:r>
      <w:r w:rsidR="008B63DF" w:rsidRPr="00742A04">
        <w:t>sobre el Matrimonio</w:t>
      </w:r>
      <w:r w:rsidR="00545D1B" w:rsidRPr="00742A04">
        <w:t xml:space="preserve">, </w:t>
      </w:r>
      <w:r w:rsidR="00056EF1" w:rsidRPr="00742A04">
        <w:t xml:space="preserve">en </w:t>
      </w:r>
      <w:r w:rsidR="002357B0" w:rsidRPr="00742A04">
        <w:t xml:space="preserve">el </w:t>
      </w:r>
      <w:r w:rsidR="00056EF1" w:rsidRPr="00742A04">
        <w:t>que</w:t>
      </w:r>
      <w:r w:rsidR="00B05988" w:rsidRPr="00742A04">
        <w:t xml:space="preserve"> un</w:t>
      </w:r>
      <w:r w:rsidR="002357B0" w:rsidRPr="00742A04">
        <w:t>a nueva</w:t>
      </w:r>
      <w:r w:rsidR="00545D1B" w:rsidRPr="00742A04">
        <w:t xml:space="preserve"> </w:t>
      </w:r>
      <w:r w:rsidR="002E2883" w:rsidRPr="00742A04">
        <w:t>disposición</w:t>
      </w:r>
      <w:r w:rsidR="005E6919" w:rsidRPr="00742A04">
        <w:t xml:space="preserve"> </w:t>
      </w:r>
      <w:r w:rsidR="00E73E8E" w:rsidRPr="00742A04">
        <w:t>prescribe</w:t>
      </w:r>
      <w:r w:rsidR="00545D1B" w:rsidRPr="00742A04">
        <w:t xml:space="preserve">, </w:t>
      </w:r>
      <w:r w:rsidRPr="00742A04">
        <w:t>entre otras cosas</w:t>
      </w:r>
      <w:r w:rsidR="00545D1B" w:rsidRPr="00742A04">
        <w:t xml:space="preserve">, </w:t>
      </w:r>
      <w:r w:rsidR="002357B0" w:rsidRPr="00742A04">
        <w:t>que los contrayentes</w:t>
      </w:r>
      <w:r w:rsidR="00545D1B" w:rsidRPr="00742A04">
        <w:t xml:space="preserve"> </w:t>
      </w:r>
      <w:r w:rsidR="007D4688" w:rsidRPr="00742A04">
        <w:t>debe</w:t>
      </w:r>
      <w:r w:rsidR="002357B0" w:rsidRPr="00742A04">
        <w:t>n declarar que el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2357B0" w:rsidRPr="00742A04">
        <w:t>se celebra por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</w:t>
      </w:r>
      <w:r w:rsidR="007C65B3" w:rsidRPr="00742A04">
        <w:t>propi</w:t>
      </w:r>
      <w:r w:rsidR="002357B0" w:rsidRPr="00742A04">
        <w:t>a y l</w:t>
      </w:r>
      <w:r w:rsidR="002357B0" w:rsidRPr="00742A04">
        <w:t>i</w:t>
      </w:r>
      <w:r w:rsidR="002357B0" w:rsidRPr="00742A04">
        <w:t>bre voluntad</w:t>
      </w:r>
      <w:r w:rsidR="00545D1B" w:rsidRPr="00742A04">
        <w:t xml:space="preserve">. </w:t>
      </w:r>
      <w:r w:rsidR="002357B0" w:rsidRPr="00742A04">
        <w:t>Una</w:t>
      </w:r>
      <w:r w:rsidR="00545D1B" w:rsidRPr="00742A04">
        <w:t xml:space="preserve"> </w:t>
      </w:r>
      <w:r w:rsidR="00CD2FF0" w:rsidRPr="00742A04">
        <w:t>enmienda</w:t>
      </w:r>
      <w:r w:rsidR="002357B0" w:rsidRPr="00742A04">
        <w:t xml:space="preserve"> a l</w:t>
      </w:r>
      <w:r w:rsidR="001E30D6" w:rsidRPr="00742A04">
        <w:t xml:space="preserve">a </w:t>
      </w:r>
      <w:r w:rsidR="008B63DF" w:rsidRPr="00742A04">
        <w:t>Ley de Inmigración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6 </w:t>
      </w:r>
      <w:r w:rsidR="004A0730" w:rsidRPr="00742A04">
        <w:t>enero de</w:t>
      </w:r>
      <w:r w:rsidR="00545D1B" w:rsidRPr="00742A04">
        <w:t xml:space="preserve"> 2006 </w:t>
      </w:r>
      <w:r w:rsidR="002357B0" w:rsidRPr="00742A04">
        <w:t>estipula que se podrá denegar un</w:t>
      </w:r>
      <w:r w:rsidR="00545D1B" w:rsidRPr="00742A04">
        <w:t xml:space="preserve"> </w:t>
      </w:r>
      <w:r w:rsidR="005C19C7" w:rsidRPr="00742A04">
        <w:t>permiso</w:t>
      </w:r>
      <w:r w:rsidR="00545D1B" w:rsidRPr="00742A04">
        <w:t xml:space="preserve"> </w:t>
      </w:r>
      <w:r w:rsidR="002357B0" w:rsidRPr="00742A04">
        <w:t xml:space="preserve">de residencia </w:t>
      </w:r>
      <w:r w:rsidRPr="00742A04">
        <w:t>si</w:t>
      </w:r>
      <w:r w:rsidR="00545D1B" w:rsidRPr="00742A04">
        <w:t xml:space="preserve"> </w:t>
      </w:r>
      <w:r w:rsidR="002357B0" w:rsidRPr="00742A04">
        <w:t xml:space="preserve">la </w:t>
      </w:r>
      <w:r w:rsidR="00CB4CDB" w:rsidRPr="00742A04">
        <w:t>persona</w:t>
      </w:r>
      <w:r w:rsidR="002357B0" w:rsidRPr="00742A04">
        <w:t xml:space="preserve"> de referencia</w:t>
      </w:r>
      <w:r w:rsidR="00545D1B" w:rsidRPr="00742A04">
        <w:t xml:space="preserve">, </w:t>
      </w:r>
      <w:r w:rsidR="003E4840" w:rsidRPr="00742A04">
        <w:t>después de</w:t>
      </w:r>
      <w:r w:rsidR="00545D1B" w:rsidRPr="00742A04">
        <w:t xml:space="preserve"> </w:t>
      </w:r>
      <w:r w:rsidR="002357B0" w:rsidRPr="00742A04">
        <w:t>ser interrogada</w:t>
      </w:r>
      <w:r w:rsidR="00545D1B" w:rsidRPr="00742A04">
        <w:t xml:space="preserve">, </w:t>
      </w:r>
      <w:r w:rsidR="00673B5D" w:rsidRPr="00742A04">
        <w:t xml:space="preserve">no </w:t>
      </w:r>
      <w:r w:rsidR="00545D1B" w:rsidRPr="00742A04">
        <w:t>cons</w:t>
      </w:r>
      <w:r w:rsidR="002357B0" w:rsidRPr="00742A04">
        <w:t>i</w:t>
      </w:r>
      <w:r w:rsidR="00545D1B" w:rsidRPr="00742A04">
        <w:t>ent</w:t>
      </w:r>
      <w:r w:rsidR="002357B0" w:rsidRPr="00742A04">
        <w:t>e en que</w:t>
      </w:r>
      <w:r w:rsidR="00545D1B" w:rsidRPr="00742A04">
        <w:t xml:space="preserve"> </w:t>
      </w:r>
      <w:r w:rsidR="002357B0" w:rsidRPr="00742A04">
        <w:t>se otorgue un</w:t>
      </w:r>
      <w:r w:rsidR="00545D1B" w:rsidRPr="00742A04">
        <w:t xml:space="preserve"> </w:t>
      </w:r>
      <w:r w:rsidR="005C19C7" w:rsidRPr="00742A04">
        <w:t>permiso</w:t>
      </w:r>
      <w:r w:rsidR="002357B0" w:rsidRPr="00742A04">
        <w:t xml:space="preserve"> al o a la solicitante</w:t>
      </w:r>
      <w:r w:rsidR="00545D1B" w:rsidRPr="00742A04">
        <w:t xml:space="preserve">, </w:t>
      </w:r>
      <w:r w:rsidR="008E5EBF" w:rsidRPr="00742A04">
        <w:t>o</w:t>
      </w:r>
      <w:r w:rsidR="00545D1B" w:rsidRPr="00742A04">
        <w:t xml:space="preserve"> </w:t>
      </w:r>
      <w:r w:rsidRPr="00742A04">
        <w:t>si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2357B0" w:rsidRPr="00742A04">
        <w:t>probable</w:t>
      </w:r>
      <w:r w:rsidR="00024DBC" w:rsidRPr="00742A04">
        <w:t xml:space="preserve"> que</w:t>
      </w:r>
      <w:r w:rsidR="00545D1B" w:rsidRPr="00742A04">
        <w:t xml:space="preserve"> </w:t>
      </w:r>
      <w:r w:rsidR="002357B0" w:rsidRPr="00742A04">
        <w:t>un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2357B0" w:rsidRPr="00742A04">
        <w:t xml:space="preserve">se </w:t>
      </w:r>
      <w:r w:rsidR="006D7D2F" w:rsidRPr="00742A04">
        <w:t>ha</w:t>
      </w:r>
      <w:r w:rsidR="002357B0" w:rsidRPr="00742A04">
        <w:t>ya celebrado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2357B0" w:rsidRPr="00742A04">
        <w:t>la voluntad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357B0" w:rsidRPr="00742A04">
        <w:t>los contrayentes</w:t>
      </w:r>
      <w:r w:rsidR="00545D1B" w:rsidRPr="00742A04">
        <w:t xml:space="preserve">. </w:t>
      </w:r>
      <w:r w:rsidR="006B65CD"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357B0" w:rsidRPr="00742A04">
        <w:t>esto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2357B0" w:rsidRPr="00742A04">
        <w:t>evitar que un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2357B0" w:rsidRPr="00742A04">
        <w:t>que</w:t>
      </w:r>
      <w:r w:rsidR="00545D1B" w:rsidRPr="00742A04">
        <w:t xml:space="preserve"> </w:t>
      </w:r>
      <w:r w:rsidR="006D7D2F" w:rsidRPr="00742A04">
        <w:t>ha</w:t>
      </w:r>
      <w:r w:rsidR="002357B0" w:rsidRPr="00742A04">
        <w:t>ya</w:t>
      </w:r>
      <w:r w:rsidR="006D7D2F" w:rsidRPr="00742A04">
        <w:t xml:space="preserve"> sido</w:t>
      </w:r>
      <w:r w:rsidR="00545D1B" w:rsidRPr="00742A04">
        <w:t xml:space="preserve"> </w:t>
      </w:r>
      <w:r w:rsidR="002357B0" w:rsidRPr="00742A04">
        <w:t>cel</w:t>
      </w:r>
      <w:r w:rsidR="002357B0" w:rsidRPr="00742A04">
        <w:t>e</w:t>
      </w:r>
      <w:r w:rsidR="002357B0" w:rsidRPr="00742A04">
        <w:t>brado</w:t>
      </w:r>
      <w:r w:rsidR="00545D1B" w:rsidRPr="00742A04">
        <w:t xml:space="preserve"> </w:t>
      </w:r>
      <w:r w:rsidR="00F650FB" w:rsidRPr="00742A04">
        <w:t>contra</w:t>
      </w:r>
      <w:r w:rsidR="00545D1B" w:rsidRPr="00742A04">
        <w:t xml:space="preserve"> </w:t>
      </w:r>
      <w:r w:rsidR="002357B0" w:rsidRPr="00742A04">
        <w:t>la voluntad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C0100" w:rsidRPr="00742A04">
        <w:t>l</w:t>
      </w:r>
      <w:r w:rsidR="002357B0" w:rsidRPr="00742A04">
        <w:t>o</w:t>
      </w:r>
      <w:r w:rsidR="002C0100" w:rsidRPr="00742A04">
        <w:t xml:space="preserve">s </w:t>
      </w:r>
      <w:r w:rsidR="00742A04" w:rsidRPr="00742A04">
        <w:t xml:space="preserve">contrayentes sirva </w:t>
      </w:r>
      <w:r w:rsidR="008F0C8E" w:rsidRPr="00742A04">
        <w:t>de</w:t>
      </w:r>
      <w:r w:rsidR="00545D1B" w:rsidRPr="00742A04">
        <w:t xml:space="preserve"> </w:t>
      </w:r>
      <w:r w:rsidR="006137EC" w:rsidRPr="00742A04">
        <w:t>fundamento</w:t>
      </w:r>
      <w:r w:rsidR="00742A04" w:rsidRPr="00742A04">
        <w:t xml:space="preserve"> para un permiso de residencia</w:t>
      </w:r>
      <w:r w:rsidR="00545D1B" w:rsidRPr="00742A04">
        <w:t xml:space="preserve">. </w:t>
      </w:r>
      <w:r w:rsidR="00F43124" w:rsidRPr="00742A04">
        <w:t>P</w:t>
      </w:r>
      <w:r w:rsidR="00742A04" w:rsidRPr="00742A04">
        <w:t>or</w:t>
      </w:r>
      <w:r w:rsidR="00545D1B" w:rsidRPr="00742A04">
        <w:t xml:space="preserve"> </w:t>
      </w:r>
      <w:r w:rsidR="003C25BF" w:rsidRPr="00742A04">
        <w:t>la misma</w:t>
      </w:r>
      <w:r w:rsidR="00545D1B" w:rsidRPr="00742A04">
        <w:t xml:space="preserve"> </w:t>
      </w:r>
      <w:r w:rsidR="00982243" w:rsidRPr="00742A04">
        <w:t>razón</w:t>
      </w:r>
      <w:r w:rsidR="00545D1B" w:rsidRPr="00742A04">
        <w:t xml:space="preserve">, </w:t>
      </w:r>
      <w:r w:rsidR="00742A04" w:rsidRPr="00742A04">
        <w:t>se</w:t>
      </w:r>
      <w:r w:rsidR="00545D1B" w:rsidRPr="00742A04">
        <w:t xml:space="preserve"> </w:t>
      </w:r>
      <w:r w:rsidR="004D313C" w:rsidRPr="00742A04">
        <w:t>adoptó</w:t>
      </w:r>
      <w:r w:rsidR="00545D1B" w:rsidRPr="00742A04">
        <w:t xml:space="preserve"> </w:t>
      </w:r>
      <w:r w:rsidR="00742A04" w:rsidRPr="00742A04">
        <w:t>una importante norma según la cual</w:t>
      </w:r>
      <w:r w:rsidR="00545D1B" w:rsidRPr="00742A04">
        <w:t xml:space="preserve"> </w:t>
      </w:r>
      <w:r w:rsidR="00742A04" w:rsidRPr="00742A04">
        <w:t xml:space="preserve">no se puede otorgar un permiso de trabajo o un permiso de residencia a </w:t>
      </w:r>
      <w:r w:rsidR="008E5EBF" w:rsidRPr="00742A04">
        <w:t xml:space="preserve">una persona </w:t>
      </w:r>
      <w:r w:rsidR="003E5775" w:rsidRPr="00742A04">
        <w:t>que</w:t>
      </w:r>
      <w:r w:rsidR="00545D1B" w:rsidRPr="00742A04">
        <w:t xml:space="preserve"> </w:t>
      </w:r>
      <w:r w:rsidR="006D7D2F" w:rsidRPr="00742A04">
        <w:t>ha</w:t>
      </w:r>
      <w:r w:rsidR="00742A04" w:rsidRPr="00742A04">
        <w:t>ya contraído matrimonio</w:t>
      </w:r>
      <w:r w:rsidR="00545D1B" w:rsidRPr="00742A04">
        <w:t xml:space="preserve"> </w:t>
      </w:r>
      <w:r w:rsidR="00EE16A2" w:rsidRPr="00742A04">
        <w:t>en el extranjero</w:t>
      </w:r>
      <w:r w:rsidR="00545D1B" w:rsidRPr="00742A04">
        <w:t xml:space="preserve"> </w:t>
      </w:r>
      <w:r w:rsidR="00742A04" w:rsidRPr="00742A04">
        <w:t>con</w:t>
      </w:r>
      <w:r w:rsidR="00545D1B" w:rsidRPr="00742A04">
        <w:t xml:space="preserve"> </w:t>
      </w:r>
      <w:r w:rsidR="008E5EBF" w:rsidRPr="00742A04">
        <w:t xml:space="preserve">una persona </w:t>
      </w:r>
      <w:r w:rsidR="003E5775" w:rsidRPr="00742A04">
        <w:t>que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r</w:t>
      </w:r>
      <w:r w:rsidR="00545D1B" w:rsidRPr="00742A04">
        <w:t>e</w:t>
      </w:r>
      <w:r w:rsidR="00545D1B" w:rsidRPr="00742A04">
        <w:t>sident</w:t>
      </w:r>
      <w:r w:rsidR="00742A04" w:rsidRPr="00742A04">
        <w:t>e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A826CB" w:rsidRPr="00742A04">
        <w:t>antes de</w:t>
      </w:r>
      <w:r w:rsidR="00545D1B" w:rsidRPr="00742A04">
        <w:t xml:space="preserve"> </w:t>
      </w:r>
      <w:r w:rsidR="00742A04" w:rsidRPr="00742A04">
        <w:t>que el</w:t>
      </w:r>
      <w:r w:rsidR="00545D1B" w:rsidRPr="00742A04">
        <w:t xml:space="preserve"> </w:t>
      </w:r>
      <w:r w:rsidR="00AD5494" w:rsidRPr="00742A04">
        <w:t>cónyuge</w:t>
      </w:r>
      <w:r w:rsidR="00742A04" w:rsidRPr="00742A04">
        <w:t xml:space="preserve"> haya</w:t>
      </w:r>
      <w:r w:rsidR="00545D1B" w:rsidRPr="00742A04">
        <w:t xml:space="preserve"> re</w:t>
      </w:r>
      <w:r w:rsidR="00742A04" w:rsidRPr="00742A04">
        <w:t>gresado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742A04" w:rsidRPr="00742A04">
        <w:t>haya sido</w:t>
      </w:r>
      <w:r w:rsidR="00545D1B" w:rsidRPr="00742A04">
        <w:t xml:space="preserve"> </w:t>
      </w:r>
      <w:r w:rsidR="00742A04" w:rsidRPr="00742A04">
        <w:t>entrevistado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742A04" w:rsidRPr="00742A04">
        <w:t xml:space="preserve">las </w:t>
      </w:r>
      <w:r w:rsidR="0056679F" w:rsidRPr="00742A04">
        <w:t>autoridades</w:t>
      </w:r>
      <w:r w:rsidR="00742A04" w:rsidRPr="00742A04">
        <w:t xml:space="preserve"> de </w:t>
      </w:r>
      <w:r w:rsidR="0073499D" w:rsidRPr="00742A04">
        <w:t>inmigración</w:t>
      </w:r>
      <w:r w:rsidR="00545D1B" w:rsidRPr="00742A04">
        <w:t xml:space="preserve">. </w:t>
      </w:r>
      <w:r w:rsidR="00742A04" w:rsidRPr="00742A04">
        <w:t>La finalidad especial de esta</w:t>
      </w:r>
      <w:r w:rsidR="00545D1B" w:rsidRPr="00742A04">
        <w:t xml:space="preserve"> </w:t>
      </w:r>
      <w:r w:rsidR="002E2883" w:rsidRPr="00742A04">
        <w:t>disp</w:t>
      </w:r>
      <w:r w:rsidR="002E2883" w:rsidRPr="00742A04">
        <w:t>o</w:t>
      </w:r>
      <w:r w:rsidR="002E2883" w:rsidRPr="00742A04">
        <w:t>sición</w:t>
      </w:r>
      <w:r w:rsidR="005E6919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742A04" w:rsidRPr="00742A04">
        <w:t>impedir que se coaccione a</w:t>
      </w:r>
      <w:r w:rsidR="00545D1B" w:rsidRPr="00742A04">
        <w:t xml:space="preserve"> </w:t>
      </w:r>
      <w:r w:rsidR="008E5EBF" w:rsidRPr="00742A04">
        <w:t xml:space="preserve">una persona </w:t>
      </w:r>
      <w:r w:rsidR="00742A04" w:rsidRPr="00742A04">
        <w:t>para que contraiga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742A04">
        <w:t>c</w:t>
      </w:r>
      <w:r w:rsidR="00742A04">
        <w:t>o</w:t>
      </w:r>
      <w:r w:rsidR="00742A04">
        <w:t xml:space="preserve">ntra </w:t>
      </w:r>
      <w:r w:rsidR="00F97F41" w:rsidRPr="00742A04">
        <w:t>su</w:t>
      </w:r>
      <w:r w:rsidR="00545D1B" w:rsidRPr="00742A04">
        <w:t xml:space="preserve"> </w:t>
      </w:r>
      <w:r w:rsidR="00742A04" w:rsidRPr="00742A04">
        <w:t>voluntad</w:t>
      </w:r>
      <w:r w:rsidR="00545D1B" w:rsidRPr="00742A04">
        <w:t xml:space="preserve"> </w:t>
      </w:r>
      <w:r w:rsidR="003315C7" w:rsidRPr="00742A04">
        <w:t>durante</w:t>
      </w:r>
      <w:r w:rsidR="00545D1B" w:rsidRPr="00742A04">
        <w:t xml:space="preserve"> </w:t>
      </w:r>
      <w:r w:rsidR="00742A04" w:rsidRPr="00742A04">
        <w:t>unas vacaciones</w:t>
      </w:r>
      <w:r w:rsidR="00545D1B" w:rsidRPr="00742A04">
        <w:t xml:space="preserve"> </w:t>
      </w:r>
      <w:r w:rsidR="00980475" w:rsidRPr="00742A04">
        <w:t>u otr</w:t>
      </w:r>
      <w:r w:rsidR="00742A04" w:rsidRPr="00742A04">
        <w:t>o tipo de</w:t>
      </w:r>
      <w:r w:rsidR="00545D1B" w:rsidRPr="00742A04">
        <w:t xml:space="preserve"> visit</w:t>
      </w:r>
      <w:r w:rsidR="00742A04" w:rsidRPr="00742A04">
        <w:t>as al</w:t>
      </w:r>
      <w:r w:rsidR="00EE16A2" w:rsidRPr="00742A04">
        <w:t xml:space="preserve"> extranjero</w:t>
      </w:r>
      <w:r w:rsidR="00545D1B" w:rsidRPr="00742A04">
        <w:t xml:space="preserve">. </w:t>
      </w:r>
      <w:r w:rsidR="002E2883" w:rsidRPr="00742A04">
        <w:t>La di</w:t>
      </w:r>
      <w:r w:rsidR="002E2883" w:rsidRPr="00742A04">
        <w:t>s</w:t>
      </w:r>
      <w:r w:rsidR="002E2883" w:rsidRPr="00742A04">
        <w:t>posición</w:t>
      </w:r>
      <w:r w:rsidR="005E6919" w:rsidRPr="00742A04">
        <w:t xml:space="preserve"> </w:t>
      </w:r>
      <w:r w:rsidR="00EA6AC2" w:rsidRPr="00742A04">
        <w:t>relativ</w:t>
      </w:r>
      <w:r w:rsidR="00742A04">
        <w:t>a</w:t>
      </w:r>
      <w:r w:rsidR="00EA6AC2" w:rsidRPr="00742A04">
        <w:t xml:space="preserve"> a</w:t>
      </w:r>
      <w:r w:rsidR="00545D1B" w:rsidRPr="00742A04">
        <w:t xml:space="preserve"> </w:t>
      </w:r>
      <w:r w:rsidR="00742A04">
        <w:t>la entrevista aún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742A04">
        <w:t>ha</w:t>
      </w:r>
      <w:r w:rsidR="00545D1B" w:rsidRPr="00742A04">
        <w:t xml:space="preserve"> </w:t>
      </w:r>
      <w:r w:rsidR="009A12C2" w:rsidRPr="00742A04">
        <w:t>entra</w:t>
      </w:r>
      <w:r w:rsidR="00742A04">
        <w:t>do</w:t>
      </w:r>
      <w:r w:rsidR="009A12C2" w:rsidRPr="00742A04">
        <w:t xml:space="preserve"> en v</w:t>
      </w:r>
      <w:r w:rsidR="009A12C2" w:rsidRPr="00742A04">
        <w:t>i</w:t>
      </w:r>
      <w:r w:rsidR="009A12C2" w:rsidRPr="00742A04">
        <w:t>gor</w:t>
      </w:r>
      <w:r w:rsidR="00545D1B" w:rsidRPr="00742A04">
        <w:t>.</w:t>
      </w:r>
    </w:p>
    <w:p w:rsidR="000A08D8" w:rsidRPr="00742A04" w:rsidRDefault="00130F7F" w:rsidP="00466626">
      <w:pPr>
        <w:pStyle w:val="SingleTxt"/>
        <w:ind w:firstLine="475"/>
      </w:pPr>
      <w:r w:rsidRPr="00742A04">
        <w:t>Las normas</w:t>
      </w:r>
      <w:r w:rsidR="00545D1B" w:rsidRPr="00742A04">
        <w:t xml:space="preserve"> </w:t>
      </w:r>
      <w:r w:rsidR="008733E0">
        <w:t>d</w:t>
      </w:r>
      <w:r w:rsidR="001725A9" w:rsidRPr="00742A04">
        <w:t>el Reglamento de Inmigración</w:t>
      </w:r>
      <w:r w:rsidR="00545D1B" w:rsidRPr="00742A04">
        <w:t xml:space="preserve"> </w:t>
      </w:r>
      <w:r w:rsidR="008733E0">
        <w:t>relativa</w:t>
      </w:r>
      <w:r w:rsidR="00EA6AC2" w:rsidRPr="00742A04">
        <w:t>s a</w:t>
      </w:r>
      <w:r w:rsidR="008733E0">
        <w:t>l requisito de subsiste</w:t>
      </w:r>
      <w:r w:rsidR="008733E0">
        <w:t>n</w:t>
      </w:r>
      <w:r w:rsidR="008733E0">
        <w:t>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E30FC">
        <w:t>lo tocante a</w:t>
      </w:r>
      <w:r w:rsidR="00545D1B" w:rsidRPr="00742A04">
        <w:t xml:space="preserve"> </w:t>
      </w:r>
      <w:r w:rsidR="008733E0">
        <w:t xml:space="preserve">la </w:t>
      </w:r>
      <w:r w:rsidR="007B3E5A" w:rsidRPr="00742A04">
        <w:t>reunificación de la familia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8733E0">
        <w:t>un</w:t>
      </w:r>
      <w:r w:rsidR="00545D1B" w:rsidRPr="00742A04">
        <w:t xml:space="preserve"> </w:t>
      </w:r>
      <w:r w:rsidR="00AD5494" w:rsidRPr="00742A04">
        <w:t>cónyuge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par</w:t>
      </w:r>
      <w:r w:rsidR="008733E0">
        <w:t>eja</w:t>
      </w:r>
      <w:r w:rsidR="00545D1B" w:rsidRPr="00742A04">
        <w:t xml:space="preserve"> </w:t>
      </w:r>
      <w:r w:rsidR="008733E0">
        <w:t>fuero</w:t>
      </w:r>
      <w:r w:rsidR="00E73E8E" w:rsidRPr="00742A04">
        <w:t>n</w:t>
      </w:r>
      <w:r w:rsidR="00545D1B" w:rsidRPr="00742A04">
        <w:t xml:space="preserve"> </w:t>
      </w:r>
      <w:r w:rsidR="008733E0">
        <w:t>e</w:t>
      </w:r>
      <w:r w:rsidR="008733E0">
        <w:t>n</w:t>
      </w:r>
      <w:r w:rsidR="00545D1B" w:rsidRPr="00742A04">
        <w:t>mend</w:t>
      </w:r>
      <w:r w:rsidR="008733E0">
        <w:t>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B63DF" w:rsidRPr="00742A04">
        <w:t>noviembre de</w:t>
      </w:r>
      <w:r w:rsidR="00545D1B" w:rsidRPr="00742A04">
        <w:t xml:space="preserve"> 2003. </w:t>
      </w:r>
      <w:r w:rsidR="003E5775" w:rsidRPr="00742A04">
        <w:t xml:space="preserve">Al 1° de </w:t>
      </w:r>
      <w:r w:rsidR="00CD2FF0" w:rsidRPr="00742A04">
        <w:t>mayo de</w:t>
      </w:r>
      <w:r w:rsidR="00545D1B" w:rsidRPr="00742A04">
        <w:t xml:space="preserve"> 2005, </w:t>
      </w:r>
      <w:r w:rsidR="008733E0">
        <w:t>el requisito de subsiste</w:t>
      </w:r>
      <w:r w:rsidR="008733E0">
        <w:t>n</w:t>
      </w:r>
      <w:r w:rsidR="008733E0">
        <w:t>cia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8733E0">
        <w:t>de 178.</w:t>
      </w:r>
      <w:r w:rsidR="00545D1B" w:rsidRPr="00742A04">
        <w:t xml:space="preserve">100 </w:t>
      </w:r>
      <w:r w:rsidR="008733E0" w:rsidRPr="00742A04">
        <w:t>coronas noruegas</w:t>
      </w:r>
      <w:r w:rsidR="008733E0">
        <w:t xml:space="preserve"> </w:t>
      </w:r>
      <w:r w:rsidR="003C25BF" w:rsidRPr="00742A04">
        <w:t>cuando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C0100" w:rsidRPr="00742A04">
        <w:t>las partes</w:t>
      </w:r>
      <w:r w:rsidR="008733E0">
        <w:t xml:space="preserve"> e</w:t>
      </w:r>
      <w:r w:rsidR="00BB4DB1" w:rsidRPr="00742A04">
        <w:t>s</w:t>
      </w:r>
      <w:r w:rsidR="00545D1B" w:rsidRPr="00742A04">
        <w:t xml:space="preserve"> </w:t>
      </w:r>
      <w:r w:rsidR="008733E0">
        <w:t>menor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23</w:t>
      </w:r>
      <w:r w:rsidR="008733E0">
        <w:t> años</w:t>
      </w:r>
      <w:r w:rsidR="00545D1B" w:rsidRPr="00742A04">
        <w:t xml:space="preserve">. </w:t>
      </w:r>
      <w:r w:rsidR="008733E0">
        <w:t>Quien</w:t>
      </w:r>
      <w:r w:rsidR="00545D1B" w:rsidRPr="00742A04">
        <w:t xml:space="preserve"> </w:t>
      </w:r>
      <w:r w:rsidR="007D4688" w:rsidRPr="00742A04">
        <w:t>debe</w:t>
      </w:r>
      <w:r w:rsidR="00545D1B" w:rsidRPr="00742A04">
        <w:t xml:space="preserve"> </w:t>
      </w:r>
      <w:r w:rsidR="008733E0">
        <w:t>cumplir</w:t>
      </w:r>
      <w:r w:rsidR="00545D1B" w:rsidRPr="00742A04">
        <w:t xml:space="preserve"> </w:t>
      </w:r>
      <w:r w:rsidR="008733E0">
        <w:t>el requisito de subsistencia</w:t>
      </w:r>
      <w:r w:rsidR="008733E0" w:rsidRPr="008733E0">
        <w:t xml:space="preserve"> </w:t>
      </w:r>
      <w:r w:rsidR="008733E0">
        <w:t>e</w:t>
      </w:r>
      <w:r w:rsidR="008733E0" w:rsidRPr="00742A04">
        <w:t>s la persona resident</w:t>
      </w:r>
      <w:r w:rsidR="008733E0">
        <w:t>e</w:t>
      </w:r>
      <w:r w:rsidR="008733E0" w:rsidRPr="00742A04">
        <w:t xml:space="preserve"> en Noruega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C14BFF" w:rsidRPr="00742A04">
        <w:t>en</w:t>
      </w:r>
      <w:r w:rsidR="00545D1B" w:rsidRPr="00742A04">
        <w:t xml:space="preserve"> </w:t>
      </w:r>
      <w:r w:rsidR="00502E16" w:rsidRPr="00742A04">
        <w:t>tal</w:t>
      </w:r>
      <w:r w:rsidR="008733E0">
        <w:t>es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8733E0">
        <w:t>ya no será</w:t>
      </w:r>
      <w:r w:rsidR="00545D1B" w:rsidRPr="00742A04">
        <w:t xml:space="preserve"> </w:t>
      </w:r>
      <w:r w:rsidR="00C27C42" w:rsidRPr="00742A04">
        <w:t>posible</w:t>
      </w:r>
      <w:r w:rsidR="00545D1B" w:rsidRPr="00742A04">
        <w:t xml:space="preserve"> </w:t>
      </w:r>
      <w:r w:rsidR="00E5489E">
        <w:t>presentar l</w:t>
      </w:r>
      <w:r w:rsidR="008733E0">
        <w:t>a g</w:t>
      </w:r>
      <w:r w:rsidR="00545D1B" w:rsidRPr="00742A04">
        <w:t>arant</w:t>
      </w:r>
      <w:r w:rsidR="008733E0">
        <w:t>ía de un</w:t>
      </w:r>
      <w:r w:rsidR="00FD7D4E" w:rsidRPr="00742A04">
        <w:t xml:space="preserve"> </w:t>
      </w:r>
      <w:r w:rsidR="00355BCE" w:rsidRPr="00742A04">
        <w:t>tercer</w:t>
      </w:r>
      <w:r w:rsidR="008733E0">
        <w:t>o para cumplir</w:t>
      </w:r>
      <w:r w:rsidR="00545D1B" w:rsidRPr="00742A04">
        <w:t xml:space="preserve"> </w:t>
      </w:r>
      <w:r w:rsidR="008733E0">
        <w:t>el requisito de subsistencia</w:t>
      </w:r>
      <w:r w:rsidR="00545D1B" w:rsidRPr="00742A04">
        <w:t xml:space="preserve">. </w:t>
      </w:r>
      <w:r w:rsidR="008733E0">
        <w:t>Esas</w:t>
      </w:r>
      <w:r w:rsidR="00545D1B" w:rsidRPr="00742A04">
        <w:t xml:space="preserve"> </w:t>
      </w:r>
      <w:r w:rsidR="00CD2FF0" w:rsidRPr="00742A04">
        <w:t>enmiendas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8733E0">
        <w:t xml:space="preserve">se </w:t>
      </w:r>
      <w:r w:rsidR="00545D1B" w:rsidRPr="00742A04">
        <w:t>apl</w:t>
      </w:r>
      <w:r w:rsidR="008733E0">
        <w:t>ican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733E0">
        <w:t xml:space="preserve">la </w:t>
      </w:r>
      <w:r w:rsidR="007B3E5A" w:rsidRPr="00742A04">
        <w:t>reunificación de la familia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B82A08" w:rsidRPr="00742A04">
        <w:t>personas</w:t>
      </w:r>
      <w:r w:rsidR="00545D1B" w:rsidRPr="00742A04">
        <w:t xml:space="preserve"> </w:t>
      </w:r>
      <w:r w:rsidR="008733E0">
        <w:t xml:space="preserve">a las </w:t>
      </w:r>
      <w:r w:rsidR="003E5775" w:rsidRPr="00742A04">
        <w:t>que</w:t>
      </w:r>
      <w:r w:rsidR="00545D1B" w:rsidRPr="00742A04">
        <w:t xml:space="preserve"> </w:t>
      </w:r>
      <w:r w:rsidR="008E38BC" w:rsidRPr="00742A04">
        <w:t>se ha</w:t>
      </w:r>
      <w:r w:rsidR="008733E0">
        <w:t>ya otorgado</w:t>
      </w:r>
      <w:r w:rsidR="00545D1B" w:rsidRPr="00742A04">
        <w:t xml:space="preserve"> </w:t>
      </w:r>
      <w:r w:rsidR="00072AD7" w:rsidRPr="00742A04">
        <w:t>asilo</w:t>
      </w:r>
      <w:r w:rsidR="00545D1B" w:rsidRPr="00742A04">
        <w:t xml:space="preserve">, </w:t>
      </w:r>
      <w:r w:rsidR="008E5EBF" w:rsidRPr="00742A04">
        <w:t>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733E0" w:rsidRPr="00742A04">
        <w:t xml:space="preserve">los refugiados </w:t>
      </w:r>
      <w:r w:rsidR="00011821">
        <w:t>en v</w:t>
      </w:r>
      <w:r w:rsidR="00011821">
        <w:t>í</w:t>
      </w:r>
      <w:r w:rsidR="00011821">
        <w:t xml:space="preserve">as de </w:t>
      </w:r>
      <w:r w:rsidR="00FD7D4E" w:rsidRPr="00742A04">
        <w:t>r</w:t>
      </w:r>
      <w:r w:rsidR="00FD7D4E" w:rsidRPr="00742A04">
        <w:t>e</w:t>
      </w:r>
      <w:r w:rsidR="00FD7D4E" w:rsidRPr="00742A04">
        <w:t>asentamiento</w:t>
      </w:r>
      <w:r w:rsidR="00545D1B" w:rsidRPr="00742A04">
        <w:t xml:space="preserve"> </w:t>
      </w:r>
      <w:r w:rsidR="00011821">
        <w:t xml:space="preserve">a los </w:t>
      </w:r>
      <w:r w:rsidR="003E5775" w:rsidRPr="00742A04">
        <w:t>que</w:t>
      </w:r>
      <w:r w:rsidR="00545D1B" w:rsidRPr="00742A04">
        <w:t xml:space="preserve"> </w:t>
      </w:r>
      <w:r w:rsidR="008E38BC" w:rsidRPr="00742A04">
        <w:t>se ha</w:t>
      </w:r>
      <w:r w:rsidR="00011821">
        <w:t>ya otorgado un</w:t>
      </w:r>
      <w:r w:rsidR="00CF2F77" w:rsidRPr="00742A04">
        <w:t xml:space="preserve"> </w:t>
      </w:r>
      <w:r w:rsidR="00011821">
        <w:t>permiso de trabajo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011821">
        <w:t>un</w:t>
      </w:r>
      <w:r w:rsidR="00545D1B" w:rsidRPr="00742A04">
        <w:t xml:space="preserve"> </w:t>
      </w:r>
      <w:r w:rsidR="00742A04" w:rsidRPr="00742A04">
        <w:t>permiso de residencia</w:t>
      </w:r>
      <w:r w:rsidR="00545D1B" w:rsidRPr="00742A04">
        <w:t xml:space="preserve"> </w:t>
      </w:r>
      <w:r w:rsidR="00BD47D3" w:rsidRPr="00742A04">
        <w:t>en virtud</w:t>
      </w:r>
      <w:r w:rsidR="004F2F8A" w:rsidRPr="00742A04">
        <w:t xml:space="preserve"> del </w:t>
      </w:r>
      <w:r w:rsidR="00011821" w:rsidRPr="00742A04">
        <w:t xml:space="preserve">párrafo cuarto </w:t>
      </w:r>
      <w:r w:rsidR="00011821">
        <w:t xml:space="preserve">del </w:t>
      </w:r>
      <w:r w:rsidR="00831F07" w:rsidRPr="00742A04">
        <w:t xml:space="preserve">artículo </w:t>
      </w:r>
      <w:r w:rsidR="00545D1B" w:rsidRPr="00742A04">
        <w:t xml:space="preserve">22 </w:t>
      </w:r>
      <w:r w:rsidR="00F43124" w:rsidRPr="00742A04">
        <w:t xml:space="preserve">de la </w:t>
      </w:r>
      <w:r w:rsidR="008B63DF" w:rsidRPr="00742A04">
        <w:t>Ley de Inmigración</w:t>
      </w:r>
      <w:r w:rsidR="00545D1B" w:rsidRPr="00742A04">
        <w:t xml:space="preserve">, </w:t>
      </w:r>
      <w:r w:rsidR="000B41AF" w:rsidRPr="00742A04">
        <w:t>siempre que</w:t>
      </w:r>
      <w:r w:rsidR="00545D1B" w:rsidRPr="00742A04">
        <w:t xml:space="preserve"> </w:t>
      </w:r>
      <w:r w:rsidR="002C0100" w:rsidRPr="00742A04">
        <w:t>las partes</w:t>
      </w:r>
      <w:r w:rsidR="00011821">
        <w:t xml:space="preserve"> estuvi</w:t>
      </w:r>
      <w:r w:rsidR="00E73E8E" w:rsidRPr="00742A04">
        <w:t>eran</w:t>
      </w:r>
      <w:r w:rsidR="00545D1B" w:rsidRPr="00742A04">
        <w:t xml:space="preserve"> </w:t>
      </w:r>
      <w:r w:rsidR="00011821">
        <w:t>casadas</w:t>
      </w:r>
      <w:r w:rsidR="00545D1B" w:rsidRPr="00742A04">
        <w:t xml:space="preserve"> </w:t>
      </w:r>
      <w:r w:rsidR="00A826CB" w:rsidRPr="00742A04">
        <w:t>antes de</w:t>
      </w:r>
      <w:r w:rsidR="00011821">
        <w:t xml:space="preserve"> que</w:t>
      </w:r>
      <w:r w:rsidR="00545D1B" w:rsidRPr="00742A04">
        <w:t xml:space="preserve"> </w:t>
      </w:r>
      <w:r w:rsidR="000B41AF" w:rsidRPr="00742A04">
        <w:t xml:space="preserve">la </w:t>
      </w:r>
      <w:r w:rsidR="00CB4CDB" w:rsidRPr="00742A04">
        <w:t>persona</w:t>
      </w:r>
      <w:r w:rsidR="00545D1B" w:rsidRPr="00742A04">
        <w:t xml:space="preserve"> </w:t>
      </w:r>
      <w:r w:rsidR="00011821" w:rsidRPr="00742A04">
        <w:t xml:space="preserve">principal </w:t>
      </w:r>
      <w:r w:rsidR="00011821">
        <w:t xml:space="preserve">hubiese </w:t>
      </w:r>
      <w:r w:rsidR="00545D1B" w:rsidRPr="00742A04">
        <w:t>ent</w:t>
      </w:r>
      <w:r w:rsidR="00011821">
        <w:t>rado en el reino.</w:t>
      </w:r>
      <w:r w:rsidR="00011821" w:rsidRPr="00011821">
        <w:t xml:space="preserve"> </w:t>
      </w:r>
      <w:r w:rsidR="00011821" w:rsidRPr="00742A04">
        <w:t>Las</w:t>
      </w:r>
      <w:r w:rsidR="00011821">
        <w:t xml:space="preserve"> </w:t>
      </w:r>
      <w:r w:rsidR="00011821" w:rsidRPr="00742A04">
        <w:t xml:space="preserve"> enmiendas</w:t>
      </w:r>
      <w:r w:rsidR="00011821">
        <w:t xml:space="preserve"> tampoco</w:t>
      </w:r>
      <w:r w:rsidR="00545D1B" w:rsidRPr="00742A04">
        <w:t xml:space="preserve"> </w:t>
      </w:r>
      <w:r w:rsidR="00011821" w:rsidRPr="00742A04">
        <w:t xml:space="preserve">afectan </w:t>
      </w:r>
      <w:r w:rsidR="00011821">
        <w:t xml:space="preserve">a la </w:t>
      </w:r>
      <w:r w:rsidR="007B3E5A" w:rsidRPr="00742A04">
        <w:t>reunificación de la familia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B82A08" w:rsidRPr="00742A04">
        <w:t>personas</w:t>
      </w:r>
      <w:r w:rsidR="00545D1B" w:rsidRPr="00742A04">
        <w:t xml:space="preserve"> </w:t>
      </w:r>
      <w:r w:rsidR="00011821">
        <w:t xml:space="preserve">bajo </w:t>
      </w:r>
      <w:r w:rsidR="00545D1B" w:rsidRPr="00742A04">
        <w:t>protec</w:t>
      </w:r>
      <w:r w:rsidR="00011821">
        <w:t>ció</w:t>
      </w:r>
      <w:r w:rsidR="00545D1B" w:rsidRPr="00742A04">
        <w:t>n</w:t>
      </w:r>
      <w:r w:rsidR="00011821">
        <w:t xml:space="preserve"> colectiva</w:t>
      </w:r>
      <w:r w:rsidR="006137EC" w:rsidRPr="00742A04">
        <w:t>; véase</w:t>
      </w:r>
      <w:r w:rsidR="00545D1B" w:rsidRPr="00742A04">
        <w:t xml:space="preserve"> </w:t>
      </w:r>
      <w:r w:rsidR="00831F07" w:rsidRPr="00742A04">
        <w:t xml:space="preserve">el </w:t>
      </w:r>
      <w:r w:rsidR="00011821" w:rsidRPr="00742A04">
        <w:t xml:space="preserve">párrafo </w:t>
      </w:r>
      <w:r w:rsidR="00011821">
        <w:t xml:space="preserve">quinto del </w:t>
      </w:r>
      <w:r w:rsidR="00831F07" w:rsidRPr="00742A04">
        <w:t xml:space="preserve">artículo </w:t>
      </w:r>
      <w:r w:rsidR="00545D1B" w:rsidRPr="00742A04">
        <w:t>25.</w:t>
      </w:r>
      <w:r w:rsidR="00011821">
        <w:t xml:space="preserve"> </w:t>
      </w:r>
      <w:r w:rsidR="00894371">
        <w:t>S</w:t>
      </w:r>
      <w:r w:rsidR="00894371">
        <w:t>e</w:t>
      </w:r>
      <w:r w:rsidR="00894371">
        <w:t>guirá siendo</w:t>
      </w:r>
      <w:r w:rsidR="00894371" w:rsidRPr="00742A04">
        <w:t xml:space="preserve"> posible </w:t>
      </w:r>
      <w:r w:rsidR="00894371">
        <w:t>otorgar una</w:t>
      </w:r>
      <w:r w:rsidR="00894371" w:rsidRPr="00742A04">
        <w:t xml:space="preserve"> dispensa de</w:t>
      </w:r>
      <w:r w:rsidR="00894371">
        <w:t>l requisito de subsistencia</w:t>
      </w:r>
      <w:r w:rsidR="00894371" w:rsidRPr="00742A04">
        <w:t xml:space="preserve"> </w:t>
      </w:r>
      <w:r w:rsidR="00894371">
        <w:t>por motivos</w:t>
      </w:r>
      <w:r w:rsidR="00894371" w:rsidRPr="00742A04">
        <w:t xml:space="preserve"> hum</w:t>
      </w:r>
      <w:r w:rsidR="00894371" w:rsidRPr="00742A04">
        <w:t>a</w:t>
      </w:r>
      <w:r w:rsidR="00894371" w:rsidRPr="00742A04">
        <w:t>nitari</w:t>
      </w:r>
      <w:r w:rsidR="00894371">
        <w:t>os</w:t>
      </w:r>
      <w:r w:rsidR="00894371" w:rsidRPr="00742A04">
        <w:t xml:space="preserve"> especialmente </w:t>
      </w:r>
      <w:r w:rsidR="00894371">
        <w:t>fuerte</w:t>
      </w:r>
      <w:r w:rsidR="00894371" w:rsidRPr="00742A04">
        <w:t>s; véase el párrafo tercer</w:t>
      </w:r>
      <w:r w:rsidR="00894371">
        <w:t>o del</w:t>
      </w:r>
      <w:r w:rsidR="00894371" w:rsidRPr="00742A04">
        <w:t xml:space="preserve"> artículo </w:t>
      </w:r>
      <w:r w:rsidR="00894371">
        <w:t>25.</w:t>
      </w:r>
    </w:p>
    <w:p w:rsidR="00545D1B" w:rsidRPr="00742A04" w:rsidRDefault="008B63DF" w:rsidP="008B63DF">
      <w:pPr>
        <w:pStyle w:val="SingleTxt"/>
        <w:ind w:left="720" w:firstLine="475"/>
        <w:rPr>
          <w:i/>
        </w:rPr>
      </w:pPr>
      <w:r w:rsidRPr="00742A04">
        <w:rPr>
          <w:i/>
        </w:rPr>
        <w:t>Asistencia jurídica gratuita</w:t>
      </w:r>
    </w:p>
    <w:p w:rsidR="00545D1B" w:rsidRPr="00742A04" w:rsidRDefault="0059357E" w:rsidP="00466626">
      <w:pPr>
        <w:pStyle w:val="SingleTxt"/>
        <w:ind w:firstLine="475"/>
      </w:pPr>
      <w:r w:rsidRPr="00742A04">
        <w:t>Las víctimas</w:t>
      </w:r>
      <w:r w:rsidR="00C07ED9" w:rsidRPr="00742A04">
        <w:t xml:space="preserve"> del </w:t>
      </w:r>
      <w:r w:rsidR="00CA313E" w:rsidRPr="00742A04">
        <w:t>matrimonio forzado</w:t>
      </w:r>
      <w:r w:rsidR="00545D1B" w:rsidRPr="00742A04">
        <w:t xml:space="preserve"> </w:t>
      </w:r>
      <w:r w:rsidR="00326185" w:rsidRPr="00742A04">
        <w:t>podrá</w:t>
      </w:r>
      <w:r w:rsidR="00011821">
        <w:t>n</w:t>
      </w:r>
      <w:r w:rsidR="00326185" w:rsidRPr="00742A04">
        <w:t xml:space="preserve"> tener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B63DF" w:rsidRPr="00742A04">
        <w:t>asistencia jurídica</w:t>
      </w:r>
      <w:r w:rsidR="00545D1B" w:rsidRPr="00742A04">
        <w:t xml:space="preserve"> </w:t>
      </w:r>
      <w:r w:rsidR="00BD47D3" w:rsidRPr="00742A04">
        <w:t>en virtud de</w:t>
      </w:r>
      <w:r w:rsidR="00011821">
        <w:t>l arreglo</w:t>
      </w:r>
      <w:r w:rsidR="00545D1B" w:rsidRPr="00742A04">
        <w:t xml:space="preserve"> </w:t>
      </w:r>
      <w:r w:rsidR="00545D1B" w:rsidRPr="00742A04">
        <w:rPr>
          <w:i/>
        </w:rPr>
        <w:t>bistandsadvokat</w:t>
      </w:r>
      <w:r w:rsidR="00545D1B" w:rsidRPr="00742A04">
        <w:t xml:space="preserve">, </w:t>
      </w:r>
      <w:r w:rsidR="00011821">
        <w:t>conforme al cual se proporciona un abogado a</w:t>
      </w:r>
      <w:r w:rsidR="00545D1B" w:rsidRPr="00742A04">
        <w:t xml:space="preserve"> </w:t>
      </w:r>
      <w:r w:rsidR="00C451B6" w:rsidRPr="00742A04">
        <w:t>la persona agraviada</w:t>
      </w:r>
      <w:r w:rsidR="00545D1B" w:rsidRPr="00742A04">
        <w:t xml:space="preserve">, </w:t>
      </w:r>
      <w:r w:rsidR="008E5EBF" w:rsidRPr="00742A04">
        <w:t>o</w:t>
      </w:r>
      <w:r w:rsidR="00545D1B" w:rsidRPr="00742A04">
        <w:t xml:space="preserve"> </w:t>
      </w:r>
      <w:r w:rsidR="00BD47D3" w:rsidRPr="00742A04">
        <w:t xml:space="preserve">en virtud </w:t>
      </w:r>
      <w:r w:rsidR="00F43124" w:rsidRPr="00742A04">
        <w:t xml:space="preserve">de la </w:t>
      </w:r>
      <w:r w:rsidR="008B63DF" w:rsidRPr="00742A04">
        <w:t>Ley sobre Asistencia Jurídica Gratuita</w:t>
      </w:r>
      <w:r w:rsidR="00545D1B" w:rsidRPr="00742A04">
        <w:t xml:space="preserve">. </w:t>
      </w:r>
      <w:r w:rsidR="005E603B" w:rsidRPr="00742A04">
        <w:t xml:space="preserve">Con arreglo al artículo </w:t>
      </w:r>
      <w:smartTag w:uri="urn:schemas-microsoft-com:office:smarttags" w:element="metricconverter">
        <w:smartTagPr>
          <w:attr w:name="ProductID" w:val="107 a"/>
        </w:smartTagPr>
        <w:r w:rsidR="00545D1B" w:rsidRPr="00742A04">
          <w:t xml:space="preserve">107 </w:t>
        </w:r>
        <w:r w:rsidR="00545D1B" w:rsidRPr="00011821">
          <w:rPr>
            <w:i/>
          </w:rPr>
          <w:t>a</w:t>
        </w:r>
      </w:smartTag>
      <w:r w:rsidR="00545D1B" w:rsidRPr="00742A04">
        <w:t xml:space="preserve"> </w:t>
      </w:r>
      <w:r w:rsidR="00F43124" w:rsidRPr="00742A04">
        <w:t xml:space="preserve">de la </w:t>
      </w:r>
      <w:r w:rsidR="00963214" w:rsidRPr="00742A04">
        <w:t xml:space="preserve">Ley </w:t>
      </w:r>
      <w:r w:rsidR="008B63DF" w:rsidRPr="00742A04">
        <w:t>de Procedimiento Penal</w:t>
      </w:r>
      <w:r w:rsidR="00545D1B" w:rsidRPr="00742A04">
        <w:t xml:space="preserve">, </w:t>
      </w:r>
      <w:r w:rsidR="00011821">
        <w:t>un</w:t>
      </w:r>
      <w:r w:rsidR="00545D1B" w:rsidRPr="00742A04">
        <w:t xml:space="preserve">a </w:t>
      </w:r>
      <w:r w:rsidR="00502E16" w:rsidRPr="00742A04">
        <w:t>víctima</w:t>
      </w:r>
      <w:r w:rsidR="00011821">
        <w:t xml:space="preserve"> de</w:t>
      </w:r>
      <w:r w:rsidR="00C07ED9" w:rsidRPr="00742A04">
        <w:t xml:space="preserve"> </w:t>
      </w:r>
      <w:r w:rsidR="00CA313E" w:rsidRPr="00742A04">
        <w:t>matrim</w:t>
      </w:r>
      <w:r w:rsidR="00CA313E" w:rsidRPr="00742A04">
        <w:t>o</w:t>
      </w:r>
      <w:r w:rsidR="00CA313E" w:rsidRPr="00742A04">
        <w:t>nio forzado</w:t>
      </w:r>
      <w:r w:rsidR="00545D1B" w:rsidRPr="00742A04">
        <w:t xml:space="preserve"> </w:t>
      </w:r>
      <w:r w:rsidR="009B24F7" w:rsidRPr="00742A04">
        <w:t>tiene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011821">
        <w:t xml:space="preserve">abogado </w:t>
      </w:r>
      <w:r w:rsidR="00F43124" w:rsidRPr="00742A04">
        <w:t>para</w:t>
      </w:r>
      <w:r w:rsidR="00545D1B" w:rsidRPr="00742A04">
        <w:t xml:space="preserve"> </w:t>
      </w:r>
      <w:r w:rsidR="00C451B6" w:rsidRPr="00742A04">
        <w:t>la persona agraviada</w:t>
      </w:r>
      <w:r w:rsidR="00545D1B" w:rsidRPr="00742A04">
        <w:t xml:space="preserve"> </w:t>
      </w:r>
      <w:r w:rsidR="00011821">
        <w:t>desde el momento en que</w:t>
      </w:r>
      <w:r w:rsidR="00545D1B" w:rsidRPr="00742A04">
        <w:t xml:space="preserve"> </w:t>
      </w:r>
      <w:r w:rsidR="000A5430" w:rsidRPr="00742A04">
        <w:t>el caso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011821">
        <w:t>denunciado a l</w:t>
      </w:r>
      <w:r w:rsidR="001E30D6" w:rsidRPr="00742A04">
        <w:t xml:space="preserve">a </w:t>
      </w:r>
      <w:r w:rsidR="00FC59C5" w:rsidRPr="00742A04">
        <w:t>policía</w:t>
      </w:r>
      <w:r w:rsidR="00545D1B" w:rsidRPr="00742A04">
        <w:t xml:space="preserve">. </w:t>
      </w:r>
      <w:r w:rsidR="00232DF9" w:rsidRPr="00742A04">
        <w:t>Si</w:t>
      </w:r>
      <w:r w:rsidR="00545D1B" w:rsidRPr="00742A04">
        <w:t xml:space="preserve"> </w:t>
      </w:r>
      <w:r w:rsidR="000A5430" w:rsidRPr="00742A04">
        <w:t>el caso</w:t>
      </w:r>
      <w:r w:rsidR="00545D1B" w:rsidRPr="00742A04">
        <w:t xml:space="preserve"> </w:t>
      </w:r>
      <w:r w:rsidR="00673B5D" w:rsidRPr="00742A04">
        <w:t xml:space="preserve">no es </w:t>
      </w:r>
      <w:r w:rsidR="0036497E">
        <w:t>denunciado</w:t>
      </w:r>
      <w:r w:rsidR="00545D1B" w:rsidRPr="00742A04">
        <w:t xml:space="preserve">, </w:t>
      </w:r>
      <w:r w:rsidR="00D3378F" w:rsidRPr="00742A04">
        <w:t xml:space="preserve">la persona </w:t>
      </w:r>
      <w:r w:rsidR="0036497E">
        <w:t>de que se trate</w:t>
      </w:r>
      <w:r w:rsidR="00545D1B" w:rsidRPr="00742A04">
        <w:t xml:space="preserve"> </w:t>
      </w:r>
      <w:r w:rsidR="0036497E">
        <w:t>no tendrá derecho a abogado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C451B6" w:rsidRPr="00742A04">
        <w:t>la persona agraviada</w:t>
      </w:r>
      <w:r w:rsidR="00545D1B" w:rsidRPr="00742A04">
        <w:t xml:space="preserve"> </w:t>
      </w:r>
      <w:r w:rsidR="00BD47D3" w:rsidRPr="00742A04">
        <w:t xml:space="preserve">en virtud </w:t>
      </w:r>
      <w:r w:rsidR="00F43124" w:rsidRPr="00742A04">
        <w:t xml:space="preserve">de la </w:t>
      </w:r>
      <w:r w:rsidR="00963214" w:rsidRPr="00742A04">
        <w:t xml:space="preserve">Ley </w:t>
      </w:r>
      <w:r w:rsidR="008B63DF" w:rsidRPr="00742A04">
        <w:t>de Procedimiento Penal</w:t>
      </w:r>
      <w:r w:rsidR="00545D1B" w:rsidRPr="00742A04">
        <w:t xml:space="preserve">. </w:t>
      </w:r>
      <w:r w:rsidR="0036497E" w:rsidRPr="00742A04">
        <w:t xml:space="preserve">Por consiguiente, </w:t>
      </w:r>
      <w:r w:rsidR="0036497E">
        <w:t>e</w:t>
      </w:r>
      <w:r w:rsidR="005D2D07" w:rsidRPr="00742A04">
        <w:t>l sistema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6497E">
        <w:t>abogado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C451B6" w:rsidRPr="00742A04">
        <w:t>la pers</w:t>
      </w:r>
      <w:r w:rsidR="00C451B6" w:rsidRPr="00742A04">
        <w:t>o</w:t>
      </w:r>
      <w:r w:rsidR="00C451B6" w:rsidRPr="00742A04">
        <w:t>na agraviada</w:t>
      </w:r>
      <w:r w:rsidR="00545D1B" w:rsidRPr="00742A04">
        <w:t xml:space="preserve"> </w:t>
      </w:r>
      <w:r w:rsidR="00495D7B" w:rsidRPr="00742A04">
        <w:t>es</w:t>
      </w:r>
      <w:r w:rsidR="0036497E">
        <w:t>tá</w:t>
      </w:r>
      <w:r w:rsidR="00545D1B" w:rsidRPr="00742A04">
        <w:t xml:space="preserve"> </w:t>
      </w:r>
      <w:r w:rsidR="0036497E">
        <w:t>com</w:t>
      </w:r>
      <w:r w:rsidR="00545D1B" w:rsidRPr="00742A04">
        <w:t>plement</w:t>
      </w:r>
      <w:r w:rsidR="0036497E">
        <w:t>ado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5D2D07" w:rsidRPr="00742A04">
        <w:t>el sistema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B63DF" w:rsidRPr="00742A04">
        <w:t>asistencia jurídica gratuita</w:t>
      </w:r>
      <w:r w:rsidR="00545D1B" w:rsidRPr="00742A04">
        <w:t xml:space="preserve">. </w:t>
      </w:r>
      <w:r w:rsidR="0036497E">
        <w:t>Pu</w:t>
      </w:r>
      <w:r w:rsidR="0036497E">
        <w:t>e</w:t>
      </w:r>
      <w:r w:rsidR="0036497E">
        <w:t>de ser</w:t>
      </w:r>
      <w:r w:rsidR="00545D1B" w:rsidRPr="00742A04">
        <w:t xml:space="preserve"> </w:t>
      </w:r>
      <w:r w:rsidR="00F05119" w:rsidRPr="00742A04">
        <w:t>difícil</w:t>
      </w:r>
      <w:r w:rsidR="00545D1B" w:rsidRPr="00742A04">
        <w:t xml:space="preserve"> </w:t>
      </w:r>
      <w:r w:rsidR="0036497E">
        <w:t>denunciar al</w:t>
      </w:r>
      <w:r w:rsidR="0063079C" w:rsidRPr="00742A04">
        <w:t xml:space="preserve"> padre</w:t>
      </w:r>
      <w:r w:rsidR="0036497E">
        <w:t xml:space="preserve"> o a la</w:t>
      </w:r>
      <w:r w:rsidR="0063079C" w:rsidRPr="00742A04">
        <w:t xml:space="preserve"> madre</w:t>
      </w:r>
      <w:r w:rsidR="0036497E">
        <w:t xml:space="preserve"> o a otro pariente próximo</w:t>
      </w:r>
      <w:r w:rsidR="00545D1B" w:rsidRPr="00742A04">
        <w:t xml:space="preserve"> </w:t>
      </w:r>
      <w:r w:rsidR="00F43124" w:rsidRPr="00742A04">
        <w:t>p</w:t>
      </w:r>
      <w:r w:rsidR="0036497E">
        <w:t>or</w:t>
      </w:r>
      <w:r w:rsidR="00545D1B" w:rsidRPr="00742A04">
        <w:t xml:space="preserve"> contr</w:t>
      </w:r>
      <w:r w:rsidR="00545D1B" w:rsidRPr="00742A04">
        <w:t>a</w:t>
      </w:r>
      <w:r w:rsidR="00545D1B" w:rsidRPr="00742A04">
        <w:t>ven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3A355B" w:rsidRPr="00742A04">
        <w:t>las disposiciones</w:t>
      </w:r>
      <w:r w:rsidR="00545D1B" w:rsidRPr="00742A04">
        <w:t xml:space="preserve"> </w:t>
      </w:r>
      <w:r w:rsidR="0036497E">
        <w:t xml:space="preserve">del </w:t>
      </w:r>
      <w:r w:rsidR="0036497E" w:rsidRPr="00742A04">
        <w:t xml:space="preserve">Código Penal </w:t>
      </w:r>
      <w:r w:rsidR="00072AD7" w:rsidRPr="00742A04">
        <w:t>relativa</w:t>
      </w:r>
      <w:r w:rsidR="0036497E">
        <w:t>s</w:t>
      </w:r>
      <w:r w:rsidR="00E575DB" w:rsidRPr="00742A04">
        <w:t xml:space="preserve"> al </w:t>
      </w:r>
      <w:r w:rsidR="00CA313E" w:rsidRPr="00742A04">
        <w:t>matrimonio forzado</w:t>
      </w:r>
      <w:r w:rsidR="00545D1B" w:rsidRPr="00742A04">
        <w:t xml:space="preserve">. </w:t>
      </w:r>
      <w:r w:rsidR="0036497E">
        <w:t xml:space="preserve">El </w:t>
      </w:r>
      <w:r w:rsidR="00877086" w:rsidRPr="00742A04">
        <w:t>individuo</w:t>
      </w:r>
      <w:r w:rsidR="00545D1B" w:rsidRPr="00742A04">
        <w:t xml:space="preserve"> </w:t>
      </w:r>
      <w:r w:rsidR="00BA0349" w:rsidRPr="00742A04">
        <w:t xml:space="preserve">también </w:t>
      </w:r>
      <w:r w:rsidR="00894371" w:rsidRPr="00742A04">
        <w:t>puede</w:t>
      </w:r>
      <w:r w:rsidR="00545D1B" w:rsidRPr="00742A04">
        <w:t xml:space="preserve"> </w:t>
      </w:r>
      <w:r w:rsidR="0036497E">
        <w:t>tener una necesidad</w:t>
      </w:r>
      <w:r w:rsidR="00545D1B" w:rsidRPr="00742A04">
        <w:t xml:space="preserve"> </w:t>
      </w:r>
      <w:r w:rsidR="00E574AD" w:rsidRPr="00742A04">
        <w:t>especial</w:t>
      </w:r>
      <w:r w:rsidR="00545D1B" w:rsidRPr="00742A04">
        <w:t xml:space="preserve"> </w:t>
      </w:r>
      <w:r w:rsidR="0036497E">
        <w:t xml:space="preserve">de </w:t>
      </w:r>
      <w:r w:rsidR="006E0918" w:rsidRPr="00742A04">
        <w:t xml:space="preserve">asistencia </w:t>
      </w:r>
      <w:r w:rsidR="0036497E" w:rsidRPr="00742A04">
        <w:t>práctic</w:t>
      </w:r>
      <w:r w:rsidR="0036497E">
        <w:t>a</w:t>
      </w:r>
      <w:r w:rsidR="0036497E" w:rsidRPr="00742A04">
        <w:t xml:space="preserve"> y </w:t>
      </w:r>
      <w:r w:rsidR="006E0918" w:rsidRPr="00742A04">
        <w:t>jur</w:t>
      </w:r>
      <w:r w:rsidR="006E0918" w:rsidRPr="00742A04">
        <w:t>í</w:t>
      </w:r>
      <w:r w:rsidR="006E0918" w:rsidRPr="00742A04">
        <w:t>dica</w:t>
      </w:r>
      <w:r w:rsidR="00545D1B" w:rsidRPr="00742A04">
        <w:t xml:space="preserve"> </w:t>
      </w:r>
      <w:r w:rsidR="000F0ACC" w:rsidRPr="00742A04">
        <w:t>a fin de</w:t>
      </w:r>
      <w:r w:rsidR="00545D1B" w:rsidRPr="00742A04">
        <w:t xml:space="preserve"> </w:t>
      </w:r>
      <w:r w:rsidR="0036497E">
        <w:t xml:space="preserve">evadirse de una </w:t>
      </w:r>
      <w:r w:rsidR="0036497E" w:rsidRPr="00742A04">
        <w:t>situación</w:t>
      </w:r>
      <w:r w:rsidR="0036497E">
        <w:t xml:space="preserve"> de</w:t>
      </w:r>
      <w:r w:rsidR="00E575DB" w:rsidRPr="00742A04">
        <w:t xml:space="preserve"> </w:t>
      </w:r>
      <w:r w:rsidR="00CA313E" w:rsidRPr="00742A04">
        <w:t>matrimonio forzado</w:t>
      </w:r>
      <w:r w:rsidR="00C27C42" w:rsidRPr="00742A04">
        <w:t>.</w:t>
      </w:r>
      <w:r w:rsidR="00545D1B" w:rsidRPr="00742A04">
        <w:t xml:space="preserve"> </w:t>
      </w:r>
      <w:r w:rsidR="0036497E" w:rsidRPr="00742A04">
        <w:t>Por consiguiente</w:t>
      </w:r>
      <w:r w:rsidR="0036497E">
        <w:t>,</w:t>
      </w:r>
      <w:r w:rsidR="0036497E" w:rsidRPr="00742A04">
        <w:t xml:space="preserve"> </w:t>
      </w:r>
      <w:r w:rsidR="0036497E">
        <w:t>c</w:t>
      </w:r>
      <w:r w:rsidR="005E603B" w:rsidRPr="00742A04">
        <w:t xml:space="preserve">on arreglo al </w:t>
      </w:r>
      <w:r w:rsidR="0036497E" w:rsidRPr="00742A04">
        <w:t>párrafo segundo</w:t>
      </w:r>
      <w:r w:rsidR="0036497E">
        <w:t xml:space="preserve"> del</w:t>
      </w:r>
      <w:r w:rsidR="0036497E" w:rsidRPr="00742A04">
        <w:t xml:space="preserve"> </w:t>
      </w:r>
      <w:r w:rsidR="005E603B" w:rsidRPr="00742A04">
        <w:t xml:space="preserve">artículo </w:t>
      </w:r>
      <w:r w:rsidR="00545D1B" w:rsidRPr="00742A04">
        <w:t xml:space="preserve">6 </w:t>
      </w:r>
      <w:r w:rsidR="00F43124" w:rsidRPr="00742A04">
        <w:t xml:space="preserve">de la </w:t>
      </w:r>
      <w:r w:rsidR="008B63DF" w:rsidRPr="00742A04">
        <w:t>Ley sobre Asistencia Jurídica Gratu</w:t>
      </w:r>
      <w:r w:rsidR="008B63DF" w:rsidRPr="00742A04">
        <w:t>i</w:t>
      </w:r>
      <w:r w:rsidR="008B63DF" w:rsidRPr="00742A04">
        <w:t>ta</w:t>
      </w:r>
      <w:r w:rsidR="00545D1B" w:rsidRPr="00742A04">
        <w:t>,</w:t>
      </w:r>
      <w:r w:rsidR="0036497E">
        <w:t xml:space="preserve"> se</w:t>
      </w:r>
      <w:r w:rsidR="00545D1B" w:rsidRPr="00742A04">
        <w:t xml:space="preserve"> </w:t>
      </w:r>
      <w:r w:rsidR="0036497E" w:rsidRPr="00742A04">
        <w:t>ha establ</w:t>
      </w:r>
      <w:r w:rsidR="0036497E">
        <w:t>ecido un</w:t>
      </w:r>
      <w:r w:rsidR="00545D1B" w:rsidRPr="00742A04">
        <w:t xml:space="preserve"> </w:t>
      </w:r>
      <w:r w:rsidR="0036497E" w:rsidRPr="00742A04">
        <w:t xml:space="preserve">servicio </w:t>
      </w:r>
      <w:r w:rsidR="00E574AD" w:rsidRPr="00742A04">
        <w:t>especial</w:t>
      </w:r>
      <w:r w:rsidR="00545D1B" w:rsidRPr="00742A04">
        <w:t xml:space="preserve"> </w:t>
      </w:r>
      <w:r w:rsidR="0036497E">
        <w:t xml:space="preserve">de </w:t>
      </w:r>
      <w:r w:rsidR="008B63DF" w:rsidRPr="00742A04">
        <w:t>asistencia jurídica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82A08" w:rsidRPr="00742A04">
        <w:t>las personas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36497E">
        <w:t>sean</w:t>
      </w:r>
      <w:r w:rsidR="00AE655D" w:rsidRPr="00742A04">
        <w:t xml:space="preserve"> víctimas</w:t>
      </w:r>
      <w:r w:rsidR="0036497E">
        <w:t xml:space="preserve"> de un</w:t>
      </w:r>
      <w:r w:rsidR="00C07ED9" w:rsidRPr="00742A04">
        <w:t xml:space="preserve"> </w:t>
      </w:r>
      <w:r w:rsidR="00CA313E" w:rsidRPr="00742A04">
        <w:t>matrimonio forzado</w:t>
      </w:r>
      <w:r w:rsidR="00545D1B" w:rsidRPr="00742A04">
        <w:t xml:space="preserve">. </w:t>
      </w:r>
      <w:r w:rsidR="008E5EBF" w:rsidRPr="00742A04">
        <w:t xml:space="preserve">Una persona </w:t>
      </w:r>
      <w:r w:rsidR="0038081E" w:rsidRPr="00742A04">
        <w:t xml:space="preserve">víctima </w:t>
      </w:r>
      <w:r w:rsidR="00C07ED9" w:rsidRPr="00742A04">
        <w:t>de</w:t>
      </w:r>
      <w:r w:rsidR="0036497E">
        <w:t xml:space="preserve"> un</w:t>
      </w:r>
      <w:r w:rsidR="00C07ED9" w:rsidRPr="00742A04">
        <w:t xml:space="preserve"> </w:t>
      </w:r>
      <w:r w:rsidR="00CA313E" w:rsidRPr="00742A04">
        <w:t>matrimonio forzado</w:t>
      </w:r>
      <w:r w:rsidR="00545D1B" w:rsidRPr="00742A04">
        <w:t xml:space="preserve"> </w:t>
      </w:r>
      <w:r w:rsidR="009B24F7" w:rsidRPr="00742A04">
        <w:t>tiene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8B63DF" w:rsidRPr="00742A04">
        <w:t>asistencia jurídica gratuita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4C7F5B">
        <w:t>verificación de ingresos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4C7F5B">
        <w:t>tener que pagar una parte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8081E" w:rsidRPr="00742A04">
        <w:t>los costos</w:t>
      </w:r>
      <w:r w:rsidR="00545D1B" w:rsidRPr="00742A04">
        <w:t>.</w:t>
      </w:r>
    </w:p>
    <w:p w:rsidR="00545D1B" w:rsidRPr="00742A04" w:rsidRDefault="001C6426" w:rsidP="00466626">
      <w:pPr>
        <w:pStyle w:val="SingleTxt"/>
        <w:ind w:firstLine="475"/>
      </w:pPr>
      <w:r w:rsidRPr="00742A04">
        <w:t xml:space="preserve">Como parte </w:t>
      </w:r>
      <w:r w:rsidR="006B65CD" w:rsidRPr="00742A04">
        <w:t>del plan</w:t>
      </w:r>
      <w:r w:rsidR="003E4840" w:rsidRPr="00742A04">
        <w:t xml:space="preserve"> de </w:t>
      </w:r>
      <w:r w:rsidR="006B65CD" w:rsidRPr="00742A04">
        <w:t>acción</w:t>
      </w:r>
      <w:r w:rsidR="00545D1B" w:rsidRPr="00742A04">
        <w:t xml:space="preserve"> </w:t>
      </w:r>
      <w:r w:rsidR="00545D1B" w:rsidRPr="00742A04">
        <w:rPr>
          <w:i/>
        </w:rPr>
        <w:t>Re</w:t>
      </w:r>
      <w:r w:rsidR="007C65B3" w:rsidRPr="00742A04">
        <w:rPr>
          <w:i/>
        </w:rPr>
        <w:t>n</w:t>
      </w:r>
      <w:r w:rsidR="005319F1">
        <w:rPr>
          <w:i/>
        </w:rPr>
        <w:t>ovados E</w:t>
      </w:r>
      <w:r w:rsidR="00502E16" w:rsidRPr="00742A04">
        <w:rPr>
          <w:i/>
        </w:rPr>
        <w:t>sfuerzos</w:t>
      </w:r>
      <w:r w:rsidR="00545D1B" w:rsidRPr="00742A04">
        <w:rPr>
          <w:i/>
        </w:rPr>
        <w:t xml:space="preserve"> </w:t>
      </w:r>
      <w:r w:rsidR="005319F1">
        <w:rPr>
          <w:i/>
        </w:rPr>
        <w:t>de L</w:t>
      </w:r>
      <w:r w:rsidR="007C341F" w:rsidRPr="00742A04">
        <w:rPr>
          <w:i/>
        </w:rPr>
        <w:t xml:space="preserve">ucha </w:t>
      </w:r>
      <w:r w:rsidR="005319F1">
        <w:rPr>
          <w:i/>
        </w:rPr>
        <w:t>contra los M</w:t>
      </w:r>
      <w:r w:rsidR="00834309" w:rsidRPr="00742A04">
        <w:rPr>
          <w:i/>
        </w:rPr>
        <w:t>a</w:t>
      </w:r>
      <w:r w:rsidR="00834309" w:rsidRPr="00742A04">
        <w:rPr>
          <w:i/>
        </w:rPr>
        <w:t>trimo</w:t>
      </w:r>
      <w:r w:rsidR="005319F1">
        <w:rPr>
          <w:i/>
        </w:rPr>
        <w:t>nios F</w:t>
      </w:r>
      <w:r w:rsidR="00834309" w:rsidRPr="00742A04">
        <w:rPr>
          <w:i/>
        </w:rPr>
        <w:t>orzados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5319F1">
        <w:t>como</w:t>
      </w:r>
      <w:r w:rsidR="00E575DB" w:rsidRPr="00742A04">
        <w:t xml:space="preserve"> </w:t>
      </w:r>
      <w:r w:rsidR="005E2D7A" w:rsidRPr="00742A04">
        <w:t>seguimiento</w:t>
      </w:r>
      <w:r w:rsidR="00545D1B" w:rsidRPr="00742A04">
        <w:t xml:space="preserve"> </w:t>
      </w:r>
      <w:r w:rsidR="005319F1">
        <w:t>de la</w:t>
      </w:r>
      <w:r w:rsidR="00545D1B" w:rsidRPr="00742A04">
        <w:t xml:space="preserve"> Proposi</w:t>
      </w:r>
      <w:r w:rsidR="00C14BFF" w:rsidRPr="00742A04">
        <w:t xml:space="preserve">ción </w:t>
      </w:r>
      <w:r w:rsidR="00F97F41" w:rsidRPr="00742A04">
        <w:t>N°</w:t>
      </w:r>
      <w:r w:rsidR="00545D1B" w:rsidRPr="00742A04">
        <w:t xml:space="preserve"> 103 (2002-2003) </w:t>
      </w:r>
      <w:r w:rsidR="003C25BF" w:rsidRPr="00742A04">
        <w:t>al Odelsting</w:t>
      </w:r>
      <w:r w:rsidR="00545D1B" w:rsidRPr="00742A04">
        <w:t xml:space="preserve"> </w:t>
      </w:r>
      <w:r w:rsidR="00EA6AC2" w:rsidRPr="00742A04">
        <w:t>relativ</w:t>
      </w:r>
      <w:r w:rsidR="005319F1">
        <w:t>a</w:t>
      </w:r>
      <w:r w:rsidR="00EA6AC2" w:rsidRPr="00742A04">
        <w:t xml:space="preserve"> a</w:t>
      </w:r>
      <w:r w:rsidR="00545D1B" w:rsidRPr="00742A04">
        <w:t xml:space="preserve"> </w:t>
      </w:r>
      <w:r w:rsidR="00CD2FF0" w:rsidRPr="00742A04">
        <w:t>enmiendas</w:t>
      </w:r>
      <w:r w:rsidR="005319F1">
        <w:t xml:space="preserve"> a l</w:t>
      </w:r>
      <w:r w:rsidR="001E30D6" w:rsidRPr="00742A04">
        <w:t xml:space="preserve">a </w:t>
      </w:r>
      <w:r w:rsidR="00230F13" w:rsidRPr="00742A04">
        <w:t>Ley</w:t>
      </w:r>
      <w:r w:rsidR="00545D1B" w:rsidRPr="00742A04">
        <w:t xml:space="preserve"> </w:t>
      </w:r>
      <w:r w:rsidR="0023681E" w:rsidRPr="00742A04">
        <w:t>N° 47</w:t>
      </w:r>
      <w:r w:rsidR="0023681E">
        <w:t>,</w:t>
      </w:r>
      <w:r w:rsidR="0023681E" w:rsidRPr="00742A04">
        <w:t xml:space="preserve"> </w:t>
      </w:r>
      <w:r w:rsidR="004A0730" w:rsidRPr="00742A04">
        <w:t>de</w:t>
      </w:r>
      <w:r w:rsidR="00545D1B" w:rsidRPr="00742A04">
        <w:t xml:space="preserve"> 4 </w:t>
      </w:r>
      <w:r w:rsidR="005319F1">
        <w:t>de j</w:t>
      </w:r>
      <w:r w:rsidR="00834309" w:rsidRPr="00742A04">
        <w:t>ulio</w:t>
      </w:r>
      <w:r w:rsidR="005319F1">
        <w:t xml:space="preserve"> de</w:t>
      </w:r>
      <w:r w:rsidR="00545D1B" w:rsidRPr="00742A04">
        <w:t xml:space="preserve"> 1991</w:t>
      </w:r>
      <w:r w:rsidR="005319F1">
        <w:t>,</w:t>
      </w:r>
      <w:r w:rsidR="00545D1B" w:rsidRPr="00742A04">
        <w:t xml:space="preserve"> </w:t>
      </w:r>
      <w:r w:rsidR="00072AD7" w:rsidRPr="00742A04">
        <w:t>relativa a</w:t>
      </w:r>
      <w:r w:rsidR="005319F1">
        <w:t>l</w:t>
      </w:r>
      <w:r w:rsidR="00545D1B" w:rsidRPr="00742A04">
        <w:t xml:space="preserve"> </w:t>
      </w:r>
      <w:r w:rsidR="00EA1805" w:rsidRPr="00742A04">
        <w:t>m</w:t>
      </w:r>
      <w:r w:rsidR="00EA1805" w:rsidRPr="00742A04">
        <w:t>a</w:t>
      </w:r>
      <w:r w:rsidR="00EA1805" w:rsidRPr="00742A04">
        <w:t>trimonio</w:t>
      </w:r>
      <w:r w:rsidR="00545D1B" w:rsidRPr="00742A04">
        <w:t xml:space="preserve"> (</w:t>
      </w:r>
      <w:r w:rsidR="00963214" w:rsidRPr="00742A04">
        <w:t xml:space="preserve">la Ley </w:t>
      </w:r>
      <w:r w:rsidR="008B63DF" w:rsidRPr="00742A04">
        <w:t>sobre el Matrimonio</w:t>
      </w:r>
      <w:r w:rsidR="00545D1B" w:rsidRPr="00742A04">
        <w:t xml:space="preserve">), </w:t>
      </w:r>
      <w:r w:rsidR="00877AA0" w:rsidRPr="00742A04">
        <w:t>y</w:t>
      </w:r>
      <w:r w:rsidR="00545D1B" w:rsidRPr="00742A04">
        <w:t xml:space="preserve"> </w:t>
      </w:r>
      <w:r w:rsidR="003E4840" w:rsidRPr="00742A04">
        <w:t>después de</w:t>
      </w:r>
      <w:r w:rsidR="00545D1B" w:rsidRPr="00742A04">
        <w:t xml:space="preserve"> </w:t>
      </w:r>
      <w:r w:rsidR="005319F1">
        <w:t xml:space="preserve">celebrar </w:t>
      </w:r>
      <w:r w:rsidR="00545D1B" w:rsidRPr="00742A04">
        <w:t>consulta</w:t>
      </w:r>
      <w:r w:rsidR="008907B8" w:rsidRPr="00742A04">
        <w:t>s</w:t>
      </w:r>
      <w:r w:rsidR="00545D1B" w:rsidRPr="00742A04">
        <w:t xml:space="preserve">, </w:t>
      </w:r>
      <w:r w:rsidR="005319F1">
        <w:t>el</w:t>
      </w:r>
      <w:r w:rsidR="005319F1" w:rsidRPr="00742A04">
        <w:t xml:space="preserve"> 30 de j</w:t>
      </w:r>
      <w:r w:rsidR="005319F1" w:rsidRPr="00742A04">
        <w:t>u</w:t>
      </w:r>
      <w:r w:rsidR="005319F1" w:rsidRPr="00742A04">
        <w:t xml:space="preserve">nio de 2006 </w:t>
      </w:r>
      <w:r w:rsidR="005319F1">
        <w:t xml:space="preserve">se presentaron </w:t>
      </w:r>
      <w:r w:rsidR="005319F1" w:rsidRPr="00742A04">
        <w:t xml:space="preserve">al Storting </w:t>
      </w:r>
      <w:r w:rsidR="003C25BF" w:rsidRPr="00742A04">
        <w:t>propuesta</w:t>
      </w:r>
      <w:r w:rsidR="00545D1B" w:rsidRPr="00742A04">
        <w:t xml:space="preserve">s </w:t>
      </w:r>
      <w:r w:rsidR="005319F1">
        <w:t>de</w:t>
      </w:r>
      <w:r w:rsidR="00545D1B" w:rsidRPr="00742A04">
        <w:t xml:space="preserve"> </w:t>
      </w:r>
      <w:r w:rsidR="00CD2FF0" w:rsidRPr="00742A04">
        <w:t>enmiendas</w:t>
      </w:r>
      <w:r w:rsidR="005319F1">
        <w:t xml:space="preserve"> a l</w:t>
      </w:r>
      <w:r w:rsidR="001E30D6" w:rsidRPr="00742A04">
        <w:t xml:space="preserve">a </w:t>
      </w:r>
      <w:r w:rsidR="00963214" w:rsidRPr="00742A04">
        <w:t xml:space="preserve">Ley </w:t>
      </w:r>
      <w:r w:rsidR="008B63DF" w:rsidRPr="00742A04">
        <w:t>sobre el Matrimonio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63214" w:rsidRPr="00742A04">
        <w:t xml:space="preserve">la Ley </w:t>
      </w:r>
      <w:r w:rsidR="008B63DF" w:rsidRPr="00742A04">
        <w:t>de Procedimiento Penal</w:t>
      </w:r>
      <w:r w:rsidR="00545D1B" w:rsidRPr="00742A04">
        <w:t xml:space="preserve"> (Proposi</w:t>
      </w:r>
      <w:r w:rsidR="00C14BFF" w:rsidRPr="00742A04">
        <w:t xml:space="preserve">ción </w:t>
      </w:r>
      <w:r w:rsidR="00F97F41" w:rsidRPr="00742A04">
        <w:t>N°</w:t>
      </w:r>
      <w:r w:rsidR="00545D1B" w:rsidRPr="00742A04">
        <w:t xml:space="preserve"> 100 (2005-2006) </w:t>
      </w:r>
      <w:r w:rsidR="003C25BF" w:rsidRPr="00742A04">
        <w:t>al Odelsting</w:t>
      </w:r>
      <w:r w:rsidR="00545D1B" w:rsidRPr="00742A04">
        <w:t xml:space="preserve"> </w:t>
      </w:r>
      <w:r w:rsidR="00072AD7" w:rsidRPr="00742A04">
        <w:t>relativa a</w:t>
      </w:r>
      <w:r w:rsidR="00545D1B" w:rsidRPr="00742A04">
        <w:t xml:space="preserve"> </w:t>
      </w:r>
      <w:r w:rsidR="00CD2FF0" w:rsidRPr="00742A04">
        <w:t>enmiendas</w:t>
      </w:r>
      <w:r w:rsidR="005319F1">
        <w:t xml:space="preserve"> a l</w:t>
      </w:r>
      <w:r w:rsidR="001E30D6" w:rsidRPr="00742A04">
        <w:t xml:space="preserve">a </w:t>
      </w:r>
      <w:r w:rsidR="00963214" w:rsidRPr="00742A04">
        <w:t xml:space="preserve">Ley </w:t>
      </w:r>
      <w:r w:rsidR="008B63DF" w:rsidRPr="00742A04">
        <w:t>sobre el Matrimonio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319F1">
        <w:t xml:space="preserve">a </w:t>
      </w:r>
      <w:r w:rsidR="00963214" w:rsidRPr="00742A04">
        <w:t xml:space="preserve">la Ley </w:t>
      </w:r>
      <w:r w:rsidR="008B63DF" w:rsidRPr="00742A04">
        <w:t>de Proced</w:t>
      </w:r>
      <w:r w:rsidR="008B63DF" w:rsidRPr="00742A04">
        <w:t>i</w:t>
      </w:r>
      <w:r w:rsidR="008B63DF" w:rsidRPr="00742A04">
        <w:t>miento Penal</w:t>
      </w:r>
      <w:r w:rsidR="00545D1B" w:rsidRPr="00742A04">
        <w:t xml:space="preserve"> (</w:t>
      </w:r>
      <w:r w:rsidR="00DC0DB8" w:rsidRPr="00742A04">
        <w:t>Medidas</w:t>
      </w:r>
      <w:r w:rsidR="00545D1B" w:rsidRPr="00742A04">
        <w:t xml:space="preserve"> </w:t>
      </w:r>
      <w:r w:rsidR="005319F1">
        <w:t>par</w:t>
      </w:r>
      <w:r w:rsidR="0030626A" w:rsidRPr="00742A04">
        <w:t>a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 w:rsidR="00CA313E" w:rsidRPr="00742A04">
        <w:t>el matr</w:t>
      </w:r>
      <w:r w:rsidR="00CA313E" w:rsidRPr="00742A04">
        <w:t>i</w:t>
      </w:r>
      <w:r w:rsidR="00CA313E" w:rsidRPr="00742A04">
        <w:t>monio forzado</w:t>
      </w:r>
      <w:r w:rsidR="00545D1B" w:rsidRPr="00742A04">
        <w:t>, etc.))</w:t>
      </w:r>
    </w:p>
    <w:p w:rsidR="000A08D8" w:rsidRPr="00742A04" w:rsidRDefault="005319F1" w:rsidP="00466626">
      <w:pPr>
        <w:pStyle w:val="SingleTxt"/>
        <w:ind w:firstLine="475"/>
      </w:pPr>
      <w:r>
        <w:t>Con arreglo a</w:t>
      </w:r>
      <w:r w:rsidR="00BD47D3" w:rsidRPr="00742A04">
        <w:t>l derecho de Noruega</w:t>
      </w:r>
      <w:r w:rsidR="00545D1B" w:rsidRPr="00742A04">
        <w:t xml:space="preserve">, </w:t>
      </w:r>
      <w:r w:rsidR="002C0100" w:rsidRPr="00742A04">
        <w:t>l</w:t>
      </w:r>
      <w:r>
        <w:t xml:space="preserve">os contrayentes </w:t>
      </w:r>
      <w:r w:rsidR="007D4688" w:rsidRPr="00742A04">
        <w:t>debe</w:t>
      </w:r>
      <w:r>
        <w:t>n</w:t>
      </w:r>
      <w:r w:rsidR="00545D1B" w:rsidRPr="00742A04">
        <w:t xml:space="preserve">, </w:t>
      </w:r>
      <w:r w:rsidR="0020526A" w:rsidRPr="00742A04">
        <w:t>por regla general</w:t>
      </w:r>
      <w:r w:rsidR="00545D1B" w:rsidRPr="00742A04">
        <w:t xml:space="preserve">, </w:t>
      </w:r>
      <w:r>
        <w:t>tener</w:t>
      </w:r>
      <w:r w:rsidR="00545D1B" w:rsidRPr="00742A04">
        <w:t xml:space="preserve"> </w:t>
      </w:r>
      <w:r w:rsidR="00657260" w:rsidRPr="00742A04">
        <w:t>por lo menos</w:t>
      </w:r>
      <w:r w:rsidR="00545D1B" w:rsidRPr="00742A04">
        <w:t xml:space="preserve"> 18 </w:t>
      </w:r>
      <w:r w:rsidR="004D313C" w:rsidRPr="00742A04">
        <w:t>años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 </w:t>
      </w:r>
      <w:r>
        <w:t>par</w:t>
      </w:r>
      <w:r w:rsidR="0030626A" w:rsidRPr="00742A04">
        <w:t>a</w:t>
      </w:r>
      <w:r w:rsidR="00545D1B" w:rsidRPr="00742A04">
        <w:t xml:space="preserve"> </w:t>
      </w:r>
      <w:r w:rsidR="009D5D64" w:rsidRPr="00742A04">
        <w:t>contraer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>
        <w:t>ambos co</w:t>
      </w:r>
      <w:r>
        <w:t>n</w:t>
      </w:r>
      <w:r>
        <w:t>trayentes</w:t>
      </w:r>
      <w:r w:rsidR="00545D1B" w:rsidRPr="00742A04">
        <w:t xml:space="preserve"> </w:t>
      </w:r>
      <w:r w:rsidR="0020526A" w:rsidRPr="00742A04">
        <w:t>debe</w:t>
      </w:r>
      <w:r>
        <w:t>n</w:t>
      </w:r>
      <w:r w:rsidR="0020526A" w:rsidRPr="00742A04">
        <w:t xml:space="preserve"> estar </w:t>
      </w:r>
      <w:r w:rsidR="00545D1B" w:rsidRPr="00742A04">
        <w:t>present</w:t>
      </w:r>
      <w:r>
        <w:t>es</w:t>
      </w:r>
      <w:r w:rsidR="00545D1B" w:rsidRPr="00742A04">
        <w:t xml:space="preserve"> </w:t>
      </w:r>
      <w:r>
        <w:t xml:space="preserve">en la </w:t>
      </w:r>
      <w:r w:rsidR="00B7191C" w:rsidRPr="00742A04">
        <w:t>ceremonia</w:t>
      </w:r>
      <w:r w:rsidRPr="005319F1">
        <w:t xml:space="preserve"> </w:t>
      </w:r>
      <w:r>
        <w:t>de</w:t>
      </w:r>
      <w:r w:rsidRPr="00742A04">
        <w:t xml:space="preserve"> matrimonio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>
        <w:t>la</w:t>
      </w:r>
      <w:r w:rsidR="00545D1B" w:rsidRPr="00742A04">
        <w:t xml:space="preserve"> Proposi</w:t>
      </w:r>
      <w:r w:rsidR="00C14BFF" w:rsidRPr="00742A04">
        <w:t xml:space="preserve">ción </w:t>
      </w:r>
      <w:r w:rsidR="003C25BF" w:rsidRPr="00742A04">
        <w:t>al Odel</w:t>
      </w:r>
      <w:r w:rsidR="003C25BF" w:rsidRPr="00742A04">
        <w:t>s</w:t>
      </w:r>
      <w:r w:rsidR="003C25BF" w:rsidRPr="00742A04">
        <w:t>ting</w:t>
      </w:r>
      <w:r w:rsidR="00545D1B" w:rsidRPr="00742A04">
        <w:t xml:space="preserve">, </w:t>
      </w:r>
      <w:r>
        <w:t xml:space="preserve">se </w:t>
      </w:r>
      <w:r w:rsidR="00545D1B" w:rsidRPr="00742A04">
        <w:t>propo</w:t>
      </w:r>
      <w:r>
        <w:t>ne</w:t>
      </w:r>
      <w:r w:rsidR="00545D1B" w:rsidRPr="00742A04">
        <w:t xml:space="preserve"> </w:t>
      </w:r>
      <w:r>
        <w:t xml:space="preserve">que </w:t>
      </w:r>
      <w:r w:rsidR="0023681E">
        <w:t>los</w:t>
      </w:r>
      <w:r w:rsidR="00545D1B" w:rsidRPr="00742A04">
        <w:t xml:space="preserve"> </w:t>
      </w:r>
      <w:r w:rsidR="00EA1805" w:rsidRPr="00742A04">
        <w:t>matrimonio</w:t>
      </w:r>
      <w:r w:rsidR="0023681E">
        <w:t>s</w:t>
      </w:r>
      <w:r w:rsidR="00545D1B" w:rsidRPr="00742A04">
        <w:t xml:space="preserve"> </w:t>
      </w:r>
      <w:r>
        <w:t>celebrado</w:t>
      </w:r>
      <w:r w:rsidR="0023681E">
        <w:t>s</w:t>
      </w:r>
      <w:r w:rsidR="00545D1B" w:rsidRPr="00742A04">
        <w:t xml:space="preserve"> </w:t>
      </w:r>
      <w:r w:rsidR="00EE16A2" w:rsidRPr="00742A04">
        <w:t>en el extranjero</w:t>
      </w:r>
      <w:r w:rsidR="00545D1B" w:rsidRPr="00742A04">
        <w:t xml:space="preserve">, </w:t>
      </w:r>
      <w:r w:rsidR="00056EF1" w:rsidRPr="00742A04">
        <w:t xml:space="preserve">en </w:t>
      </w:r>
      <w:r w:rsidR="0023681E">
        <w:t>los</w:t>
      </w:r>
      <w:r>
        <w:t xml:space="preserve"> </w:t>
      </w:r>
      <w:r w:rsidR="00056EF1" w:rsidRPr="00742A04">
        <w:t>que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>
        <w:t xml:space="preserve">de los contrayentes, </w:t>
      </w:r>
      <w:r w:rsidR="008E5EBF" w:rsidRPr="00742A04">
        <w:t>o</w:t>
      </w:r>
      <w:r w:rsidR="00545D1B" w:rsidRPr="00742A04">
        <w:t xml:space="preserve"> </w:t>
      </w:r>
      <w:r>
        <w:t xml:space="preserve">ambos, </w:t>
      </w:r>
      <w:r w:rsidR="006137EC" w:rsidRPr="00742A04">
        <w:t>s</w:t>
      </w:r>
      <w:r>
        <w:t>ean menores de</w:t>
      </w:r>
      <w:r w:rsidR="00545D1B" w:rsidRPr="00742A04">
        <w:t xml:space="preserve"> 18</w:t>
      </w:r>
      <w:r>
        <w:t xml:space="preserve"> años,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056EF1" w:rsidRPr="00742A04">
        <w:t>que</w:t>
      </w:r>
      <w:r w:rsidR="00545D1B" w:rsidRPr="00742A04">
        <w:t xml:space="preserve"> </w:t>
      </w:r>
      <w:r>
        <w:t>se haya</w:t>
      </w:r>
      <w:r w:rsidR="0023681E">
        <w:t>n</w:t>
      </w:r>
      <w:r>
        <w:t xml:space="preserve"> celebrado por poder</w:t>
      </w:r>
      <w:r w:rsidR="00545D1B" w:rsidRPr="00742A04">
        <w:t xml:space="preserve">, </w:t>
      </w:r>
      <w:r w:rsidR="00154FBB" w:rsidRPr="00742A04">
        <w:t xml:space="preserve">no </w:t>
      </w:r>
      <w:r>
        <w:t>podrá</w:t>
      </w:r>
      <w:r w:rsidR="0023681E">
        <w:t>n</w:t>
      </w:r>
      <w:r>
        <w:t xml:space="preserve"> ser</w:t>
      </w:r>
      <w:r w:rsidR="00545D1B" w:rsidRPr="00742A04">
        <w:t xml:space="preserve"> recon</w:t>
      </w:r>
      <w:r>
        <w:t>ocido</w:t>
      </w:r>
      <w:r w:rsidR="0023681E">
        <w:t>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657260" w:rsidRPr="00742A04">
        <w:t>por lo menos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C0100" w:rsidRPr="00742A04">
        <w:t>l</w:t>
      </w:r>
      <w:r>
        <w:t>o</w:t>
      </w:r>
      <w:r w:rsidR="002C0100" w:rsidRPr="00742A04">
        <w:t xml:space="preserve">s </w:t>
      </w:r>
      <w:r>
        <w:t>contraye</w:t>
      </w:r>
      <w:r>
        <w:t>n</w:t>
      </w:r>
      <w:r>
        <w:t xml:space="preserve">tes </w:t>
      </w:r>
      <w:r w:rsidR="00BB4DB1" w:rsidRPr="00742A04">
        <w:t>es</w:t>
      </w:r>
      <w:r w:rsidR="00545D1B" w:rsidRPr="00742A04">
        <w:t xml:space="preserve"> </w:t>
      </w:r>
      <w:r w:rsidR="009B24F7" w:rsidRPr="00742A04">
        <w:t>nacional de Noruega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>
        <w:t xml:space="preserve">un residente </w:t>
      </w:r>
      <w:r w:rsidR="00545D1B" w:rsidRPr="00742A04">
        <w:t>permanent</w:t>
      </w:r>
      <w:r>
        <w:t>e 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. </w:t>
      </w:r>
      <w:r w:rsidR="006B65CD" w:rsidRPr="00742A04">
        <w:t>La finalidad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>
        <w:t>esa norma es</w:t>
      </w:r>
      <w:r w:rsidR="00545D1B" w:rsidRPr="00742A04">
        <w:t xml:space="preserve"> </w:t>
      </w:r>
      <w:r w:rsidR="00502E16" w:rsidRPr="00742A04">
        <w:t>prevenir</w:t>
      </w:r>
      <w:r w:rsidR="00545D1B" w:rsidRPr="00742A04">
        <w:t xml:space="preserve"> </w:t>
      </w:r>
      <w:r>
        <w:t>el</w:t>
      </w:r>
      <w:r w:rsidR="00545D1B" w:rsidRPr="00742A04">
        <w:t xml:space="preserve"> </w:t>
      </w:r>
      <w:r w:rsidR="00EA1805" w:rsidRPr="00742A04">
        <w:t>matrimonio</w:t>
      </w:r>
      <w:r>
        <w:t xml:space="preserve"> en la niñez</w:t>
      </w:r>
      <w:r w:rsidR="00545D1B" w:rsidRPr="00742A04">
        <w:t xml:space="preserve">, </w:t>
      </w:r>
      <w:r w:rsidR="00C938AE" w:rsidRPr="00742A04">
        <w:t>reducir</w:t>
      </w:r>
      <w:r w:rsidR="00545D1B" w:rsidRPr="00742A04">
        <w:t xml:space="preserve"> </w:t>
      </w:r>
      <w:r>
        <w:t>el</w:t>
      </w:r>
      <w:r w:rsidR="00545D1B" w:rsidRPr="00742A04">
        <w:t xml:space="preserve"> </w:t>
      </w:r>
      <w:r w:rsidR="00DB2F4E" w:rsidRPr="00742A04">
        <w:t>riesgo</w:t>
      </w:r>
      <w:r w:rsidR="00C07ED9" w:rsidRPr="00742A04">
        <w:t xml:space="preserve"> de </w:t>
      </w:r>
      <w:r w:rsidR="00CA313E" w:rsidRPr="00742A04">
        <w:t>matrimonio</w:t>
      </w:r>
      <w:r>
        <w:t>s</w:t>
      </w:r>
      <w:r w:rsidR="00CA313E" w:rsidRPr="00742A04">
        <w:t xml:space="preserve"> forzado</w:t>
      </w:r>
      <w:r>
        <w:t>s</w:t>
      </w:r>
      <w:r w:rsidR="00545D1B" w:rsidRPr="00742A04">
        <w:t xml:space="preserve"> </w:t>
      </w:r>
      <w:r>
        <w:t xml:space="preserve">e impedir que se </w:t>
      </w:r>
      <w:r w:rsidR="00CC07C5">
        <w:t>eluda la aplica</w:t>
      </w:r>
      <w:r w:rsidR="00C14BFF" w:rsidRPr="00742A04">
        <w:t xml:space="preserve">ción </w:t>
      </w:r>
      <w:r w:rsidR="004A0730" w:rsidRPr="00742A04">
        <w:t>de</w:t>
      </w:r>
      <w:r w:rsidR="00545D1B" w:rsidRPr="00742A04">
        <w:t xml:space="preserve"> </w:t>
      </w:r>
      <w:r w:rsidR="00130F7F" w:rsidRPr="00742A04">
        <w:t>las normas</w:t>
      </w:r>
      <w:r w:rsidR="00545D1B" w:rsidRPr="00742A04">
        <w:t xml:space="preserve">. </w:t>
      </w:r>
      <w:r w:rsidR="00CC07C5">
        <w:t>T</w:t>
      </w:r>
      <w:r w:rsidR="0030626A" w:rsidRPr="00742A04">
        <w:t>ambién</w:t>
      </w:r>
      <w:r w:rsidR="00545D1B" w:rsidRPr="00742A04">
        <w:t xml:space="preserve"> </w:t>
      </w:r>
      <w:r w:rsidR="00CC07C5">
        <w:t xml:space="preserve">se </w:t>
      </w:r>
      <w:r w:rsidR="00545D1B" w:rsidRPr="00742A04">
        <w:t>propo</w:t>
      </w:r>
      <w:r w:rsidR="00CC07C5">
        <w:t>ne f</w:t>
      </w:r>
      <w:r w:rsidR="00CC07C5">
        <w:t>i</w:t>
      </w:r>
      <w:r w:rsidR="00CC07C5">
        <w:t>jar en</w:t>
      </w:r>
      <w:r w:rsidR="00545D1B" w:rsidRPr="00742A04">
        <w:t xml:space="preserve"> 16 </w:t>
      </w:r>
      <w:r w:rsidR="004D313C" w:rsidRPr="00742A04">
        <w:t>años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 </w:t>
      </w:r>
      <w:r w:rsidR="00CC07C5">
        <w:t>el</w:t>
      </w:r>
      <w:r w:rsidR="00545D1B" w:rsidRPr="00742A04">
        <w:t xml:space="preserve"> </w:t>
      </w:r>
      <w:r w:rsidR="00CE1CFC" w:rsidRPr="00742A04">
        <w:t>límite</w:t>
      </w:r>
      <w:r w:rsidR="00CC07C5">
        <w:t xml:space="preserve"> mínimo absoluto</w:t>
      </w:r>
      <w:r w:rsidR="00545D1B" w:rsidRPr="00742A04">
        <w:t xml:space="preserve"> </w:t>
      </w:r>
      <w:r w:rsidR="00F43124" w:rsidRPr="00742A04">
        <w:t>para</w:t>
      </w:r>
      <w:r w:rsidR="00CC07C5">
        <w:t xml:space="preserve"> que</w:t>
      </w:r>
      <w:r w:rsidR="00545D1B" w:rsidRPr="00742A04">
        <w:t xml:space="preserve"> </w:t>
      </w:r>
      <w:r w:rsidR="008A7280" w:rsidRPr="00742A04">
        <w:t xml:space="preserve">el </w:t>
      </w:r>
      <w:r w:rsidR="001B4F21" w:rsidRPr="00742A04">
        <w:t>gobernador de condado</w:t>
      </w:r>
      <w:r w:rsidR="00545D1B" w:rsidRPr="00742A04">
        <w:t xml:space="preserve"> </w:t>
      </w:r>
      <w:r w:rsidR="00CC07C5">
        <w:t>pueda otorgar una</w:t>
      </w:r>
      <w:r w:rsidR="00545D1B" w:rsidRPr="00742A04">
        <w:t xml:space="preserve"> dispensa</w:t>
      </w:r>
      <w:r w:rsidR="00CC07C5">
        <w:t xml:space="preserve"> del requisito</w:t>
      </w:r>
      <w:r w:rsidR="00C14BFF" w:rsidRPr="00742A04">
        <w:t xml:space="preserve"> </w:t>
      </w:r>
      <w:r w:rsidR="008F0C8E" w:rsidRPr="00742A04">
        <w:t>de</w:t>
      </w:r>
      <w:r w:rsidR="00545D1B" w:rsidRPr="00742A04">
        <w:t xml:space="preserve"> 18 </w:t>
      </w:r>
      <w:r w:rsidR="004D313C" w:rsidRPr="00742A04">
        <w:t>años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 </w:t>
      </w:r>
      <w:r w:rsidR="00BD47D3" w:rsidRPr="00742A04">
        <w:t xml:space="preserve">en virtud </w:t>
      </w:r>
      <w:r w:rsidR="00F43124" w:rsidRPr="00742A04">
        <w:t xml:space="preserve">de la </w:t>
      </w:r>
      <w:r w:rsidR="00963214" w:rsidRPr="00742A04">
        <w:t xml:space="preserve">Ley </w:t>
      </w:r>
      <w:r w:rsidR="008B63DF" w:rsidRPr="00742A04">
        <w:t>s</w:t>
      </w:r>
      <w:r w:rsidR="008B63DF" w:rsidRPr="00742A04">
        <w:t>o</w:t>
      </w:r>
      <w:r w:rsidR="008B63DF" w:rsidRPr="00742A04">
        <w:t>bre el Matrimonio</w:t>
      </w:r>
      <w:r w:rsidR="00545D1B" w:rsidRPr="00742A04">
        <w:t xml:space="preserve">. </w:t>
      </w:r>
      <w:r w:rsidR="0058094F" w:rsidRPr="00742A04">
        <w:t>A fin de</w:t>
      </w:r>
      <w:r w:rsidR="00545D1B" w:rsidRPr="00742A04">
        <w:t xml:space="preserve"> </w:t>
      </w:r>
      <w:r w:rsidR="00CC07C5">
        <w:t>subsanar graves</w:t>
      </w:r>
      <w:r w:rsidR="00545D1B" w:rsidRPr="00742A04">
        <w:t xml:space="preserve"> </w:t>
      </w:r>
      <w:r w:rsidR="00CC4794" w:rsidRPr="00742A04">
        <w:t>consecuencias negativas</w:t>
      </w:r>
      <w:r w:rsidR="00545D1B" w:rsidRPr="00742A04">
        <w:t xml:space="preserve"> </w:t>
      </w:r>
      <w:r w:rsidR="00CC07C5">
        <w:t>der</w:t>
      </w:r>
      <w:r w:rsidR="00CC07C5">
        <w:t>i</w:t>
      </w:r>
      <w:r w:rsidR="00CC07C5">
        <w:t>vadas de l</w:t>
      </w:r>
      <w:r w:rsidR="00507A11" w:rsidRPr="00742A04">
        <w:t>a falta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37D84" w:rsidRPr="00742A04">
        <w:t>reconocimiento</w:t>
      </w:r>
      <w:r w:rsidR="00FD7D4E" w:rsidRPr="00742A04">
        <w:t xml:space="preserve"> de</w:t>
      </w:r>
      <w:r w:rsidR="00CC07C5">
        <w:t>l</w:t>
      </w:r>
      <w:r w:rsidR="00FD7D4E" w:rsidRPr="00742A04">
        <w:t xml:space="preserve"> </w:t>
      </w:r>
      <w:r w:rsidR="00EA1805" w:rsidRPr="00742A04">
        <w:t>matrimonio</w:t>
      </w:r>
      <w:r w:rsidR="00545D1B" w:rsidRPr="00742A04">
        <w:t xml:space="preserve">, </w:t>
      </w:r>
      <w:r w:rsidR="00CC07C5">
        <w:t>se propone</w:t>
      </w:r>
      <w:r w:rsidR="00545D1B" w:rsidRPr="00742A04">
        <w:t xml:space="preserve"> </w:t>
      </w:r>
      <w:r w:rsidR="005C19C7" w:rsidRPr="00742A04">
        <w:t xml:space="preserve">que </w:t>
      </w:r>
      <w:r w:rsidR="00CC07C5">
        <w:t xml:space="preserve">puede haber un </w:t>
      </w:r>
      <w:r w:rsidR="00894371" w:rsidRPr="00742A04">
        <w:t>subs</w:t>
      </w:r>
      <w:r w:rsidR="00894371">
        <w:t>igu</w:t>
      </w:r>
      <w:r w:rsidR="00894371" w:rsidRPr="00742A04">
        <w:t>i</w:t>
      </w:r>
      <w:r w:rsidR="00894371">
        <w:t>e</w:t>
      </w:r>
      <w:r w:rsidR="00894371" w:rsidRPr="00742A04">
        <w:t>n</w:t>
      </w:r>
      <w:r w:rsidR="00894371" w:rsidRPr="00742A04">
        <w:t>te</w:t>
      </w:r>
      <w:r w:rsidR="00545D1B" w:rsidRPr="00742A04">
        <w:t xml:space="preserve"> </w:t>
      </w:r>
      <w:r w:rsidR="00837D84" w:rsidRPr="00742A04">
        <w:t>reconocimiento</w:t>
      </w:r>
      <w:r w:rsidR="00FD7D4E" w:rsidRPr="00742A04">
        <w:t xml:space="preserve"> de</w:t>
      </w:r>
      <w:r w:rsidR="00CC07C5">
        <w:t>l</w:t>
      </w:r>
      <w:r w:rsidR="00FD7D4E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021DB5" w:rsidRPr="00742A04">
        <w:t>hay</w:t>
      </w:r>
      <w:r w:rsidR="00545D1B" w:rsidRPr="00742A04">
        <w:t xml:space="preserve"> </w:t>
      </w:r>
      <w:r w:rsidR="00CC07C5">
        <w:t>motivos muy fundados</w:t>
      </w:r>
      <w:r w:rsidR="00545D1B" w:rsidRPr="00742A04">
        <w:t xml:space="preserve">, </w:t>
      </w:r>
      <w:r w:rsidR="00AD0883" w:rsidRPr="00742A04">
        <w:t>tales como</w:t>
      </w:r>
      <w:r w:rsidR="00545D1B" w:rsidRPr="00742A04">
        <w:t xml:space="preserve"> </w:t>
      </w:r>
      <w:r w:rsidR="00657260" w:rsidRPr="00742A04">
        <w:t>factores</w:t>
      </w:r>
      <w:r w:rsidR="00545D1B" w:rsidRPr="00742A04">
        <w:t xml:space="preserve"> </w:t>
      </w:r>
      <w:r w:rsidR="00E575DB" w:rsidRPr="00742A04">
        <w:t>que</w:t>
      </w:r>
      <w:r w:rsidR="00545D1B" w:rsidRPr="00742A04">
        <w:t xml:space="preserve"> </w:t>
      </w:r>
      <w:r w:rsidR="00CC07C5">
        <w:t>estén fuera del</w:t>
      </w:r>
      <w:r w:rsidR="00545D1B" w:rsidRPr="00742A04">
        <w:t xml:space="preserve"> control </w:t>
      </w:r>
      <w:r w:rsidR="004A0730" w:rsidRPr="00742A04">
        <w:t>de</w:t>
      </w:r>
      <w:r w:rsidR="00545D1B" w:rsidRPr="00742A04">
        <w:t xml:space="preserve"> </w:t>
      </w:r>
      <w:r w:rsidR="002C0100" w:rsidRPr="00742A04">
        <w:t>l</w:t>
      </w:r>
      <w:r w:rsidR="00CC07C5">
        <w:t xml:space="preserve">os contrayentes </w:t>
      </w:r>
      <w:r w:rsidR="008E5EBF" w:rsidRPr="00742A04">
        <w:t>o</w:t>
      </w:r>
      <w:r w:rsidR="00545D1B" w:rsidRPr="00742A04">
        <w:t xml:space="preserve"> </w:t>
      </w:r>
      <w:r w:rsidR="00CC07C5">
        <w:t>motivos</w:t>
      </w:r>
      <w:r w:rsidR="00545D1B" w:rsidRPr="00742A04">
        <w:t xml:space="preserve"> humanitari</w:t>
      </w:r>
      <w:r w:rsidR="00CC07C5">
        <w:t>os muy fund</w:t>
      </w:r>
      <w:r w:rsidR="00CC07C5">
        <w:t>a</w:t>
      </w:r>
      <w:r w:rsidR="00CC07C5">
        <w:t>dos</w:t>
      </w:r>
      <w:r w:rsidR="000A08D8" w:rsidRPr="00742A04">
        <w:t>.</w:t>
      </w:r>
    </w:p>
    <w:p w:rsidR="000A08D8" w:rsidRPr="00742A04" w:rsidRDefault="008E5EBF" w:rsidP="00466626">
      <w:pPr>
        <w:pStyle w:val="SingleTxt"/>
        <w:ind w:firstLine="475"/>
      </w:pPr>
      <w:r w:rsidRPr="00742A04">
        <w:t xml:space="preserve">Una persona </w:t>
      </w:r>
      <w:r w:rsidR="00CC07C5">
        <w:t>que sea</w:t>
      </w:r>
      <w:r w:rsidR="0038081E" w:rsidRPr="00742A04">
        <w:t xml:space="preserve"> víctima </w:t>
      </w:r>
      <w:r w:rsidR="00C07ED9" w:rsidRPr="00742A04">
        <w:t xml:space="preserve">del </w:t>
      </w:r>
      <w:r w:rsidR="00CA313E" w:rsidRPr="00742A04">
        <w:t>matrimonio forzado</w:t>
      </w:r>
      <w:r w:rsidR="00545D1B" w:rsidRPr="00742A04">
        <w:t xml:space="preserve"> </w:t>
      </w:r>
      <w:r w:rsidR="00CC07C5">
        <w:t>puede</w:t>
      </w:r>
      <w:r w:rsidR="00545D1B" w:rsidRPr="00742A04">
        <w:t xml:space="preserve"> </w:t>
      </w:r>
      <w:r w:rsidR="00DA461E" w:rsidRPr="00742A04">
        <w:t>actualmente</w:t>
      </w:r>
      <w:r w:rsidR="00545D1B" w:rsidRPr="00742A04">
        <w:t xml:space="preserve"> </w:t>
      </w:r>
      <w:r w:rsidR="00CC07C5">
        <w:t>obt</w:t>
      </w:r>
      <w:r w:rsidR="00CC07C5">
        <w:t>e</w:t>
      </w:r>
      <w:r w:rsidR="00CC07C5">
        <w:t>ner que el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CC07C5">
        <w:t xml:space="preserve">sea </w:t>
      </w:r>
      <w:r w:rsidR="00545D1B" w:rsidRPr="00742A04">
        <w:t>declar</w:t>
      </w:r>
      <w:r w:rsidR="00CC07C5">
        <w:t>ado invá</w:t>
      </w:r>
      <w:r w:rsidR="00545D1B" w:rsidRPr="00742A04">
        <w:t>lid</w:t>
      </w:r>
      <w:r w:rsidR="00CC07C5">
        <w:t>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CC07C5">
        <w:t>un tribunal</w:t>
      </w:r>
      <w:r w:rsidR="00545D1B" w:rsidRPr="00742A04">
        <w:t xml:space="preserve">. </w:t>
      </w:r>
      <w:r w:rsidR="00F43124" w:rsidRPr="00742A04">
        <w:t>Para</w:t>
      </w:r>
      <w:r w:rsidR="00545D1B" w:rsidRPr="00742A04">
        <w:t xml:space="preserve"> </w:t>
      </w:r>
      <w:r w:rsidR="00CC07C5">
        <w:t>algunas</w:t>
      </w:r>
      <w:r w:rsidR="00545D1B" w:rsidRPr="00742A04">
        <w:t xml:space="preserve"> </w:t>
      </w:r>
      <w:r w:rsidR="00A8681A" w:rsidRPr="00742A04">
        <w:t>personas</w:t>
      </w:r>
      <w:r w:rsidR="00545D1B" w:rsidRPr="00742A04">
        <w:t xml:space="preserve">, </w:t>
      </w:r>
      <w:r w:rsidR="00CC07C5">
        <w:t>empero</w:t>
      </w:r>
      <w:r w:rsidR="00545D1B" w:rsidRPr="00742A04">
        <w:t xml:space="preserve">, </w:t>
      </w:r>
      <w:r w:rsidR="0020526A" w:rsidRPr="00742A04">
        <w:t>podrá</w:t>
      </w:r>
      <w:r w:rsidR="00CC07C5">
        <w:t xml:space="preserve"> ser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CC07C5">
        <w:t>conveniente dis</w:t>
      </w:r>
      <w:r w:rsidR="00545D1B" w:rsidRPr="00742A04">
        <w:t>olve</w:t>
      </w:r>
      <w:r w:rsidR="00CC07C5">
        <w:t>r el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0472FC" w:rsidRPr="00742A04">
        <w:t>divorcio</w:t>
      </w:r>
      <w:r w:rsidR="00545D1B" w:rsidRPr="00742A04">
        <w:t xml:space="preserve">. </w:t>
      </w:r>
      <w:r w:rsidR="00495D7B" w:rsidRPr="00742A04">
        <w:t>Por cons</w:t>
      </w:r>
      <w:r w:rsidR="00495D7B" w:rsidRPr="00742A04">
        <w:t>i</w:t>
      </w:r>
      <w:r w:rsidR="00495D7B" w:rsidRPr="00742A04">
        <w:t xml:space="preserve">guiente, </w:t>
      </w:r>
      <w:r w:rsidR="00CC07C5">
        <w:t>se propone</w:t>
      </w:r>
      <w:r w:rsidR="00545D1B" w:rsidRPr="00742A04">
        <w:t xml:space="preserve"> </w:t>
      </w:r>
      <w:r w:rsidR="00894371">
        <w:t>que</w:t>
      </w:r>
      <w:r w:rsidR="00545D1B" w:rsidRPr="00742A04">
        <w:t xml:space="preserve"> </w:t>
      </w:r>
      <w:r w:rsidR="00495D7B" w:rsidRPr="00742A04">
        <w:t>uno</w:t>
      </w:r>
      <w:r w:rsidR="00545D1B" w:rsidRPr="00742A04">
        <w:t xml:space="preserve"> </w:t>
      </w:r>
      <w:r w:rsidR="00CC07C5">
        <w:t xml:space="preserve">de los contrayentes </w:t>
      </w:r>
      <w:r w:rsidR="00545D1B" w:rsidRPr="00742A04">
        <w:t>(</w:t>
      </w:r>
      <w:r w:rsidRPr="00742A04">
        <w:t>o</w:t>
      </w:r>
      <w:r w:rsidR="00545D1B" w:rsidRPr="00742A04">
        <w:t xml:space="preserve"> </w:t>
      </w:r>
      <w:r w:rsidR="00CC07C5">
        <w:t>ambos</w:t>
      </w:r>
      <w:r w:rsidR="00545D1B" w:rsidRPr="00742A04">
        <w:t>)</w:t>
      </w:r>
      <w:r w:rsidR="00CC07C5">
        <w:t xml:space="preserve"> que haya(n) sido</w:t>
      </w:r>
      <w:r w:rsidR="00AE655D" w:rsidRPr="00742A04">
        <w:t xml:space="preserve"> víct</w:t>
      </w:r>
      <w:r w:rsidR="00AE655D" w:rsidRPr="00742A04">
        <w:t>i</w:t>
      </w:r>
      <w:r w:rsidR="00AE655D" w:rsidRPr="00742A04">
        <w:t>ma</w:t>
      </w:r>
      <w:r w:rsidR="00CC07C5">
        <w:t>(</w:t>
      </w:r>
      <w:r w:rsidR="00AE655D" w:rsidRPr="00742A04">
        <w:t>s</w:t>
      </w:r>
      <w:r w:rsidR="00CC07C5">
        <w:t>)</w:t>
      </w:r>
      <w:r w:rsidR="00C07ED9" w:rsidRPr="00742A04">
        <w:t xml:space="preserve"> de</w:t>
      </w:r>
      <w:r w:rsidR="00CC07C5">
        <w:t xml:space="preserve"> un</w:t>
      </w:r>
      <w:r w:rsidR="00C07ED9" w:rsidRPr="00742A04">
        <w:t xml:space="preserve"> </w:t>
      </w:r>
      <w:r w:rsidR="00CA313E" w:rsidRPr="00742A04">
        <w:t>matrimonio forzado</w:t>
      </w:r>
      <w:r w:rsidR="00545D1B" w:rsidRPr="00742A04">
        <w:t xml:space="preserve"> </w:t>
      </w:r>
      <w:r w:rsidR="00CC07C5">
        <w:t>tenga(n)</w:t>
      </w:r>
      <w:r w:rsidR="00545D1B" w:rsidRPr="00742A04">
        <w:t xml:space="preserve"> </w:t>
      </w:r>
      <w:r w:rsidR="0020526A" w:rsidRPr="00742A04">
        <w:t>la posibilidad</w:t>
      </w:r>
      <w:r w:rsidR="00545D1B" w:rsidRPr="00742A04">
        <w:t xml:space="preserve"> </w:t>
      </w:r>
      <w:r w:rsidR="00CC07C5">
        <w:t xml:space="preserve">de obtener un </w:t>
      </w:r>
      <w:r w:rsidR="000472FC" w:rsidRPr="00742A04">
        <w:t>divorcio</w:t>
      </w:r>
      <w:r w:rsidR="00CC07C5">
        <w:t xml:space="preserve"> d</w:t>
      </w:r>
      <w:r w:rsidR="00CC07C5">
        <w:t>i</w:t>
      </w:r>
      <w:r w:rsidR="00CC07C5">
        <w:t>recto</w:t>
      </w:r>
      <w:r w:rsidR="00545D1B" w:rsidRPr="00742A04">
        <w:t xml:space="preserve"> </w:t>
      </w:r>
      <w:r w:rsidR="00232DF9" w:rsidRPr="00742A04">
        <w:t>si</w:t>
      </w:r>
      <w:r w:rsidR="00545D1B" w:rsidRPr="00742A04">
        <w:t xml:space="preserve"> </w:t>
      </w:r>
      <w:r w:rsidR="00CC07C5">
        <w:t>tal es su deseo</w:t>
      </w:r>
      <w:r w:rsidR="00545D1B" w:rsidRPr="00742A04">
        <w:t xml:space="preserve">. </w:t>
      </w:r>
      <w:r w:rsidR="00CC07C5">
        <w:t>De esa forma se evitará la tensión de un largo</w:t>
      </w:r>
      <w:r w:rsidR="00545D1B" w:rsidRPr="00742A04">
        <w:t xml:space="preserve"> </w:t>
      </w:r>
      <w:r w:rsidR="00072261" w:rsidRPr="00742A04">
        <w:t>período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s</w:t>
      </w:r>
      <w:r w:rsidR="00545D1B" w:rsidRPr="00742A04">
        <w:t>e</w:t>
      </w:r>
      <w:r w:rsidR="00545D1B" w:rsidRPr="00742A04">
        <w:t>para</w:t>
      </w:r>
      <w:r w:rsidR="00C27C42" w:rsidRPr="00742A04">
        <w:t>ci</w:t>
      </w:r>
      <w:r w:rsidR="00C14BFF" w:rsidRPr="00742A04">
        <w:t>ón</w:t>
      </w:r>
      <w:r w:rsidR="00C27C42" w:rsidRPr="00742A04">
        <w:t>.</w:t>
      </w:r>
      <w:r w:rsidR="00545D1B" w:rsidRPr="00742A04">
        <w:t xml:space="preserve"> </w:t>
      </w:r>
      <w:r w:rsidR="00CC07C5">
        <w:t>T</w:t>
      </w:r>
      <w:r w:rsidR="0030626A" w:rsidRPr="00742A04">
        <w:t>ambién</w:t>
      </w:r>
      <w:r w:rsidR="00545D1B" w:rsidRPr="00742A04">
        <w:t xml:space="preserve"> </w:t>
      </w:r>
      <w:r w:rsidR="00CC07C5">
        <w:t xml:space="preserve">se </w:t>
      </w:r>
      <w:r w:rsidR="00545D1B" w:rsidRPr="00742A04">
        <w:t>propo</w:t>
      </w:r>
      <w:r w:rsidR="00CC07C5">
        <w:t>ne en</w:t>
      </w:r>
      <w:r w:rsidR="00545D1B" w:rsidRPr="00742A04">
        <w:t>mend</w:t>
      </w:r>
      <w:r w:rsidR="00CC07C5">
        <w:t>ar</w:t>
      </w:r>
      <w:r w:rsidR="00545D1B" w:rsidRPr="00742A04">
        <w:t xml:space="preserve"> </w:t>
      </w:r>
      <w:r w:rsidR="00963214" w:rsidRPr="00742A04">
        <w:t xml:space="preserve">la Ley </w:t>
      </w:r>
      <w:r w:rsidR="008B63DF" w:rsidRPr="00742A04">
        <w:t>de Procedimiento Penal</w:t>
      </w:r>
      <w:r w:rsidR="00545D1B" w:rsidRPr="00742A04">
        <w:t xml:space="preserve"> </w:t>
      </w:r>
      <w:r w:rsidR="000F0ACC" w:rsidRPr="00742A04">
        <w:t>a fin de</w:t>
      </w:r>
      <w:r w:rsidR="00545D1B" w:rsidRPr="00742A04">
        <w:t xml:space="preserve"> </w:t>
      </w:r>
      <w:r w:rsidR="00CC07C5">
        <w:t>a</w:t>
      </w:r>
      <w:r w:rsidR="00CC07C5">
        <w:t>m</w:t>
      </w:r>
      <w:r w:rsidR="00CC07C5">
        <w:t>pliar</w:t>
      </w:r>
      <w:r w:rsidR="00545D1B" w:rsidRPr="00742A04">
        <w:t xml:space="preserve"> </w:t>
      </w:r>
      <w:r w:rsidR="004B1620" w:rsidRPr="00742A04">
        <w:t>las posibilidades</w:t>
      </w:r>
      <w:r w:rsidR="00545D1B" w:rsidRPr="00742A04">
        <w:t xml:space="preserve"> </w:t>
      </w:r>
      <w:r w:rsidR="00CC07C5">
        <w:t>de iniciar una</w:t>
      </w:r>
      <w:r w:rsidR="00545D1B" w:rsidRPr="00742A04">
        <w:t xml:space="preserve"> a</w:t>
      </w:r>
      <w:r w:rsidR="00545D1B" w:rsidRPr="00742A04">
        <w:t>c</w:t>
      </w:r>
      <w:r w:rsidR="00C14BFF" w:rsidRPr="00742A04">
        <w:t xml:space="preserve">ción </w:t>
      </w:r>
      <w:r w:rsidR="00CC07C5" w:rsidRPr="00742A04">
        <w:t xml:space="preserve">civil </w:t>
      </w:r>
      <w:r w:rsidR="00C14BFF" w:rsidRPr="00742A04">
        <w:t>en</w:t>
      </w:r>
      <w:r w:rsidR="00545D1B" w:rsidRPr="00742A04">
        <w:t xml:space="preserve"> </w:t>
      </w:r>
      <w:r w:rsidR="00CC07C5">
        <w:t>una causa penal</w:t>
      </w:r>
      <w:r w:rsidR="000A08D8" w:rsidRPr="00742A04">
        <w:t>.</w:t>
      </w:r>
    </w:p>
    <w:p w:rsidR="000A08D8" w:rsidRPr="00742A04" w:rsidRDefault="00B53532" w:rsidP="00466626">
      <w:pPr>
        <w:pStyle w:val="SingleTxt"/>
        <w:ind w:firstLine="475"/>
      </w:pPr>
      <w:r>
        <w:t>Con arreglo a las normas no legislativas de</w:t>
      </w:r>
      <w:r w:rsidR="00545D1B" w:rsidRPr="00742A04">
        <w:t xml:space="preserve"> </w:t>
      </w:r>
      <w:r w:rsidR="00130F7F" w:rsidRPr="00742A04">
        <w:t>derecho internacional</w:t>
      </w:r>
      <w:r w:rsidR="00545D1B" w:rsidRPr="00742A04">
        <w:t xml:space="preserve"> </w:t>
      </w:r>
      <w:r>
        <w:t>privado apl</w:t>
      </w:r>
      <w:r>
        <w:t>i</w:t>
      </w:r>
      <w:r>
        <w:t>cadas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, </w:t>
      </w:r>
      <w:r>
        <w:t>un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>
        <w:t>celebrado</w:t>
      </w:r>
      <w:r w:rsidR="00545D1B" w:rsidRPr="00742A04">
        <w:t xml:space="preserve"> </w:t>
      </w:r>
      <w:r w:rsidR="00EE16A2" w:rsidRPr="00742A04">
        <w:t>en el extranjero</w:t>
      </w:r>
      <w:r w:rsidR="00545D1B" w:rsidRPr="00742A04">
        <w:t xml:space="preserve"> </w:t>
      </w:r>
      <w:r w:rsidR="0020526A" w:rsidRPr="00742A04">
        <w:t>podrá</w:t>
      </w:r>
      <w:r w:rsidR="00545D1B" w:rsidRPr="00742A04">
        <w:t xml:space="preserve"> </w:t>
      </w:r>
      <w:r>
        <w:t xml:space="preserve">ser </w:t>
      </w:r>
      <w:r w:rsidR="00545D1B" w:rsidRPr="00742A04">
        <w:t>reco</w:t>
      </w:r>
      <w:r>
        <w:t>nocido</w:t>
      </w:r>
      <w:r w:rsidR="00545D1B" w:rsidRPr="00742A04">
        <w:t xml:space="preserve"> </w:t>
      </w:r>
      <w:r w:rsidR="000B41AF" w:rsidRPr="00742A04">
        <w:t>siempre que</w:t>
      </w:r>
      <w:r w:rsidR="00545D1B" w:rsidRPr="00742A04">
        <w:t xml:space="preserve"> </w:t>
      </w:r>
      <w:r w:rsidR="006D7D2F" w:rsidRPr="00742A04">
        <w:t>ha</w:t>
      </w:r>
      <w:r>
        <w:t>ya</w:t>
      </w:r>
      <w:r w:rsidR="006D7D2F" w:rsidRPr="00742A04">
        <w:t xml:space="preserve"> sido</w:t>
      </w:r>
      <w:r w:rsidR="00545D1B" w:rsidRPr="00742A04">
        <w:t xml:space="preserve"> lega</w:t>
      </w:r>
      <w:r w:rsidR="005F7B32" w:rsidRPr="00742A04">
        <w:t xml:space="preserve">lmente </w:t>
      </w:r>
      <w:r>
        <w:t>celebrado</w:t>
      </w:r>
      <w:r w:rsidR="00545D1B" w:rsidRPr="00742A04">
        <w:t xml:space="preserve"> </w:t>
      </w:r>
      <w:r w:rsidR="00BD47D3" w:rsidRPr="00742A04">
        <w:t>en virtud de</w:t>
      </w:r>
      <w:r>
        <w:t>l derecho del país en que se contrajo el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. </w:t>
      </w:r>
      <w:r w:rsidR="0058094F" w:rsidRPr="00742A04">
        <w:t>A fin de</w:t>
      </w:r>
      <w:r w:rsidR="00545D1B" w:rsidRPr="00742A04">
        <w:t xml:space="preserve"> </w:t>
      </w:r>
      <w:r w:rsidR="0058094F" w:rsidRPr="00742A04">
        <w:t>lograr</w:t>
      </w:r>
      <w:r>
        <w:t xml:space="preserve"> un mayor grado de</w:t>
      </w:r>
      <w:r w:rsidR="00604F07">
        <w:t xml:space="preserve"> coherencia</w:t>
      </w:r>
      <w:r w:rsidR="00545D1B" w:rsidRPr="00742A04">
        <w:t xml:space="preserve"> </w:t>
      </w:r>
      <w:r>
        <w:t xml:space="preserve">normativa </w:t>
      </w:r>
      <w:r w:rsidR="00877AA0" w:rsidRPr="00742A04">
        <w:t>y</w:t>
      </w:r>
      <w:r w:rsidR="00545D1B" w:rsidRPr="00742A04">
        <w:t xml:space="preserve"> </w:t>
      </w:r>
      <w:r w:rsidR="00604F07">
        <w:t xml:space="preserve">hacer que las normas sean </w:t>
      </w:r>
      <w:r w:rsidR="00BA5ABE" w:rsidRPr="00742A04">
        <w:t>más</w:t>
      </w:r>
      <w:r w:rsidR="00545D1B" w:rsidRPr="00742A04">
        <w:t xml:space="preserve"> </w:t>
      </w:r>
      <w:r w:rsidR="00604F07">
        <w:t>fácilmente comprensi</w:t>
      </w:r>
      <w:r w:rsidR="00545D1B" w:rsidRPr="00742A04">
        <w:t>ble</w:t>
      </w:r>
      <w:r w:rsidR="00604F07">
        <w:t>s</w:t>
      </w:r>
      <w:r w:rsidR="00545D1B" w:rsidRPr="00742A04">
        <w:t xml:space="preserve">, </w:t>
      </w:r>
      <w:r w:rsidR="00CC07C5">
        <w:t>se propone</w:t>
      </w:r>
      <w:r w:rsidR="00545D1B" w:rsidRPr="00742A04">
        <w:t xml:space="preserve"> </w:t>
      </w:r>
      <w:r w:rsidR="00604F07">
        <w:t>que esta i</w:t>
      </w:r>
      <w:r w:rsidR="00604F07">
        <w:t>m</w:t>
      </w:r>
      <w:r w:rsidR="00604F07">
        <w:t>portante norma</w:t>
      </w:r>
      <w:r w:rsidR="00545D1B" w:rsidRPr="00742A04">
        <w:t xml:space="preserve"> </w:t>
      </w:r>
      <w:r w:rsidR="00604F07">
        <w:t>d</w:t>
      </w:r>
      <w:r w:rsidR="00BD47D3" w:rsidRPr="00742A04">
        <w:t>el derecho de Noruega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C25BF" w:rsidRPr="00742A04">
        <w:t>se incorpor</w:t>
      </w:r>
      <w:r w:rsidR="00604F07">
        <w:t xml:space="preserve">e </w:t>
      </w:r>
      <w:r w:rsidR="003C25BF" w:rsidRPr="00742A04">
        <w:t>a</w:t>
      </w:r>
      <w:r w:rsidR="00604F07">
        <w:t xml:space="preserve"> l</w:t>
      </w:r>
      <w:r w:rsidR="001E30D6" w:rsidRPr="00742A04">
        <w:t xml:space="preserve">a </w:t>
      </w:r>
      <w:r w:rsidR="00963214" w:rsidRPr="00742A04">
        <w:t xml:space="preserve">Ley </w:t>
      </w:r>
      <w:r w:rsidR="008B63DF" w:rsidRPr="00742A04">
        <w:t>sobre el M</w:t>
      </w:r>
      <w:r w:rsidR="008B63DF" w:rsidRPr="00742A04">
        <w:t>a</w:t>
      </w:r>
      <w:r w:rsidR="008B63DF" w:rsidRPr="00742A04">
        <w:t>trimonio</w:t>
      </w:r>
      <w:r w:rsidR="000A08D8" w:rsidRPr="00742A04">
        <w:t>.</w:t>
      </w:r>
    </w:p>
    <w:p w:rsidR="00545D1B" w:rsidRPr="00742A04" w:rsidRDefault="0005098D" w:rsidP="00E0359D">
      <w:pPr>
        <w:pStyle w:val="SingleTxt"/>
        <w:keepNext/>
        <w:rPr>
          <w:i/>
        </w:rPr>
      </w:pPr>
      <w:r w:rsidRPr="00742A04">
        <w:rPr>
          <w:i/>
        </w:rPr>
        <w:t>Acuerdo</w:t>
      </w:r>
      <w:r w:rsidR="00545D1B" w:rsidRPr="00742A04">
        <w:rPr>
          <w:i/>
        </w:rPr>
        <w:t xml:space="preserve"> </w:t>
      </w:r>
      <w:r w:rsidR="004A0730" w:rsidRPr="00742A04">
        <w:rPr>
          <w:i/>
        </w:rPr>
        <w:t>con</w:t>
      </w:r>
      <w:r w:rsidR="00545D1B" w:rsidRPr="00742A04">
        <w:rPr>
          <w:i/>
        </w:rPr>
        <w:t xml:space="preserve"> </w:t>
      </w:r>
      <w:r w:rsidR="00CC07C5">
        <w:rPr>
          <w:i/>
        </w:rPr>
        <w:t>el Pakistá</w:t>
      </w:r>
      <w:r w:rsidR="00545D1B" w:rsidRPr="00742A04">
        <w:rPr>
          <w:i/>
        </w:rPr>
        <w:t>n</w:t>
      </w:r>
    </w:p>
    <w:p w:rsidR="00545D1B" w:rsidRPr="00742A04" w:rsidRDefault="00495D7B" w:rsidP="00466626">
      <w:pPr>
        <w:pStyle w:val="SingleTxt"/>
        <w:ind w:firstLine="475"/>
      </w:pPr>
      <w:r w:rsidRPr="00742A04">
        <w:t>Uno</w:t>
      </w:r>
      <w:r w:rsidR="00545D1B" w:rsidRPr="00742A04">
        <w:t xml:space="preserve"> </w:t>
      </w:r>
      <w:r w:rsidR="00C076F2" w:rsidRPr="00742A04">
        <w:t xml:space="preserve">de los </w:t>
      </w:r>
      <w:r w:rsidR="00A524FA">
        <w:t>problemas que se plantean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A524FA">
        <w:t xml:space="preserve">los </w:t>
      </w:r>
      <w:r w:rsidR="008A2682" w:rsidRPr="00742A04">
        <w:t>casos</w:t>
      </w:r>
      <w:r w:rsidR="00545D1B" w:rsidRPr="00742A04">
        <w:t xml:space="preserve"> </w:t>
      </w:r>
      <w:r w:rsidR="00A524FA">
        <w:t>de</w:t>
      </w:r>
      <w:r w:rsidR="00E575DB" w:rsidRPr="00742A04">
        <w:t xml:space="preserve"> </w:t>
      </w:r>
      <w:r w:rsidR="00CA313E" w:rsidRPr="00742A04">
        <w:t>matrimonio</w:t>
      </w:r>
      <w:r w:rsidR="00A524FA">
        <w:t>s</w:t>
      </w:r>
      <w:r w:rsidR="00CA313E" w:rsidRPr="00742A04">
        <w:t xml:space="preserve"> forzado</w:t>
      </w:r>
      <w:r w:rsidR="00A524FA">
        <w:t>s</w:t>
      </w:r>
      <w:r w:rsidR="00545D1B" w:rsidRPr="00742A04">
        <w:t xml:space="preserve"> </w:t>
      </w:r>
      <w:r w:rsidR="00A524FA">
        <w:t xml:space="preserve">radica en </w:t>
      </w:r>
      <w:r w:rsidR="0081178E" w:rsidRPr="00742A04">
        <w:t>que</w:t>
      </w:r>
      <w:r w:rsidR="00545D1B" w:rsidRPr="00742A04">
        <w:t xml:space="preserve"> </w:t>
      </w:r>
      <w:r w:rsidR="00311327" w:rsidRPr="00742A04">
        <w:t>los</w:t>
      </w:r>
      <w:r w:rsidR="009451E4" w:rsidRPr="00742A04">
        <w:t xml:space="preserve"> conflictos</w:t>
      </w:r>
      <w:r w:rsidR="00545D1B" w:rsidRPr="00742A04">
        <w:t xml:space="preserve"> </w:t>
      </w:r>
      <w:r w:rsidR="00A524FA">
        <w:t>suelen</w:t>
      </w:r>
      <w:r w:rsidR="00545D1B" w:rsidRPr="00742A04">
        <w:t xml:space="preserve"> </w:t>
      </w:r>
      <w:r w:rsidR="00A524FA">
        <w:t>afectar a</w:t>
      </w:r>
      <w:r w:rsidR="00545D1B" w:rsidRPr="00742A04">
        <w:t xml:space="preserve"> </w:t>
      </w:r>
      <w:r w:rsidR="006B65CD" w:rsidRPr="00742A04">
        <w:t>otros países</w:t>
      </w:r>
      <w:r w:rsidR="00545D1B" w:rsidRPr="00742A04">
        <w:t xml:space="preserve">. </w:t>
      </w:r>
      <w:r w:rsidR="00A524FA">
        <w:t>Para resolver esos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, </w:t>
      </w:r>
      <w:r w:rsidR="00A524FA">
        <w:t xml:space="preserve">es frecuente que </w:t>
      </w:r>
      <w:r w:rsidR="004F2F8A" w:rsidRPr="00742A04">
        <w:t xml:space="preserve">las </w:t>
      </w:r>
      <w:r w:rsidR="00D42876" w:rsidRPr="00742A04">
        <w:t>autoridades de Noruega</w:t>
      </w:r>
      <w:r w:rsidR="00545D1B" w:rsidRPr="00742A04">
        <w:t xml:space="preserve"> depend</w:t>
      </w:r>
      <w:r w:rsidR="00A524FA">
        <w:t>an de la</w:t>
      </w:r>
      <w:r w:rsidR="00545D1B" w:rsidRPr="00742A04">
        <w:t xml:space="preserve"> coopera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A524FA">
        <w:t xml:space="preserve">la </w:t>
      </w:r>
      <w:r w:rsidR="00502E16" w:rsidRPr="00742A04">
        <w:t>asistencia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B4DB1" w:rsidRPr="00742A04">
        <w:t>las autoridades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otr</w:t>
      </w:r>
      <w:r w:rsidR="00A524FA">
        <w:t>os</w:t>
      </w:r>
      <w:r w:rsidR="00545D1B" w:rsidRPr="00742A04">
        <w:t xml:space="preserve"> </w:t>
      </w:r>
      <w:r w:rsidR="00A524FA">
        <w:t>E</w:t>
      </w:r>
      <w:r w:rsidR="00545D1B" w:rsidRPr="00742A04">
        <w:t>sta</w:t>
      </w:r>
      <w:r w:rsidR="00A524FA">
        <w:t>do</w:t>
      </w:r>
      <w:r w:rsidR="00545D1B" w:rsidRPr="00742A04">
        <w:t xml:space="preserve">s. </w:t>
      </w:r>
      <w:r w:rsidRPr="00742A04">
        <w:t>Un</w:t>
      </w:r>
      <w:r w:rsidR="00A524FA">
        <w:t xml:space="preserve"> </w:t>
      </w:r>
      <w:r w:rsidRPr="00742A04">
        <w:t>o</w:t>
      </w:r>
      <w:r w:rsidR="00A524FA">
        <w:t>bjetivo que se busca es establecer</w:t>
      </w:r>
      <w:r w:rsidR="00545D1B" w:rsidRPr="00742A04">
        <w:t xml:space="preserve"> </w:t>
      </w:r>
      <w:r w:rsidR="007A4A10" w:rsidRPr="00742A04">
        <w:t>contactos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A524FA">
        <w:t xml:space="preserve">las </w:t>
      </w:r>
      <w:r w:rsidR="0056679F" w:rsidRPr="00742A04">
        <w:t>autoridades</w:t>
      </w:r>
      <w:r w:rsidR="00545D1B" w:rsidRPr="00742A04">
        <w:t xml:space="preserve"> </w:t>
      </w:r>
      <w:r w:rsidR="00A524FA">
        <w:t>de los</w:t>
      </w:r>
      <w:r w:rsidR="00545D1B" w:rsidRPr="00742A04">
        <w:t xml:space="preserve"> </w:t>
      </w:r>
      <w:r w:rsidR="006B65CD" w:rsidRPr="00742A04">
        <w:t>países</w:t>
      </w:r>
      <w:r w:rsidR="00545D1B" w:rsidRPr="00742A04">
        <w:t xml:space="preserve"> </w:t>
      </w:r>
      <w:r w:rsidR="00056EF1" w:rsidRPr="00742A04">
        <w:t xml:space="preserve">en </w:t>
      </w:r>
      <w:r w:rsidR="00A524FA">
        <w:t xml:space="preserve">los </w:t>
      </w:r>
      <w:r w:rsidR="00056EF1" w:rsidRPr="00742A04">
        <w:t>que</w:t>
      </w:r>
      <w:r w:rsidR="00545D1B" w:rsidRPr="00742A04">
        <w:t xml:space="preserve"> </w:t>
      </w:r>
      <w:r w:rsidR="00A524FA">
        <w:t>pueda haberse celebrado un</w:t>
      </w:r>
      <w:r w:rsidR="00CA313E" w:rsidRPr="00742A04">
        <w:t xml:space="preserve"> matrim</w:t>
      </w:r>
      <w:r w:rsidR="00CA313E" w:rsidRPr="00742A04">
        <w:t>o</w:t>
      </w:r>
      <w:r w:rsidR="00CA313E" w:rsidRPr="00742A04">
        <w:t>nio forzado</w:t>
      </w:r>
      <w:r w:rsidR="00545D1B" w:rsidRPr="00742A04">
        <w:t xml:space="preserve"> </w:t>
      </w:r>
      <w:r w:rsidR="000F0ACC" w:rsidRPr="00742A04">
        <w:t>a fin de</w:t>
      </w:r>
      <w:r w:rsidR="00545D1B" w:rsidRPr="00742A04">
        <w:t xml:space="preserve"> </w:t>
      </w:r>
      <w:r w:rsidR="0058094F" w:rsidRPr="00742A04">
        <w:t>lograr</w:t>
      </w:r>
      <w:r w:rsidR="00545D1B" w:rsidRPr="00742A04">
        <w:t xml:space="preserve"> </w:t>
      </w:r>
      <w:r w:rsidR="00A524FA">
        <w:t xml:space="preserve">una </w:t>
      </w:r>
      <w:r w:rsidR="00545D1B" w:rsidRPr="00742A04">
        <w:t>r</w:t>
      </w:r>
      <w:r w:rsidR="00A524FA">
        <w:t>á</w:t>
      </w:r>
      <w:r w:rsidR="00545D1B" w:rsidRPr="00742A04">
        <w:t>pid</w:t>
      </w:r>
      <w:r w:rsidR="00A524FA">
        <w:t>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ef</w:t>
      </w:r>
      <w:r w:rsidR="00A524FA">
        <w:t>icaz</w:t>
      </w:r>
      <w:r w:rsidR="00545D1B" w:rsidRPr="00742A04">
        <w:t xml:space="preserve"> </w:t>
      </w:r>
      <w:r w:rsidR="00A524FA">
        <w:t xml:space="preserve">tramitación </w:t>
      </w:r>
      <w:r w:rsidR="004A0730" w:rsidRPr="00742A04">
        <w:t>de</w:t>
      </w:r>
      <w:r w:rsidR="00545D1B" w:rsidRPr="00742A04">
        <w:t xml:space="preserve"> </w:t>
      </w:r>
      <w:r w:rsidR="0023681E">
        <w:t xml:space="preserve">los </w:t>
      </w:r>
      <w:r w:rsidR="008A2682" w:rsidRPr="00742A04">
        <w:t>casos</w:t>
      </w:r>
      <w:r w:rsidR="00A524FA">
        <w:t xml:space="preserve"> concretos</w:t>
      </w:r>
      <w:r w:rsidR="00545D1B" w:rsidRPr="00742A04">
        <w:t xml:space="preserve">. </w:t>
      </w:r>
      <w:r w:rsidR="00A524FA" w:rsidRPr="00742A04">
        <w:t>El 1° de mayo de 2006</w:t>
      </w:r>
      <w:r w:rsidR="00A524FA">
        <w:t xml:space="preserve"> </w:t>
      </w:r>
      <w:r w:rsidR="00A524FA" w:rsidRPr="00742A04">
        <w:t>entr</w:t>
      </w:r>
      <w:r w:rsidR="00A524FA">
        <w:t>ó</w:t>
      </w:r>
      <w:r w:rsidR="00A524FA" w:rsidRPr="00742A04">
        <w:t xml:space="preserve"> en vigor </w:t>
      </w:r>
      <w:r w:rsidR="00A524FA">
        <w:t>el</w:t>
      </w:r>
      <w:r w:rsidR="00545D1B" w:rsidRPr="00742A04">
        <w:t xml:space="preserve"> </w:t>
      </w:r>
      <w:r w:rsidR="0005098D" w:rsidRPr="00742A04">
        <w:t>acuerdo</w:t>
      </w:r>
      <w:r w:rsidR="00545D1B" w:rsidRPr="00742A04">
        <w:t xml:space="preserve"> </w:t>
      </w:r>
      <w:r w:rsidR="00A524FA" w:rsidRPr="00742A04">
        <w:t xml:space="preserve">bilateral </w:t>
      </w:r>
      <w:r w:rsidR="007D66F2" w:rsidRPr="00742A04">
        <w:t>entre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877AA0" w:rsidRPr="00742A04">
        <w:t>y</w:t>
      </w:r>
      <w:r w:rsidR="00A524FA">
        <w:t xml:space="preserve"> el</w:t>
      </w:r>
      <w:r w:rsidR="00545D1B" w:rsidRPr="00742A04">
        <w:t xml:space="preserve"> Pakis</w:t>
      </w:r>
      <w:r w:rsidR="00A524FA">
        <w:t>tá</w:t>
      </w:r>
      <w:r w:rsidR="00545D1B" w:rsidRPr="00742A04">
        <w:t xml:space="preserve">n. </w:t>
      </w:r>
      <w:r w:rsidR="00A524FA">
        <w:t>Según dicho</w:t>
      </w:r>
      <w:r w:rsidR="00545D1B" w:rsidRPr="00742A04">
        <w:t xml:space="preserve"> </w:t>
      </w:r>
      <w:r w:rsidR="0005098D" w:rsidRPr="00742A04">
        <w:t>acuerdo</w:t>
      </w:r>
      <w:r w:rsidR="00545D1B" w:rsidRPr="00742A04">
        <w:t xml:space="preserve">, </w:t>
      </w:r>
      <w:r w:rsidR="008B638E" w:rsidRPr="00742A04">
        <w:t>se establecerá</w:t>
      </w:r>
      <w:r w:rsidR="00545D1B" w:rsidRPr="00742A04">
        <w:t xml:space="preserve"> </w:t>
      </w:r>
      <w:r w:rsidR="00A524FA" w:rsidRPr="00742A04">
        <w:t xml:space="preserve">un comité </w:t>
      </w:r>
      <w:r w:rsidR="00A524FA">
        <w:t>consultivo integrado por</w:t>
      </w:r>
      <w:r w:rsidR="00545D1B" w:rsidRPr="00742A04">
        <w:t xml:space="preserve"> </w:t>
      </w:r>
      <w:r w:rsidR="007A4A10" w:rsidRPr="00742A04">
        <w:t>representa</w:t>
      </w:r>
      <w:r w:rsidR="007A4A10" w:rsidRPr="00742A04">
        <w:t>n</w:t>
      </w:r>
      <w:r w:rsidR="007A4A10" w:rsidRPr="00742A04">
        <w:t>tes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B4DB1" w:rsidRPr="00742A04">
        <w:t>las autoridades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524FA">
        <w:t xml:space="preserve">el </w:t>
      </w:r>
      <w:r w:rsidR="00545D1B" w:rsidRPr="00742A04">
        <w:t>Pakis</w:t>
      </w:r>
      <w:r w:rsidR="00A524FA">
        <w:t>tá</w:t>
      </w:r>
      <w:r w:rsidR="00545D1B" w:rsidRPr="00742A04">
        <w:t xml:space="preserve">n. </w:t>
      </w:r>
      <w:r w:rsidR="00A524FA" w:rsidRPr="00742A04">
        <w:t>E</w:t>
      </w:r>
      <w:r w:rsidR="00CE1CFC" w:rsidRPr="00742A04">
        <w:t>l</w:t>
      </w:r>
      <w:r w:rsidR="00A524FA">
        <w:t xml:space="preserve"> </w:t>
      </w:r>
      <w:r w:rsidR="00CE1CFC" w:rsidRPr="00742A04">
        <w:t>comité</w:t>
      </w:r>
      <w:r w:rsidR="00545D1B" w:rsidRPr="00742A04">
        <w:t xml:space="preserve">, </w:t>
      </w:r>
      <w:r w:rsidR="00232DF9" w:rsidRPr="00742A04">
        <w:t>entre otras cosas</w:t>
      </w:r>
      <w:r w:rsidR="00545D1B" w:rsidRPr="00742A04">
        <w:t xml:space="preserve">, </w:t>
      </w:r>
      <w:r w:rsidR="00CE7870" w:rsidRPr="00742A04">
        <w:t>contr</w:t>
      </w:r>
      <w:r w:rsidR="00CE7870" w:rsidRPr="00742A04">
        <w:t>i</w:t>
      </w:r>
      <w:r w:rsidR="00CE7870" w:rsidRPr="00742A04">
        <w:t>buir</w:t>
      </w:r>
      <w:r w:rsidR="00A524FA">
        <w:t>á</w:t>
      </w:r>
      <w:r w:rsidR="00CE7870" w:rsidRPr="00742A04">
        <w:t xml:space="preserve"> a</w:t>
      </w:r>
      <w:r w:rsidR="00545D1B" w:rsidRPr="00742A04">
        <w:t xml:space="preserve"> </w:t>
      </w:r>
      <w:r w:rsidR="00A8633B" w:rsidRPr="00742A04">
        <w:t>asegurar que</w:t>
      </w:r>
      <w:r w:rsidR="00545D1B" w:rsidRPr="00742A04">
        <w:t xml:space="preserve"> </w:t>
      </w:r>
      <w:r w:rsidR="00A524FA">
        <w:t xml:space="preserve">los </w:t>
      </w:r>
      <w:r w:rsidR="00072AD7" w:rsidRPr="00742A04">
        <w:t>hombres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A524FA">
        <w:t xml:space="preserve">las </w:t>
      </w:r>
      <w:r w:rsidR="00072AD7" w:rsidRPr="00742A04">
        <w:t>mujeres</w:t>
      </w:r>
      <w:r w:rsidR="00545D1B" w:rsidRPr="00742A04">
        <w:t xml:space="preserve"> </w:t>
      </w:r>
      <w:r w:rsidR="00A836A1" w:rsidRPr="00742A04">
        <w:t>sólo</w:t>
      </w:r>
      <w:r w:rsidR="00545D1B" w:rsidRPr="00742A04">
        <w:t xml:space="preserve"> </w:t>
      </w:r>
      <w:r w:rsidR="00A524FA">
        <w:t>tengan derecho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9D5D64" w:rsidRPr="00742A04">
        <w:t>contraer</w:t>
      </w:r>
      <w:r w:rsidR="00545D1B" w:rsidRPr="00742A04">
        <w:t xml:space="preserve"> </w:t>
      </w:r>
      <w:r w:rsidR="00EA1805" w:rsidRPr="00742A04">
        <w:t>m</w:t>
      </w:r>
      <w:r w:rsidR="00EA1805" w:rsidRPr="00742A04">
        <w:t>a</w:t>
      </w:r>
      <w:r w:rsidR="00EA1805" w:rsidRPr="00742A04">
        <w:t>trimonio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A524FA">
        <w:t xml:space="preserve">otorguen </w:t>
      </w:r>
      <w:r w:rsidR="00F97F41" w:rsidRPr="00742A04">
        <w:t>su</w:t>
      </w:r>
      <w:r w:rsidR="00545D1B" w:rsidRPr="00742A04">
        <w:t xml:space="preserve"> </w:t>
      </w:r>
      <w:r w:rsidR="00A524FA">
        <w:t>libre y pleno</w:t>
      </w:r>
      <w:r w:rsidR="00545D1B" w:rsidRPr="00742A04">
        <w:t xml:space="preserve"> consent</w:t>
      </w:r>
      <w:r w:rsidR="00A524FA">
        <w:t>imiento</w:t>
      </w:r>
      <w:r w:rsidR="00545D1B" w:rsidRPr="00742A04">
        <w:t>.</w:t>
      </w:r>
      <w:r w:rsidR="001167D2" w:rsidRPr="00742A04">
        <w:t xml:space="preserve"> </w:t>
      </w:r>
      <w:r w:rsidR="00A524FA" w:rsidRPr="00742A04">
        <w:t>E</w:t>
      </w:r>
      <w:r w:rsidR="001167D2" w:rsidRPr="00742A04">
        <w:t xml:space="preserve">l </w:t>
      </w:r>
      <w:r w:rsidR="004A0730" w:rsidRPr="00742A04">
        <w:t>Ministerio</w:t>
      </w:r>
      <w:r w:rsidR="00545D1B" w:rsidRPr="00742A04">
        <w:t xml:space="preserve"> </w:t>
      </w:r>
      <w:r w:rsidR="00A524FA">
        <w:t>se encarg</w:t>
      </w:r>
      <w:r w:rsidR="00A524FA">
        <w:t>a</w:t>
      </w:r>
      <w:r w:rsidR="00A524FA">
        <w:t>rá</w:t>
      </w:r>
      <w:r w:rsidR="00545D1B" w:rsidRPr="00742A04">
        <w:t xml:space="preserve"> </w:t>
      </w:r>
      <w:r w:rsidR="00F43124" w:rsidRPr="00742A04">
        <w:t>activamente</w:t>
      </w:r>
      <w:r w:rsidR="00545D1B" w:rsidRPr="00742A04">
        <w:t xml:space="preserve"> </w:t>
      </w:r>
      <w:r w:rsidR="00A524FA">
        <w:t>d</w:t>
      </w:r>
      <w:r w:rsidR="005E2D7A" w:rsidRPr="00742A04">
        <w:t>el seguimiento</w:t>
      </w:r>
      <w:r w:rsidR="00545D1B" w:rsidRPr="00742A04">
        <w:t xml:space="preserve"> </w:t>
      </w:r>
      <w:r w:rsidR="00A524FA">
        <w:t>de este</w:t>
      </w:r>
      <w:r w:rsidR="00545D1B" w:rsidRPr="00742A04">
        <w:t xml:space="preserve"> </w:t>
      </w:r>
      <w:r w:rsidR="0005098D" w:rsidRPr="00742A04">
        <w:t>acuerdo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E32F2A" w:rsidRPr="00742A04">
        <w:t>tomar</w:t>
      </w:r>
      <w:r w:rsidR="00A524FA">
        <w:t>a</w:t>
      </w:r>
      <w:r w:rsidR="00545D1B" w:rsidRPr="00742A04">
        <w:t xml:space="preserve"> </w:t>
      </w:r>
      <w:r w:rsidR="003E4840" w:rsidRPr="00742A04">
        <w:t>la iniciativa</w:t>
      </w:r>
      <w:r w:rsidR="00545D1B" w:rsidRPr="00742A04">
        <w:t xml:space="preserve"> </w:t>
      </w:r>
      <w:r w:rsidR="00A524FA">
        <w:t>de organizar reuniones periódicas</w:t>
      </w:r>
      <w:r w:rsidR="00545D1B" w:rsidRPr="00742A04">
        <w:t>.</w:t>
      </w:r>
    </w:p>
    <w:p w:rsidR="00545D1B" w:rsidRPr="00742A04" w:rsidRDefault="00561CAA" w:rsidP="002C4922">
      <w:pPr>
        <w:pStyle w:val="SingleTxt"/>
        <w:rPr>
          <w:i/>
        </w:rPr>
      </w:pPr>
      <w:r>
        <w:rPr>
          <w:i/>
        </w:rPr>
        <w:t>Estudio</w:t>
      </w:r>
      <w:r w:rsidR="00545D1B" w:rsidRPr="00742A04">
        <w:rPr>
          <w:i/>
        </w:rPr>
        <w:t>s –</w:t>
      </w:r>
      <w:r w:rsidR="0023681E">
        <w:rPr>
          <w:i/>
        </w:rPr>
        <w:t xml:space="preserve"> </w:t>
      </w:r>
      <w:r w:rsidR="00311327" w:rsidRPr="00742A04">
        <w:rPr>
          <w:i/>
        </w:rPr>
        <w:t>encuesta</w:t>
      </w:r>
      <w:r w:rsidR="00545D1B" w:rsidRPr="00742A04">
        <w:rPr>
          <w:i/>
        </w:rPr>
        <w:t xml:space="preserve">s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registr</w:t>
      </w:r>
      <w:r>
        <w:rPr>
          <w:i/>
        </w:rPr>
        <w:t>o</w:t>
      </w:r>
    </w:p>
    <w:p w:rsidR="00545D1B" w:rsidRPr="00742A04" w:rsidRDefault="00561CAA" w:rsidP="00466626">
      <w:pPr>
        <w:pStyle w:val="SingleTxt"/>
        <w:ind w:firstLine="475"/>
      </w:pPr>
      <w:r>
        <w:t>Se ha encomendado a</w:t>
      </w:r>
      <w:r w:rsidR="00912890" w:rsidRPr="00742A04">
        <w:t xml:space="preserve">l </w:t>
      </w:r>
      <w:r w:rsidR="002247A6" w:rsidRPr="00742A04">
        <w:t>Centro de Estudios de la Mujer e Investigaciones de Género</w:t>
      </w:r>
      <w:r w:rsidR="00545D1B" w:rsidRPr="00742A04">
        <w:t xml:space="preserve"> </w:t>
      </w:r>
      <w:r>
        <w:t>de</w:t>
      </w:r>
      <w:r w:rsidR="00545D1B" w:rsidRPr="00742A04">
        <w:t xml:space="preserve"> </w:t>
      </w:r>
      <w:r w:rsidR="00D66FC2" w:rsidRPr="00742A04">
        <w:t>la Universidad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Oslo </w:t>
      </w:r>
      <w:r>
        <w:t>que haga</w:t>
      </w:r>
      <w:r w:rsidR="001E30D6" w:rsidRPr="00742A04">
        <w:t xml:space="preserve"> una </w:t>
      </w:r>
      <w:r w:rsidR="00311327" w:rsidRPr="00742A04">
        <w:t>encuesta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>
        <w:t xml:space="preserve">los </w:t>
      </w:r>
      <w:r w:rsidR="008A2682" w:rsidRPr="00742A04">
        <w:t>casos</w:t>
      </w:r>
      <w:r>
        <w:t xml:space="preserve"> de</w:t>
      </w:r>
      <w:r w:rsidR="00C07ED9" w:rsidRPr="00742A04">
        <w:t xml:space="preserve"> </w:t>
      </w:r>
      <w:r w:rsidR="00CA313E" w:rsidRPr="00742A04">
        <w:t>matrim</w:t>
      </w:r>
      <w:r w:rsidR="00CA313E" w:rsidRPr="00742A04">
        <w:t>o</w:t>
      </w:r>
      <w:r w:rsidR="00CA313E" w:rsidRPr="00742A04">
        <w:t>nio forzado</w:t>
      </w:r>
      <w:r w:rsidR="00545D1B" w:rsidRPr="00742A04">
        <w:t xml:space="preserve"> </w:t>
      </w:r>
      <w:r>
        <w:t>de los que se hayan ocupado</w:t>
      </w:r>
      <w:r w:rsidR="00545D1B" w:rsidRPr="00742A04">
        <w:t xml:space="preserve"> </w:t>
      </w:r>
      <w:r w:rsidR="00B31D97" w:rsidRPr="00742A04">
        <w:t>los servicios de apoyo</w:t>
      </w:r>
      <w:r w:rsidR="00545D1B" w:rsidRPr="00742A04">
        <w:t xml:space="preserve">. </w:t>
      </w:r>
      <w:r w:rsidR="00024DBC" w:rsidRPr="00742A04">
        <w:t>Los resultados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101B8C" w:rsidRPr="00742A04">
        <w:t xml:space="preserve">esta </w:t>
      </w:r>
      <w:r w:rsidR="00311327" w:rsidRPr="00742A04">
        <w:t>encuesta</w:t>
      </w:r>
      <w:r w:rsidR="00545D1B" w:rsidRPr="00742A04">
        <w:t xml:space="preserve"> </w:t>
      </w:r>
      <w:r>
        <w:t>estarán disponibles el</w:t>
      </w:r>
      <w:r w:rsidR="00545D1B" w:rsidRPr="00742A04">
        <w:t xml:space="preserve"> 31 </w:t>
      </w:r>
      <w:r w:rsidR="00CE1CFC" w:rsidRPr="00742A04">
        <w:t>de diciembre de</w:t>
      </w:r>
      <w:r w:rsidR="00545D1B" w:rsidRPr="00742A04">
        <w:t xml:space="preserve"> 2006 </w:t>
      </w:r>
      <w:r w:rsidR="00877AA0" w:rsidRPr="00742A04">
        <w:t>y</w:t>
      </w:r>
      <w:r w:rsidR="00545D1B" w:rsidRPr="00742A04">
        <w:t xml:space="preserve"> </w:t>
      </w:r>
      <w:r w:rsidR="00604011" w:rsidRPr="00742A04">
        <w:t>será</w:t>
      </w:r>
      <w:r>
        <w:t>n utilizados para</w:t>
      </w:r>
      <w:r w:rsidR="00545D1B" w:rsidRPr="00742A04">
        <w:t xml:space="preserve"> fo</w:t>
      </w:r>
      <w:r w:rsidR="00545D1B" w:rsidRPr="00742A04">
        <w:t>r</w:t>
      </w:r>
      <w:r w:rsidR="00545D1B" w:rsidRPr="00742A04">
        <w:t>mula</w:t>
      </w:r>
      <w:r>
        <w:t>r</w:t>
      </w:r>
      <w:r w:rsidR="00545D1B" w:rsidRPr="00742A04">
        <w:t xml:space="preserve">te </w:t>
      </w:r>
      <w:r>
        <w:t>un</w:t>
      </w:r>
      <w:r w:rsidR="00545D1B" w:rsidRPr="00742A04">
        <w:t xml:space="preserve">a </w:t>
      </w:r>
      <w:r w:rsidR="005C19C7" w:rsidRPr="00742A04">
        <w:t>bue</w:t>
      </w:r>
      <w:r>
        <w:t>na</w:t>
      </w:r>
      <w:r w:rsidR="00545D1B" w:rsidRPr="00742A04">
        <w:t xml:space="preserve"> </w:t>
      </w:r>
      <w:r w:rsidR="00552048" w:rsidRPr="00742A04">
        <w:t>política</w:t>
      </w:r>
      <w:r w:rsidR="00545D1B" w:rsidRPr="00742A04">
        <w:t xml:space="preserve"> </w:t>
      </w:r>
      <w:r w:rsidRPr="00742A04">
        <w:t>preventiv</w:t>
      </w:r>
      <w:r>
        <w:t>a</w:t>
      </w:r>
      <w:r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3F50" w:rsidRPr="00742A04">
        <w:t>esta esfera</w:t>
      </w:r>
      <w:r w:rsidR="00545D1B" w:rsidRPr="00742A04">
        <w:t>.</w:t>
      </w:r>
    </w:p>
    <w:p w:rsidR="00545D1B" w:rsidRPr="00742A04" w:rsidRDefault="00561CAA" w:rsidP="00466626">
      <w:pPr>
        <w:pStyle w:val="SingleTxt"/>
        <w:ind w:firstLine="475"/>
      </w:pPr>
      <w:r>
        <w:t>El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>
        <w:t>primos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>
        <w:t xml:space="preserve">las comunidades de </w:t>
      </w:r>
      <w:r w:rsidR="00855B3B" w:rsidRPr="00742A04">
        <w:t>inmigrantes</w:t>
      </w:r>
      <w:r w:rsidR="00545D1B" w:rsidRPr="00742A04">
        <w:t xml:space="preserve"> </w:t>
      </w:r>
      <w:r w:rsidR="0020526A" w:rsidRPr="00742A04">
        <w:t>p</w:t>
      </w:r>
      <w:r>
        <w:t>uede estar vi</w:t>
      </w:r>
      <w:r>
        <w:t>n</w:t>
      </w:r>
      <w:r>
        <w:t>culado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CA313E" w:rsidRPr="00742A04">
        <w:t>matrimonio</w:t>
      </w:r>
      <w:r>
        <w:t>s</w:t>
      </w:r>
      <w:r w:rsidR="00CA313E" w:rsidRPr="00742A04">
        <w:t xml:space="preserve"> forzado</w:t>
      </w:r>
      <w:r>
        <w:t>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>
        <w:t>tener</w:t>
      </w:r>
      <w:r w:rsidR="00545D1B" w:rsidRPr="00742A04">
        <w:t xml:space="preserve"> </w:t>
      </w:r>
      <w:r w:rsidR="00495D7B" w:rsidRPr="00742A04">
        <w:t>consecuencias</w:t>
      </w:r>
      <w:r>
        <w:t xml:space="preserve"> para la salud</w:t>
      </w:r>
      <w:r w:rsidR="00545D1B" w:rsidRPr="00742A04">
        <w:t xml:space="preserve">. </w:t>
      </w:r>
      <w:r>
        <w:t>El</w:t>
      </w:r>
      <w:r w:rsidR="00545D1B" w:rsidRPr="00742A04">
        <w:t xml:space="preserve"> </w:t>
      </w:r>
      <w:r w:rsidR="004A0730" w:rsidRPr="00742A04">
        <w:t>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7C341F" w:rsidRPr="00742A04">
        <w:t>y Servicios Asistenciales</w:t>
      </w:r>
      <w:r w:rsidR="00545D1B" w:rsidRPr="00742A04">
        <w:t xml:space="preserve">, </w:t>
      </w:r>
      <w:r w:rsidR="004A0730" w:rsidRPr="00742A04">
        <w:t>el Ministerio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7C341F" w:rsidRPr="00742A04">
        <w:t>Trabajo e Integración Social</w:t>
      </w:r>
      <w:r w:rsidR="00545D1B" w:rsidRPr="00742A04">
        <w:t xml:space="preserve"> </w:t>
      </w:r>
      <w:r w:rsidR="00BB4DB1" w:rsidRPr="00742A04">
        <w:t xml:space="preserve">y el </w:t>
      </w:r>
      <w:r w:rsidR="004A0730" w:rsidRPr="00742A04">
        <w:t>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510322">
        <w:t xml:space="preserve">han pedido al </w:t>
      </w:r>
      <w:r w:rsidR="00510322" w:rsidRPr="00742A04">
        <w:t xml:space="preserve">Instituto de Salud Pública de Noruega </w:t>
      </w:r>
      <w:r w:rsidR="00510322">
        <w:t>que haga</w:t>
      </w:r>
      <w:r w:rsidR="001E30D6" w:rsidRPr="00742A04">
        <w:t xml:space="preserve"> un</w:t>
      </w:r>
      <w:r w:rsidR="00510322">
        <w:t xml:space="preserve"> estudio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10322">
        <w:t>la incidencia</w:t>
      </w:r>
      <w:r w:rsidR="00545D1B" w:rsidRPr="00742A04">
        <w:t xml:space="preserve"> </w:t>
      </w:r>
      <w:r w:rsidR="004A0730" w:rsidRPr="00742A04">
        <w:t>de</w:t>
      </w:r>
      <w:r w:rsidR="00510322">
        <w:t>l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>
        <w:t>primos</w:t>
      </w:r>
      <w:r w:rsidR="00545D1B" w:rsidRPr="00742A04">
        <w:t xml:space="preserve"> </w:t>
      </w:r>
      <w:r w:rsidR="00510322">
        <w:t>e</w:t>
      </w:r>
      <w:r w:rsidR="00545D1B" w:rsidRPr="00742A04">
        <w:t xml:space="preserve"> </w:t>
      </w:r>
      <w:r w:rsidR="00657260" w:rsidRPr="00742A04">
        <w:t>info</w:t>
      </w:r>
      <w:r w:rsidR="00657260" w:rsidRPr="00742A04">
        <w:t>r</w:t>
      </w:r>
      <w:r w:rsidR="00657260" w:rsidRPr="00742A04">
        <w:t xml:space="preserve">me sobre </w:t>
      </w:r>
      <w:r w:rsidR="00495D7B" w:rsidRPr="00742A04">
        <w:t>las consecuencias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B83FEB" w:rsidRPr="00742A04">
        <w:t>salud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502E16" w:rsidRPr="00742A04">
        <w:t>tal</w:t>
      </w:r>
      <w:r w:rsidR="00510322">
        <w:t>es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s. </w:t>
      </w:r>
      <w:r w:rsidR="00510322">
        <w:t>Los</w:t>
      </w:r>
      <w:r w:rsidR="00545D1B" w:rsidRPr="00742A04">
        <w:t xml:space="preserve"> </w:t>
      </w:r>
      <w:r w:rsidR="004F2F8A" w:rsidRPr="00742A04">
        <w:t>resultados</w:t>
      </w:r>
      <w:r w:rsidR="00545D1B" w:rsidRPr="00742A04">
        <w:t xml:space="preserve"> </w:t>
      </w:r>
      <w:r w:rsidR="00510322" w:rsidRPr="00742A04">
        <w:t>ini</w:t>
      </w:r>
      <w:r w:rsidR="00510322">
        <w:t>c</w:t>
      </w:r>
      <w:r w:rsidR="00510322" w:rsidRPr="00742A04">
        <w:t>ial</w:t>
      </w:r>
      <w:r w:rsidR="00510322">
        <w:t>es</w:t>
      </w:r>
      <w:r w:rsidR="00510322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510322">
        <w:t>este</w:t>
      </w:r>
      <w:r w:rsidR="00545D1B" w:rsidRPr="00742A04">
        <w:t xml:space="preserve"> </w:t>
      </w:r>
      <w:r w:rsidR="004A3F50" w:rsidRPr="00742A04">
        <w:t>estudio</w:t>
      </w:r>
      <w:r w:rsidR="00545D1B" w:rsidRPr="00742A04">
        <w:t xml:space="preserve"> </w:t>
      </w:r>
      <w:r w:rsidR="00510322">
        <w:t>estarán disponi</w:t>
      </w:r>
      <w:r w:rsidR="00545D1B" w:rsidRPr="00742A04">
        <w:t>ble</w:t>
      </w:r>
      <w:r w:rsidR="00510322">
        <w:t>s</w:t>
      </w:r>
      <w:r w:rsidR="00545D1B" w:rsidRPr="00742A04">
        <w:t xml:space="preserve"> </w:t>
      </w:r>
      <w:r w:rsidR="00510322">
        <w:t>el</w:t>
      </w:r>
      <w:r w:rsidR="00545D1B" w:rsidRPr="00742A04">
        <w:t xml:space="preserve"> 1</w:t>
      </w:r>
      <w:r w:rsidR="00510322">
        <w:t>°</w:t>
      </w:r>
      <w:r w:rsidR="00545D1B" w:rsidRPr="00742A04">
        <w:t xml:space="preserve"> </w:t>
      </w:r>
      <w:r w:rsidR="00CE1CFC" w:rsidRPr="00742A04">
        <w:t>de diciembre de</w:t>
      </w:r>
      <w:r w:rsidR="00545D1B" w:rsidRPr="00742A04">
        <w:t xml:space="preserve"> 2006. </w:t>
      </w:r>
      <w:r w:rsidR="003E4840" w:rsidRPr="00742A04">
        <w:t xml:space="preserve">Después </w:t>
      </w:r>
      <w:r w:rsidR="00C076F2" w:rsidRPr="00742A04">
        <w:t xml:space="preserve">de </w:t>
      </w:r>
      <w:r w:rsidR="00510322">
        <w:t xml:space="preserve">que se publiquen </w:t>
      </w:r>
      <w:r w:rsidR="00C076F2" w:rsidRPr="00742A04">
        <w:t xml:space="preserve">los </w:t>
      </w:r>
      <w:r w:rsidR="00024DBC" w:rsidRPr="00742A04">
        <w:t>resultados</w:t>
      </w:r>
      <w:r w:rsidR="00510322">
        <w:t>,</w:t>
      </w:r>
      <w:r w:rsidR="00545D1B" w:rsidRPr="00742A04">
        <w:t xml:space="preserve"> </w:t>
      </w:r>
      <w:r w:rsidR="00510322" w:rsidRPr="00742A04">
        <w:t>el Ministerio</w:t>
      </w:r>
      <w:r w:rsidR="00545D1B" w:rsidRPr="00742A04">
        <w:t xml:space="preserve">, </w:t>
      </w:r>
      <w:r w:rsidR="00C07ED9" w:rsidRPr="00742A04">
        <w:t>en cooperación</w:t>
      </w:r>
      <w:r w:rsidR="00C14BFF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BC2FBE" w:rsidRPr="00742A04">
        <w:t>los otros</w:t>
      </w:r>
      <w:r w:rsidR="00545D1B" w:rsidRPr="00742A04">
        <w:t xml:space="preserve"> </w:t>
      </w:r>
      <w:r w:rsidR="00603216" w:rsidRPr="00742A04">
        <w:t>ministerios</w:t>
      </w:r>
      <w:r w:rsidR="00545D1B" w:rsidRPr="00742A04">
        <w:t>, consider</w:t>
      </w:r>
      <w:r w:rsidR="00510322">
        <w:t>ará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F43124" w:rsidRPr="00742A04">
        <w:t>hay</w:t>
      </w:r>
      <w:r w:rsidR="00545D1B" w:rsidRPr="00742A04">
        <w:t xml:space="preserve"> </w:t>
      </w:r>
      <w:r w:rsidR="00F43124" w:rsidRPr="00742A04">
        <w:t xml:space="preserve">necesidad </w:t>
      </w:r>
      <w:r w:rsidR="00510322">
        <w:t>de</w:t>
      </w:r>
      <w:r w:rsidR="00545D1B" w:rsidRPr="00742A04">
        <w:t xml:space="preserve"> </w:t>
      </w:r>
      <w:r w:rsidR="00DC0DB8" w:rsidRPr="00742A04">
        <w:t>m</w:t>
      </w:r>
      <w:r w:rsidR="00DC0DB8" w:rsidRPr="00742A04">
        <w:t>e</w:t>
      </w:r>
      <w:r w:rsidR="00DC0DB8" w:rsidRPr="00742A04">
        <w:t>didas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4A3F50" w:rsidRPr="00742A04">
        <w:t>esta esfera</w:t>
      </w:r>
      <w:r w:rsidR="00545D1B" w:rsidRPr="00742A04">
        <w:t>.</w:t>
      </w:r>
    </w:p>
    <w:p w:rsidR="00545D1B" w:rsidRPr="00742A04" w:rsidRDefault="00C076F2" w:rsidP="008920C7">
      <w:pPr>
        <w:pStyle w:val="SingleTxt"/>
        <w:keepNext/>
        <w:rPr>
          <w:i/>
        </w:rPr>
      </w:pPr>
      <w:r w:rsidRPr="00742A04">
        <w:rPr>
          <w:i/>
        </w:rPr>
        <w:t>Otras medidas</w:t>
      </w:r>
    </w:p>
    <w:p w:rsidR="00545D1B" w:rsidRPr="00742A04" w:rsidRDefault="009E1970" w:rsidP="00466626">
      <w:pPr>
        <w:pStyle w:val="SingleTxt"/>
        <w:ind w:firstLine="475"/>
      </w:pPr>
      <w:r w:rsidRPr="00742A04">
        <w:t>En el otoño de 2004</w:t>
      </w:r>
      <w:r>
        <w:t xml:space="preserve"> </w:t>
      </w:r>
      <w:r w:rsidRPr="00742A04">
        <w:t>se estableció</w:t>
      </w:r>
      <w:r>
        <w:t xml:space="preserve"> un equipo </w:t>
      </w:r>
      <w:r w:rsidR="004A0730" w:rsidRPr="00742A04">
        <w:t>de</w:t>
      </w:r>
      <w:r w:rsidR="00545D1B" w:rsidRPr="00742A04">
        <w:t xml:space="preserve"> </w:t>
      </w:r>
      <w:r w:rsidR="008176B2" w:rsidRPr="00742A04">
        <w:t>expertos</w:t>
      </w:r>
      <w:r w:rsidR="00545D1B" w:rsidRPr="00742A04">
        <w:t xml:space="preserve"> </w:t>
      </w:r>
      <w:r>
        <w:t>en</w:t>
      </w:r>
      <w:r w:rsidR="007C341F" w:rsidRPr="00742A04">
        <w:t xml:space="preserve"> lucha </w:t>
      </w:r>
      <w:r w:rsidR="00834309" w:rsidRPr="00742A04">
        <w:t>contra los matrimonios forzados</w:t>
      </w:r>
      <w:r w:rsidR="00545D1B" w:rsidRPr="00742A04">
        <w:t xml:space="preserve">. </w:t>
      </w:r>
      <w:r>
        <w:t>El equipo</w:t>
      </w:r>
      <w:r w:rsidR="00545D1B" w:rsidRPr="00742A04">
        <w:t xml:space="preserve"> </w:t>
      </w:r>
      <w:r>
        <w:t>está integrado por</w:t>
      </w:r>
      <w:r w:rsidR="00545D1B" w:rsidRPr="00742A04">
        <w:t xml:space="preserve"> </w:t>
      </w:r>
      <w:r w:rsidR="008176B2" w:rsidRPr="00742A04">
        <w:t>expertos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>
        <w:t>la</w:t>
      </w:r>
      <w:r w:rsidR="00545D1B" w:rsidRPr="00742A04">
        <w:t xml:space="preserve"> </w:t>
      </w:r>
      <w:r w:rsidR="008B63DF" w:rsidRPr="00742A04">
        <w:t>Cruz Roja Noru</w:t>
      </w:r>
      <w:r w:rsidR="008B63DF" w:rsidRPr="00742A04">
        <w:t>e</w:t>
      </w:r>
      <w:r w:rsidR="008B63DF" w:rsidRPr="00742A04">
        <w:t>ga</w:t>
      </w:r>
      <w:r w:rsidR="00A93B9E" w:rsidRPr="00742A04">
        <w:t xml:space="preserve">, la </w:t>
      </w:r>
      <w:r w:rsidR="00ED4DF1" w:rsidRPr="00742A04">
        <w:t>policía</w:t>
      </w:r>
      <w:r w:rsidR="00A93B9E" w:rsidRPr="00742A04">
        <w:t xml:space="preserve">, la </w:t>
      </w:r>
      <w:r w:rsidR="008A38B9" w:rsidRPr="00742A04">
        <w:t>Dirección de Inm</w:t>
      </w:r>
      <w:r w:rsidR="00545D1B" w:rsidRPr="00742A04">
        <w:t>igra</w:t>
      </w:r>
      <w:r w:rsidR="00C14BFF" w:rsidRPr="00742A04">
        <w:t xml:space="preserve">ción </w:t>
      </w:r>
      <w:r w:rsidR="00877AA0" w:rsidRPr="00742A04">
        <w:t>y</w:t>
      </w:r>
      <w:r w:rsidR="00545D1B" w:rsidRPr="00742A04">
        <w:t xml:space="preserve"> </w:t>
      </w:r>
      <w:r w:rsidR="008B63DF" w:rsidRPr="00742A04">
        <w:t>la Dirección</w:t>
      </w:r>
      <w:r w:rsidR="00BD47D3" w:rsidRPr="00742A04">
        <w:t xml:space="preserve"> Noruega</w:t>
      </w:r>
      <w:r w:rsidR="00545D1B" w:rsidRPr="00742A04">
        <w:t xml:space="preserve"> </w:t>
      </w:r>
      <w:r w:rsidR="00F43124" w:rsidRPr="00742A04">
        <w:t xml:space="preserve">de la </w:t>
      </w:r>
      <w:r w:rsidR="008B63DF" w:rsidRPr="00742A04">
        <w:t>Infancia</w:t>
      </w:r>
      <w:r w:rsidR="00A93B9E" w:rsidRPr="00742A04">
        <w:t xml:space="preserve">, la </w:t>
      </w:r>
      <w:r w:rsidR="008B63DF" w:rsidRPr="00742A04">
        <w:t>Juventud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8A38B9" w:rsidRPr="00742A04">
        <w:t>Asuntos de Familia</w:t>
      </w:r>
      <w:r w:rsidR="00545D1B" w:rsidRPr="00742A04">
        <w:t xml:space="preserve">. </w:t>
      </w:r>
      <w:r w:rsidR="0030626A" w:rsidRPr="00742A04">
        <w:t>Además de</w:t>
      </w:r>
      <w:r>
        <w:t>l núcleo</w:t>
      </w:r>
      <w:r w:rsidR="00545D1B" w:rsidRPr="00742A04">
        <w:t xml:space="preserve"> </w:t>
      </w:r>
      <w:r w:rsidR="00495D7B" w:rsidRPr="00742A04">
        <w:t>permanente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176B2" w:rsidRPr="00742A04">
        <w:t>expertos</w:t>
      </w:r>
      <w:r w:rsidR="00545D1B" w:rsidRPr="00742A04">
        <w:t xml:space="preserve">, </w:t>
      </w:r>
      <w:r>
        <w:t>se pr</w:t>
      </w:r>
      <w:r>
        <w:t>e</w:t>
      </w:r>
      <w:r>
        <w:t>vé la participación de otras</w:t>
      </w:r>
      <w:r w:rsidR="00545D1B" w:rsidRPr="00742A04">
        <w:t xml:space="preserve"> </w:t>
      </w:r>
      <w:r w:rsidR="00A8681A" w:rsidRPr="00742A04">
        <w:t>personas</w:t>
      </w:r>
      <w:r w:rsidR="00545D1B" w:rsidRPr="00742A04">
        <w:t xml:space="preserve"> </w:t>
      </w:r>
      <w:r>
        <w:t>u organismos competentes en los casos en que sea</w:t>
      </w:r>
      <w:r w:rsidR="00545D1B" w:rsidRPr="00742A04">
        <w:t xml:space="preserve"> </w:t>
      </w:r>
      <w:r w:rsidR="00417824" w:rsidRPr="00742A04">
        <w:t>necesario</w:t>
      </w:r>
      <w:r w:rsidR="00545D1B" w:rsidRPr="00742A04">
        <w:t xml:space="preserve">. </w:t>
      </w:r>
      <w:r>
        <w:t>El equipo</w:t>
      </w:r>
      <w:r w:rsidR="00545D1B" w:rsidRPr="00742A04">
        <w:t xml:space="preserve"> pr</w:t>
      </w:r>
      <w:r>
        <w:t>esta</w:t>
      </w:r>
      <w:r w:rsidR="00545D1B" w:rsidRPr="00742A04">
        <w:t xml:space="preserve"> </w:t>
      </w:r>
      <w:r w:rsidR="00502E16" w:rsidRPr="00742A04">
        <w:t>asistencia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>
        <w:t xml:space="preserve">concretos </w:t>
      </w:r>
      <w:r w:rsidR="00877AA0" w:rsidRPr="00742A04">
        <w:t>y</w:t>
      </w:r>
      <w:r w:rsidR="00545D1B" w:rsidRPr="00742A04">
        <w:t xml:space="preserve"> </w:t>
      </w:r>
      <w:r w:rsidR="00502E16" w:rsidRPr="00742A04">
        <w:t>asesoramiento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81775" w:rsidRPr="00742A04">
        <w:t>orientación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C27C42" w:rsidRPr="00742A04">
        <w:t>relación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116976" w:rsidRPr="00742A04">
        <w:t>el trabajo</w:t>
      </w:r>
      <w:r w:rsidR="00545D1B" w:rsidRPr="00742A04">
        <w:t xml:space="preserve"> </w:t>
      </w:r>
      <w:r w:rsidRPr="00742A04">
        <w:t xml:space="preserve">general </w:t>
      </w:r>
      <w:r w:rsidR="004A0730" w:rsidRPr="00742A04">
        <w:t>de</w:t>
      </w:r>
      <w:r w:rsidR="00545D1B" w:rsidRPr="00742A04">
        <w:t xml:space="preserve"> </w:t>
      </w:r>
      <w:r w:rsidR="00B31D97" w:rsidRPr="00742A04">
        <w:t>los serv</w:t>
      </w:r>
      <w:r w:rsidR="00B31D97" w:rsidRPr="00742A04">
        <w:t>i</w:t>
      </w:r>
      <w:r w:rsidR="00B31D97" w:rsidRPr="00742A04">
        <w:t>cios</w:t>
      </w:r>
      <w:r w:rsidRPr="009E1970">
        <w:t xml:space="preserve"> </w:t>
      </w:r>
      <w:r>
        <w:t>de primera línea</w:t>
      </w:r>
      <w:r w:rsidR="00545D1B" w:rsidRPr="00742A04">
        <w:t>.</w:t>
      </w:r>
    </w:p>
    <w:p w:rsidR="00545D1B" w:rsidRPr="00742A04" w:rsidRDefault="008F0FA4" w:rsidP="00466626">
      <w:pPr>
        <w:pStyle w:val="SingleTxt"/>
        <w:ind w:firstLine="475"/>
      </w:pPr>
      <w:r w:rsidRPr="00742A04">
        <w:t xml:space="preserve">También se han establecido </w:t>
      </w:r>
      <w:r>
        <w:t>v</w:t>
      </w:r>
      <w:r w:rsidR="0023681E">
        <w:t>aria</w:t>
      </w:r>
      <w:r w:rsidR="004D313C" w:rsidRPr="00742A04">
        <w:t>s</w:t>
      </w:r>
      <w:r w:rsidR="00545D1B" w:rsidRPr="00742A04">
        <w:t xml:space="preserve"> </w:t>
      </w:r>
      <w:r w:rsidR="00DC0DB8" w:rsidRPr="00742A04">
        <w:t>medidas</w:t>
      </w:r>
      <w:r>
        <w:t xml:space="preserve"> de</w:t>
      </w:r>
      <w:r w:rsidR="00545D1B" w:rsidRPr="00742A04">
        <w:t xml:space="preserve"> </w:t>
      </w:r>
      <w:r w:rsidRPr="00742A04">
        <w:t xml:space="preserve">información </w:t>
      </w:r>
      <w:r w:rsidR="00877AA0" w:rsidRPr="00742A04">
        <w:t>y</w:t>
      </w:r>
      <w:r w:rsidR="00545D1B" w:rsidRPr="00742A04">
        <w:t xml:space="preserve"> </w:t>
      </w:r>
      <w:r w:rsidRPr="00742A04">
        <w:t>servicios</w:t>
      </w:r>
      <w:r>
        <w:t xml:space="preserve"> de </w:t>
      </w:r>
      <w:r w:rsidR="00502E16" w:rsidRPr="00742A04">
        <w:t>asi</w:t>
      </w:r>
      <w:r w:rsidR="00502E16" w:rsidRPr="00742A04">
        <w:t>s</w:t>
      </w:r>
      <w:r w:rsidR="00502E16" w:rsidRPr="00742A04">
        <w:t>tencia</w:t>
      </w:r>
      <w:r w:rsidR="00545D1B" w:rsidRPr="00742A04">
        <w:t xml:space="preserve">. </w:t>
      </w:r>
      <w:r>
        <w:t xml:space="preserve">La línea telefónica directa sobre </w:t>
      </w:r>
      <w:r w:rsidR="00CA313E" w:rsidRPr="00742A04">
        <w:t>matrimonio</w:t>
      </w:r>
      <w:r>
        <w:t>s</w:t>
      </w:r>
      <w:r w:rsidR="00CA313E" w:rsidRPr="00742A04">
        <w:t xml:space="preserve"> forzado</w:t>
      </w:r>
      <w:r>
        <w:t>s</w:t>
      </w:r>
      <w:r w:rsidR="00545D1B" w:rsidRPr="00742A04">
        <w:t xml:space="preserve"> </w:t>
      </w:r>
      <w:r>
        <w:t>abarca a todo el</w:t>
      </w:r>
      <w:r w:rsidR="00545D1B" w:rsidRPr="00742A04">
        <w:t xml:space="preserve"> </w:t>
      </w:r>
      <w:r w:rsidR="00893DF9" w:rsidRPr="00742A04">
        <w:t>país</w:t>
      </w:r>
      <w:r w:rsidR="00AC5D28" w:rsidRPr="00742A04">
        <w:t xml:space="preserve"> y es </w:t>
      </w:r>
      <w:r>
        <w:t>operada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>
        <w:t>el Centro Internacional de la Cruz Roja de</w:t>
      </w:r>
      <w:r w:rsidR="00545D1B" w:rsidRPr="00742A04">
        <w:t xml:space="preserve"> Oslo (ORKIS). </w:t>
      </w:r>
      <w:r>
        <w:t xml:space="preserve">El </w:t>
      </w:r>
      <w:r w:rsidR="000B41AF" w:rsidRPr="00742A04">
        <w:t>pri</w:t>
      </w:r>
      <w:r w:rsidR="000B41AF" w:rsidRPr="00742A04">
        <w:t>n</w:t>
      </w:r>
      <w:r w:rsidR="000B41AF" w:rsidRPr="00742A04">
        <w:t>cipal</w:t>
      </w:r>
      <w:r w:rsidR="00545D1B" w:rsidRPr="00742A04">
        <w:t xml:space="preserve"> </w:t>
      </w:r>
      <w:r>
        <w:t>centro de atención</w:t>
      </w:r>
      <w:r w:rsidR="00545D1B" w:rsidRPr="00742A04">
        <w:t xml:space="preserve"> </w:t>
      </w:r>
      <w:r w:rsidR="00BB4DB1" w:rsidRPr="00742A04">
        <w:t>es</w:t>
      </w:r>
      <w:r>
        <w:t>tá en</w:t>
      </w:r>
      <w:r w:rsidR="00545D1B" w:rsidRPr="00742A04">
        <w:t xml:space="preserve"> </w:t>
      </w:r>
      <w:r w:rsidR="004F07A7" w:rsidRPr="00742A04">
        <w:t>los casos individuales</w:t>
      </w:r>
      <w:r w:rsidR="002E5047" w:rsidRPr="00742A04">
        <w:t xml:space="preserve"> </w:t>
      </w:r>
      <w:r>
        <w:t>y s</w:t>
      </w:r>
      <w:r w:rsidR="002E5047" w:rsidRPr="00742A04">
        <w:t xml:space="preserve">e </w:t>
      </w:r>
      <w:r>
        <w:t xml:space="preserve">brinda periódicamente </w:t>
      </w:r>
      <w:r w:rsidR="002E5047" w:rsidRPr="00742A04">
        <w:t>i</w:t>
      </w:r>
      <w:r w:rsidR="00545D1B" w:rsidRPr="00742A04">
        <w:t>nforma</w:t>
      </w:r>
      <w:r w:rsidR="00C14BFF" w:rsidRPr="00742A04">
        <w:t xml:space="preserve">ción </w:t>
      </w:r>
      <w:r>
        <w:t>al</w:t>
      </w:r>
      <w:r w:rsidR="00545D1B" w:rsidRPr="00742A04">
        <w:t xml:space="preserve"> </w:t>
      </w:r>
      <w:r w:rsidR="00101B8C" w:rsidRPr="00742A04">
        <w:t>servicio de bienestar infantil</w:t>
      </w:r>
      <w:r w:rsidR="00545D1B" w:rsidRPr="00742A04">
        <w:t xml:space="preserve">, </w:t>
      </w:r>
      <w:r>
        <w:t xml:space="preserve">los centros de </w:t>
      </w:r>
      <w:r w:rsidR="00545D1B" w:rsidRPr="00742A04">
        <w:t>recep</w:t>
      </w:r>
      <w:r w:rsidR="00C14BFF" w:rsidRPr="00742A04">
        <w:t xml:space="preserve">ción </w:t>
      </w:r>
      <w:r>
        <w:t>de</w:t>
      </w:r>
      <w:r w:rsidR="00545D1B" w:rsidRPr="00742A04">
        <w:t xml:space="preserve"> </w:t>
      </w:r>
      <w:r w:rsidR="00BC00DF" w:rsidRPr="00742A04">
        <w:t>solic</w:t>
      </w:r>
      <w:r w:rsidR="00BC00DF" w:rsidRPr="00742A04">
        <w:t>i</w:t>
      </w:r>
      <w:r w:rsidR="00BC00DF" w:rsidRPr="00742A04">
        <w:t>tantes de asilo</w:t>
      </w:r>
      <w:r w:rsidR="00545D1B" w:rsidRPr="00742A04">
        <w:t xml:space="preserve">, </w:t>
      </w:r>
      <w:r>
        <w:t>las enfermeras</w:t>
      </w:r>
      <w:r w:rsidR="00545D1B" w:rsidRPr="00742A04">
        <w:t xml:space="preserve"> </w:t>
      </w:r>
      <w:r>
        <w:t>de las</w:t>
      </w:r>
      <w:r w:rsidR="00545D1B" w:rsidRPr="00742A04">
        <w:t xml:space="preserve"> cl</w:t>
      </w:r>
      <w:r>
        <w:t>í</w:t>
      </w:r>
      <w:r w:rsidR="00545D1B" w:rsidRPr="00742A04">
        <w:t>nic</w:t>
      </w:r>
      <w:r>
        <w:t>a</w:t>
      </w:r>
      <w:r w:rsidR="00545D1B" w:rsidRPr="00742A04">
        <w:t xml:space="preserve">s </w:t>
      </w:r>
      <w:r w:rsidR="00877AA0" w:rsidRPr="00742A04">
        <w:t>y</w:t>
      </w:r>
      <w:r w:rsidR="00545D1B" w:rsidRPr="00742A04">
        <w:t xml:space="preserve"> </w:t>
      </w:r>
      <w:r w:rsidR="003E5775" w:rsidRPr="00742A04">
        <w:t>las escuelas</w:t>
      </w:r>
      <w:r w:rsidR="00545D1B" w:rsidRPr="00742A04">
        <w:t xml:space="preserve">, </w:t>
      </w:r>
      <w:r w:rsidR="00FC59C5" w:rsidRPr="00742A04">
        <w:t>la policía</w:t>
      </w:r>
      <w:r w:rsidR="00545D1B" w:rsidRPr="00742A04">
        <w:t xml:space="preserve">, etc. </w:t>
      </w:r>
      <w:r>
        <w:t>La</w:t>
      </w:r>
      <w:r w:rsidR="00545D1B" w:rsidRPr="00742A04">
        <w:t xml:space="preserve"> </w:t>
      </w:r>
      <w:r w:rsidR="008F0C8E" w:rsidRPr="00742A04">
        <w:t>organiz</w:t>
      </w:r>
      <w:r w:rsidR="008F0C8E" w:rsidRPr="00742A04">
        <w:t>a</w:t>
      </w:r>
      <w:r w:rsidR="00C14BFF" w:rsidRPr="00742A04">
        <w:t xml:space="preserve">ción </w:t>
      </w:r>
      <w:r w:rsidR="00504591" w:rsidRPr="00742A04">
        <w:t>Autoayuda para Inmigrantes y Refugiados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CD2FF0" w:rsidRPr="00742A04">
        <w:t>recibe</w:t>
      </w:r>
      <w:r w:rsidR="00545D1B" w:rsidRPr="00742A04">
        <w:t xml:space="preserve"> </w:t>
      </w:r>
      <w:r w:rsidR="00935A90" w:rsidRPr="00742A04">
        <w:t>apoyo</w:t>
      </w:r>
      <w:r w:rsidR="00545D1B" w:rsidRPr="00742A04">
        <w:t xml:space="preserve"> </w:t>
      </w:r>
      <w:r w:rsidR="002C3E74">
        <w:t>par</w:t>
      </w:r>
      <w:r w:rsidR="0030626A" w:rsidRPr="00742A04">
        <w:t>a</w:t>
      </w:r>
      <w:r w:rsidR="00545D1B" w:rsidRPr="00742A04">
        <w:t xml:space="preserve"> </w:t>
      </w:r>
      <w:r w:rsidR="00126609" w:rsidRPr="00742A04">
        <w:t>asistir</w:t>
      </w:r>
      <w:r w:rsidR="002C3E74">
        <w:t xml:space="preserve"> </w:t>
      </w:r>
      <w:r w:rsidR="0023681E" w:rsidRPr="00742A04">
        <w:t>en c</w:t>
      </w:r>
      <w:r w:rsidR="0023681E" w:rsidRPr="00742A04">
        <w:t>a</w:t>
      </w:r>
      <w:r w:rsidR="0023681E" w:rsidRPr="00742A04">
        <w:t xml:space="preserve">sos individuales </w:t>
      </w:r>
      <w:r w:rsidR="002C3E74">
        <w:t>a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23681E">
        <w:t>crea</w:t>
      </w:r>
      <w:r w:rsidR="002C3E74">
        <w:t>n estar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370FA" w:rsidRPr="00742A04">
        <w:t>peligro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C3E74">
        <w:t>ser</w:t>
      </w:r>
      <w:r w:rsidR="00545D1B" w:rsidRPr="00742A04">
        <w:t xml:space="preserve"> for</w:t>
      </w:r>
      <w:r w:rsidR="002C3E74">
        <w:t>zados</w:t>
      </w:r>
      <w:r w:rsidR="00545D1B" w:rsidRPr="00742A04">
        <w:t xml:space="preserve"> </w:t>
      </w:r>
      <w:r w:rsidR="002C3E74">
        <w:t>a contraer</w:t>
      </w:r>
      <w:r w:rsidR="00545D1B" w:rsidRPr="00742A04">
        <w:t xml:space="preserve"> </w:t>
      </w:r>
      <w:r w:rsidR="00EA1805" w:rsidRPr="00742A04">
        <w:t>matrimonio</w:t>
      </w:r>
      <w:r w:rsidR="00545D1B" w:rsidRPr="00742A04">
        <w:t xml:space="preserve">. </w:t>
      </w:r>
      <w:r w:rsidR="002C3E74">
        <w:t>La</w:t>
      </w:r>
      <w:r w:rsidR="00545D1B" w:rsidRPr="00742A04">
        <w:t xml:space="preserve"> </w:t>
      </w:r>
      <w:r w:rsidR="008F0C8E" w:rsidRPr="00742A04">
        <w:t>organiza</w:t>
      </w:r>
      <w:r w:rsidR="00C14BFF" w:rsidRPr="00742A04">
        <w:t xml:space="preserve">ción </w:t>
      </w:r>
      <w:r w:rsidR="003E4840" w:rsidRPr="00742A04">
        <w:t>trabaja en estrecho contacto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 w:rsidR="00311327" w:rsidRPr="00742A04">
        <w:t xml:space="preserve">los servicios </w:t>
      </w:r>
      <w:r w:rsidR="002C3E74" w:rsidRPr="00742A04">
        <w:t>p</w:t>
      </w:r>
      <w:r w:rsidR="002C3E74" w:rsidRPr="00742A04">
        <w:t>ú</w:t>
      </w:r>
      <w:r w:rsidR="002C3E74" w:rsidRPr="00742A04">
        <w:t>blico</w:t>
      </w:r>
      <w:r w:rsidR="002C3E74">
        <w:t>s</w:t>
      </w:r>
      <w:r w:rsidR="002C3E74" w:rsidRPr="00742A04">
        <w:t xml:space="preserve"> </w:t>
      </w:r>
      <w:r w:rsidR="00311327" w:rsidRPr="00742A04">
        <w:t>de apoyo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, </w:t>
      </w:r>
      <w:r w:rsidR="002C3E74">
        <w:t>merced a</w:t>
      </w:r>
      <w:r w:rsidR="00545D1B" w:rsidRPr="00742A04">
        <w:t xml:space="preserve"> </w:t>
      </w:r>
      <w:r w:rsidR="004A0730" w:rsidRPr="00742A04">
        <w:t>su</w:t>
      </w:r>
      <w:r w:rsidR="00545D1B" w:rsidRPr="00742A04">
        <w:t xml:space="preserve"> </w:t>
      </w:r>
      <w:r w:rsidR="00116976" w:rsidRPr="00742A04">
        <w:t>trabajo</w:t>
      </w:r>
      <w:r w:rsidR="00545D1B" w:rsidRPr="00742A04">
        <w:t xml:space="preserve">, ha </w:t>
      </w:r>
      <w:r w:rsidR="002C3E74">
        <w:t>ayudado a</w:t>
      </w:r>
      <w:r w:rsidR="00B31D97" w:rsidRPr="00742A04">
        <w:t xml:space="preserve"> mejorar</w:t>
      </w:r>
      <w:r w:rsidR="00545D1B" w:rsidRPr="00742A04">
        <w:t xml:space="preserve"> </w:t>
      </w:r>
      <w:r w:rsidR="002C3E74">
        <w:t>la competencia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2C3E74">
        <w:t>e</w:t>
      </w:r>
      <w:r w:rsidR="002C3E74">
        <w:t>s</w:t>
      </w:r>
      <w:r w:rsidR="002C3E74">
        <w:t>te</w:t>
      </w:r>
      <w:r w:rsidR="00545D1B" w:rsidRPr="00742A04">
        <w:t xml:space="preserve"> sector. </w:t>
      </w:r>
      <w:r w:rsidR="002C3E74">
        <w:t>El arreglo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C3E74">
        <w:t>suministrar alojamiento de</w:t>
      </w:r>
      <w:r w:rsidR="00545D1B" w:rsidRPr="00742A04">
        <w:t xml:space="preserve"> emergenc</w:t>
      </w:r>
      <w:r w:rsidR="002C3E74">
        <w:t>ia por conducto del</w:t>
      </w:r>
      <w:r w:rsidR="00BD47D3" w:rsidRPr="00742A04">
        <w:t xml:space="preserve"> </w:t>
      </w:r>
      <w:r w:rsidR="009A46D0" w:rsidRPr="00742A04">
        <w:t>Banco Est</w:t>
      </w:r>
      <w:r w:rsidR="009A46D0" w:rsidRPr="00742A04">
        <w:t>a</w:t>
      </w:r>
      <w:r w:rsidR="009A46D0" w:rsidRPr="00742A04">
        <w:t>tal de Vivienda de</w:t>
      </w:r>
      <w:r w:rsidR="0063400A" w:rsidRPr="00742A04">
        <w:t xml:space="preserve"> </w:t>
      </w:r>
      <w:r w:rsidR="00BD47D3" w:rsidRPr="00742A04">
        <w:t>Noruega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2C3E74">
        <w:t xml:space="preserve">ha aliviado </w:t>
      </w:r>
      <w:r w:rsidR="000472FC" w:rsidRPr="00742A04">
        <w:t>la situación</w:t>
      </w:r>
      <w:r w:rsidR="00C14BFF" w:rsidRPr="00742A04">
        <w:t xml:space="preserve"> </w:t>
      </w:r>
      <w:r w:rsidR="007E0DFE" w:rsidRPr="00742A04">
        <w:t>porque</w:t>
      </w:r>
      <w:r w:rsidR="00545D1B" w:rsidRPr="00742A04">
        <w:t xml:space="preserve"> </w:t>
      </w:r>
      <w:r w:rsidR="002C3E74">
        <w:t>permite que</w:t>
      </w:r>
      <w:r w:rsidR="00545D1B" w:rsidRPr="00742A04">
        <w:t xml:space="preserve"> </w:t>
      </w:r>
      <w:r w:rsidR="00A24287" w:rsidRPr="00742A04">
        <w:t>los jóvenes</w:t>
      </w:r>
      <w:r w:rsidR="00545D1B" w:rsidRPr="00742A04">
        <w:t xml:space="preserve"> </w:t>
      </w:r>
      <w:r w:rsidR="002C3E74">
        <w:t>se muden rápidamente a una</w:t>
      </w:r>
      <w:r w:rsidR="00545D1B" w:rsidRPr="00742A04">
        <w:t xml:space="preserve"> </w:t>
      </w:r>
      <w:r w:rsidR="0059357E" w:rsidRPr="00742A04">
        <w:t>vivienda segura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23681E">
        <w:t>surja</w:t>
      </w:r>
      <w:r w:rsidR="002C3E74">
        <w:t xml:space="preserve"> </w:t>
      </w:r>
      <w:r w:rsidR="00B31D97" w:rsidRPr="00742A04">
        <w:t>la necesidad de</w:t>
      </w:r>
      <w:r w:rsidR="002C3E74">
        <w:t xml:space="preserve"> hacerlo</w:t>
      </w:r>
      <w:r w:rsidR="00545D1B" w:rsidRPr="00742A04">
        <w:t xml:space="preserve">. </w:t>
      </w:r>
      <w:r w:rsidR="002C3E74" w:rsidRPr="00742A04">
        <w:t>T</w:t>
      </w:r>
      <w:r w:rsidR="00756C0D" w:rsidRPr="00742A04">
        <w:t>ambién se ha</w:t>
      </w:r>
      <w:r w:rsidR="00545D1B" w:rsidRPr="00742A04">
        <w:t xml:space="preserve"> </w:t>
      </w:r>
      <w:r w:rsidR="002C3E74">
        <w:t>asignado</w:t>
      </w:r>
      <w:r w:rsidR="002C3E74" w:rsidRPr="002C3E74">
        <w:t xml:space="preserve"> </w:t>
      </w:r>
      <w:r w:rsidR="002C3E74">
        <w:t>p</w:t>
      </w:r>
      <w:r w:rsidR="002C3E74" w:rsidRPr="00742A04">
        <w:t>rioridad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C3E74">
        <w:t xml:space="preserve">la </w:t>
      </w:r>
      <w:r w:rsidR="00F43124" w:rsidRPr="00742A04">
        <w:t>capacitación</w:t>
      </w:r>
      <w:r w:rsidR="00545D1B" w:rsidRPr="00742A04">
        <w:t xml:space="preserve"> </w:t>
      </w:r>
      <w:r w:rsidR="002C3E74">
        <w:t xml:space="preserve">de </w:t>
      </w:r>
      <w:r w:rsidR="00380AC9" w:rsidRPr="00742A04">
        <w:t>los empleados</w:t>
      </w:r>
      <w:r w:rsidR="00545D1B" w:rsidRPr="00742A04">
        <w:t xml:space="preserve"> </w:t>
      </w:r>
      <w:r w:rsidR="002C3E74" w:rsidRPr="00742A04">
        <w:t>públ</w:t>
      </w:r>
      <w:r w:rsidR="002C3E74" w:rsidRPr="00742A04">
        <w:t>i</w:t>
      </w:r>
      <w:r w:rsidR="002C3E74" w:rsidRPr="00742A04">
        <w:t>co</w:t>
      </w:r>
      <w:r w:rsidR="002C3E74">
        <w:t>s</w:t>
      </w:r>
      <w:r w:rsidR="002C3E74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B31D97" w:rsidRPr="00742A04">
        <w:t>los servicios de apoyo</w:t>
      </w:r>
      <w:r w:rsidR="00545D1B" w:rsidRPr="00742A04">
        <w:t xml:space="preserve"> </w:t>
      </w:r>
      <w:r w:rsidR="002C3E74">
        <w:t>de las principales ciudades</w:t>
      </w:r>
      <w:r w:rsidR="00545D1B" w:rsidRPr="00742A04">
        <w:t xml:space="preserve"> </w:t>
      </w:r>
      <w:r w:rsidR="002C3E74">
        <w:t>para ocuparse de los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2C3E74">
        <w:t>de</w:t>
      </w:r>
      <w:r w:rsidR="00E575DB" w:rsidRPr="00742A04">
        <w:t xml:space="preserve"> </w:t>
      </w:r>
      <w:r w:rsidR="00CA313E" w:rsidRPr="00742A04">
        <w:t>matrimonio forzado</w:t>
      </w:r>
      <w:r w:rsidR="00545D1B" w:rsidRPr="00742A04">
        <w:t>.</w:t>
      </w:r>
      <w:r w:rsidR="001167D2" w:rsidRPr="00742A04">
        <w:t xml:space="preserve"> </w:t>
      </w:r>
      <w:r w:rsidR="002C3E74" w:rsidRPr="00742A04">
        <w:t>E</w:t>
      </w:r>
      <w:r w:rsidR="001167D2" w:rsidRPr="00742A04">
        <w:t xml:space="preserve">l </w:t>
      </w:r>
      <w:r w:rsidR="008F0C8E" w:rsidRPr="00742A04">
        <w:t>Gobierno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2C3E74">
        <w:t>ha asignado</w:t>
      </w:r>
      <w:r w:rsidR="00545D1B" w:rsidRPr="00742A04">
        <w:t xml:space="preserve"> </w:t>
      </w:r>
      <w:r w:rsidR="00F43124" w:rsidRPr="00742A04">
        <w:t>fondos</w:t>
      </w:r>
      <w:r w:rsidR="00545D1B" w:rsidRPr="00742A04">
        <w:t xml:space="preserve"> </w:t>
      </w:r>
      <w:r w:rsidR="002C3E74">
        <w:t>par</w:t>
      </w:r>
      <w:r w:rsidR="0030626A" w:rsidRPr="00742A04">
        <w:t>a</w:t>
      </w:r>
      <w:r w:rsidR="00545D1B" w:rsidRPr="00742A04">
        <w:t xml:space="preserve"> investiga</w:t>
      </w:r>
      <w:r w:rsidR="002C3E74">
        <w:t>r</w:t>
      </w:r>
      <w:r w:rsidR="00545D1B" w:rsidRPr="00742A04">
        <w:t xml:space="preserve"> </w:t>
      </w:r>
      <w:r w:rsidR="002C3E74">
        <w:t>el acaecimiento de casos de</w:t>
      </w:r>
      <w:r w:rsidR="00C07ED9" w:rsidRPr="00742A04">
        <w:t xml:space="preserve"> </w:t>
      </w:r>
      <w:r w:rsidR="00CA313E" w:rsidRPr="00742A04">
        <w:t>m</w:t>
      </w:r>
      <w:r w:rsidR="00CA313E" w:rsidRPr="00742A04">
        <w:t>a</w:t>
      </w:r>
      <w:r w:rsidR="00CA313E" w:rsidRPr="00742A04">
        <w:t>trimonio forzado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EA26AB" w:rsidRPr="00742A04">
        <w:t>Noruega</w:t>
      </w:r>
      <w:r w:rsidR="00545D1B" w:rsidRPr="00742A04">
        <w:t>.</w:t>
      </w:r>
    </w:p>
    <w:p w:rsidR="00545D1B" w:rsidRPr="00742A04" w:rsidRDefault="00F66D39" w:rsidP="00466626">
      <w:pPr>
        <w:pStyle w:val="SingleTxt"/>
        <w:ind w:firstLine="475"/>
      </w:pPr>
      <w:r w:rsidRPr="00742A04">
        <w:t>Si bien</w:t>
      </w:r>
      <w:r w:rsidR="00545D1B" w:rsidRPr="00742A04">
        <w:t xml:space="preserve"> </w:t>
      </w:r>
      <w:r w:rsidR="002C3E74">
        <w:t>se han aplicado numerosas</w:t>
      </w:r>
      <w:r w:rsidR="002C3E74" w:rsidRPr="00742A04">
        <w:t xml:space="preserve"> medidas</w:t>
      </w:r>
      <w:r w:rsidR="00545D1B" w:rsidRPr="00742A04">
        <w:t xml:space="preserve">, </w:t>
      </w:r>
      <w:r w:rsidR="002C3E74">
        <w:t>aún queda mucho por hacer</w:t>
      </w:r>
      <w:r w:rsidR="00545D1B" w:rsidRPr="00742A04">
        <w:t xml:space="preserve">. </w:t>
      </w:r>
      <w:r w:rsidR="002C3E74">
        <w:t>Ind</w:t>
      </w:r>
      <w:r w:rsidR="002C3E74">
        <w:t>u</w:t>
      </w:r>
      <w:r w:rsidR="002C3E74">
        <w:t>dablemente, el mayor desafío radica en lograr</w:t>
      </w:r>
      <w:r w:rsidR="00545D1B" w:rsidRPr="00742A04">
        <w:t xml:space="preserve"> </w:t>
      </w:r>
      <w:r w:rsidR="004A3F50" w:rsidRPr="00742A04">
        <w:t>un cambio</w:t>
      </w:r>
      <w:r w:rsidR="00545D1B" w:rsidRPr="00742A04">
        <w:t xml:space="preserve"> </w:t>
      </w:r>
      <w:r w:rsidR="002C3E74">
        <w:t xml:space="preserve">de </w:t>
      </w:r>
      <w:r w:rsidR="004F2F8A" w:rsidRPr="00742A04">
        <w:t xml:space="preserve">las </w:t>
      </w:r>
      <w:r w:rsidR="007E0DFE" w:rsidRPr="00742A04">
        <w:t>actitudes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C3E74">
        <w:t>la</w:t>
      </w:r>
      <w:r w:rsidR="00545D1B" w:rsidRPr="00742A04">
        <w:t xml:space="preserve"> gen</w:t>
      </w:r>
      <w:r w:rsidR="00545D1B" w:rsidRPr="00742A04">
        <w:t>e</w:t>
      </w:r>
      <w:r w:rsidR="00545D1B" w:rsidRPr="00742A04">
        <w:t>ra</w:t>
      </w:r>
      <w:r w:rsidR="00C27C42" w:rsidRPr="00742A04">
        <w:t>ci</w:t>
      </w:r>
      <w:r w:rsidR="00C14BFF" w:rsidRPr="00742A04">
        <w:t>ón</w:t>
      </w:r>
      <w:r w:rsidR="002C3E74">
        <w:t xml:space="preserve"> de los padres y las madres</w:t>
      </w:r>
      <w:r w:rsidR="00C27C42" w:rsidRPr="00742A04">
        <w:t>.</w:t>
      </w:r>
      <w:r w:rsidR="00545D1B" w:rsidRPr="00742A04">
        <w:t xml:space="preserve"> </w:t>
      </w:r>
      <w:r w:rsidR="00F43124" w:rsidRPr="00742A04">
        <w:t>Hay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2C3E74">
        <w:t>un</w:t>
      </w:r>
      <w:r w:rsidR="00545D1B" w:rsidRPr="00742A04">
        <w:t>a gr</w:t>
      </w:r>
      <w:r w:rsidR="002C3E74">
        <w:t>an</w:t>
      </w:r>
      <w:r w:rsidR="00545D1B" w:rsidRPr="00742A04">
        <w:t xml:space="preserve"> </w:t>
      </w:r>
      <w:r w:rsidR="00E44A9D" w:rsidRPr="00742A04">
        <w:t xml:space="preserve">necesidad de </w:t>
      </w:r>
      <w:r w:rsidR="002C3E74">
        <w:t>seguir pr</w:t>
      </w:r>
      <w:r w:rsidR="002C3E74">
        <w:t>o</w:t>
      </w:r>
      <w:r w:rsidR="002C3E74">
        <w:t>porcionando</w:t>
      </w:r>
      <w:r w:rsidR="005532F5" w:rsidRPr="00742A04">
        <w:t xml:space="preserve"> información</w:t>
      </w:r>
      <w:r w:rsidR="00C14BFF" w:rsidRPr="00742A04">
        <w:t xml:space="preserve"> </w:t>
      </w:r>
      <w:r w:rsidR="002C3E74">
        <w:t>sobe las</w:t>
      </w:r>
      <w:r w:rsidR="00545D1B" w:rsidRPr="00742A04">
        <w:t xml:space="preserve"> </w:t>
      </w:r>
      <w:r w:rsidR="00802868" w:rsidRPr="00742A04">
        <w:t>normas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C3E74">
        <w:t xml:space="preserve">los </w:t>
      </w:r>
      <w:r w:rsidR="00B83FEB" w:rsidRPr="00742A04">
        <w:t>derecho</w:t>
      </w:r>
      <w:r w:rsidR="00545D1B" w:rsidRPr="00742A04">
        <w:t>s</w:t>
      </w:r>
      <w:r w:rsidR="00B05988" w:rsidRPr="00742A04">
        <w:t xml:space="preserve"> </w:t>
      </w:r>
      <w:r w:rsidR="002C3E74">
        <w:t>a</w:t>
      </w:r>
      <w:r w:rsidR="00545D1B" w:rsidRPr="00742A04">
        <w:t xml:space="preserve"> </w:t>
      </w:r>
      <w:r w:rsidR="005E2D7A" w:rsidRPr="00742A04">
        <w:t>los i</w:t>
      </w:r>
      <w:r w:rsidR="005E2D7A" w:rsidRPr="00742A04">
        <w:t>n</w:t>
      </w:r>
      <w:r w:rsidR="005E2D7A" w:rsidRPr="00742A04">
        <w:t>migrantes</w:t>
      </w:r>
      <w:r w:rsidR="002C3E74">
        <w:t xml:space="preserve"> llegados recientemente</w:t>
      </w:r>
      <w:r w:rsidR="00545D1B" w:rsidRPr="00742A04">
        <w:t>.</w:t>
      </w:r>
    </w:p>
    <w:p w:rsidR="00E0359D" w:rsidRPr="00742A04" w:rsidRDefault="00E0359D" w:rsidP="00E0359D">
      <w:pPr>
        <w:pStyle w:val="H1"/>
        <w:spacing w:line="120" w:lineRule="exact"/>
        <w:ind w:left="1267"/>
        <w:rPr>
          <w:bCs/>
          <w:sz w:val="10"/>
        </w:rPr>
      </w:pPr>
      <w:bookmarkStart w:id="73" w:name="_Toc147129488"/>
    </w:p>
    <w:p w:rsidR="00545D1B" w:rsidRPr="00742A04" w:rsidRDefault="00814B5D" w:rsidP="008920C7">
      <w:pPr>
        <w:pStyle w:val="H23"/>
        <w:ind w:left="1267"/>
        <w:rPr>
          <w:bCs/>
        </w:rPr>
      </w:pPr>
      <w:r w:rsidRPr="00742A04">
        <w:rPr>
          <w:bCs/>
        </w:rPr>
        <w:t>Artículo</w:t>
      </w:r>
      <w:r w:rsidR="00545D1B" w:rsidRPr="00742A04">
        <w:rPr>
          <w:bCs/>
        </w:rPr>
        <w:t xml:space="preserve"> 16 </w:t>
      </w:r>
      <w:r w:rsidR="00545D1B" w:rsidRPr="00742A04">
        <w:rPr>
          <w:bCs/>
          <w:i/>
        </w:rPr>
        <w:t>d</w:t>
      </w:r>
      <w:r w:rsidR="00545D1B" w:rsidRPr="00742A04">
        <w:rPr>
          <w:bCs/>
        </w:rPr>
        <w:t xml:space="preserve"> </w:t>
      </w:r>
      <w:r w:rsidR="00877AA0" w:rsidRPr="00742A04">
        <w:rPr>
          <w:bCs/>
        </w:rPr>
        <w:t>y</w:t>
      </w:r>
      <w:r w:rsidR="00545D1B" w:rsidRPr="00742A04">
        <w:rPr>
          <w:bCs/>
        </w:rPr>
        <w:t xml:space="preserve"> </w:t>
      </w:r>
      <w:r w:rsidR="00545D1B" w:rsidRPr="00742A04">
        <w:rPr>
          <w:bCs/>
          <w:i/>
        </w:rPr>
        <w:t>f</w:t>
      </w:r>
      <w:bookmarkEnd w:id="73"/>
    </w:p>
    <w:p w:rsidR="002C3E74" w:rsidRPr="002C3E74" w:rsidRDefault="002C3E74" w:rsidP="002C3E74">
      <w:pPr>
        <w:pStyle w:val="H23"/>
        <w:spacing w:line="120" w:lineRule="exact"/>
        <w:ind w:left="1267"/>
        <w:rPr>
          <w:bCs/>
          <w:sz w:val="10"/>
        </w:rPr>
      </w:pPr>
    </w:p>
    <w:p w:rsidR="00545D1B" w:rsidRPr="00742A04" w:rsidRDefault="00545D1B" w:rsidP="002C3E74">
      <w:pPr>
        <w:pStyle w:val="H4"/>
        <w:ind w:left="1267"/>
      </w:pPr>
      <w:r w:rsidRPr="00742A04">
        <w:t>Patern</w:t>
      </w:r>
      <w:r w:rsidR="00502E16" w:rsidRPr="00742A04">
        <w:t>idad</w:t>
      </w:r>
      <w:r w:rsidRPr="00742A04">
        <w:t>:</w:t>
      </w:r>
    </w:p>
    <w:p w:rsidR="002C3E74" w:rsidRPr="002C3E74" w:rsidRDefault="002C3E74" w:rsidP="002C3E74">
      <w:pPr>
        <w:pStyle w:val="SingleTxt"/>
        <w:spacing w:after="0" w:line="120" w:lineRule="exact"/>
        <w:ind w:firstLine="475"/>
        <w:rPr>
          <w:sz w:val="10"/>
        </w:rPr>
      </w:pPr>
    </w:p>
    <w:p w:rsidR="000A08D8" w:rsidRPr="00742A04" w:rsidRDefault="008F0C8E" w:rsidP="00466626">
      <w:pPr>
        <w:pStyle w:val="SingleTxt"/>
        <w:ind w:firstLine="475"/>
      </w:pPr>
      <w:r w:rsidRPr="002C3E74">
        <w:rPr>
          <w:lang w:val="es-UY"/>
        </w:rPr>
        <w:t>De</w:t>
      </w:r>
      <w:r w:rsidR="002C3E74" w:rsidRPr="002C3E74">
        <w:rPr>
          <w:lang w:val="es-UY"/>
        </w:rPr>
        <w:t>sde el</w:t>
      </w:r>
      <w:r w:rsidR="00545D1B" w:rsidRPr="002C3E74">
        <w:rPr>
          <w:lang w:val="es-UY"/>
        </w:rPr>
        <w:t xml:space="preserve"> 1</w:t>
      </w:r>
      <w:r w:rsidR="002C3E74" w:rsidRPr="002C3E74">
        <w:rPr>
          <w:lang w:val="es-UY"/>
        </w:rPr>
        <w:t>°</w:t>
      </w:r>
      <w:r w:rsidR="00545D1B" w:rsidRPr="002C3E74">
        <w:rPr>
          <w:lang w:val="es-UY"/>
        </w:rPr>
        <w:t xml:space="preserve"> </w:t>
      </w:r>
      <w:r w:rsidR="002C3E74" w:rsidRPr="002C3E74">
        <w:rPr>
          <w:lang w:val="es-UY"/>
        </w:rPr>
        <w:t>de ab</w:t>
      </w:r>
      <w:r w:rsidR="00545D1B" w:rsidRPr="002C3E74">
        <w:rPr>
          <w:lang w:val="es-UY"/>
        </w:rPr>
        <w:t>ril</w:t>
      </w:r>
      <w:r w:rsidR="002C3E74">
        <w:rPr>
          <w:lang w:val="es-UY"/>
        </w:rPr>
        <w:t xml:space="preserve"> de</w:t>
      </w:r>
      <w:r w:rsidR="00545D1B" w:rsidRPr="002C3E74">
        <w:rPr>
          <w:lang w:val="es-UY"/>
        </w:rPr>
        <w:t xml:space="preserve"> 2003 </w:t>
      </w:r>
      <w:r w:rsidR="002C3E74">
        <w:rPr>
          <w:lang w:val="es-UY"/>
        </w:rPr>
        <w:t>ha pasado a ser más fácil iniciar una</w:t>
      </w:r>
      <w:r w:rsidR="00545D1B" w:rsidRPr="002C3E74">
        <w:rPr>
          <w:lang w:val="es-UY"/>
        </w:rPr>
        <w:t xml:space="preserve"> ac</w:t>
      </w:r>
      <w:r w:rsidR="00C14BFF" w:rsidRPr="002C3E74">
        <w:rPr>
          <w:lang w:val="es-UY"/>
        </w:rPr>
        <w:t xml:space="preserve">ción </w:t>
      </w:r>
      <w:r w:rsidR="002C3E74">
        <w:rPr>
          <w:lang w:val="es-UY"/>
        </w:rPr>
        <w:t>para</w:t>
      </w:r>
      <w:r w:rsidR="004A3F50" w:rsidRPr="002C3E74">
        <w:rPr>
          <w:lang w:val="es-UY"/>
        </w:rPr>
        <w:t xml:space="preserve"> cambi</w:t>
      </w:r>
      <w:r w:rsidR="002C3E74">
        <w:rPr>
          <w:lang w:val="es-UY"/>
        </w:rPr>
        <w:t>ar anteriores decisiones en materia de</w:t>
      </w:r>
      <w:r w:rsidR="00545D1B" w:rsidRPr="002C3E74">
        <w:rPr>
          <w:lang w:val="es-UY"/>
        </w:rPr>
        <w:t xml:space="preserve"> patern</w:t>
      </w:r>
      <w:r w:rsidR="00502E16" w:rsidRPr="002C3E74">
        <w:rPr>
          <w:lang w:val="es-UY"/>
        </w:rPr>
        <w:t>idad</w:t>
      </w:r>
      <w:r w:rsidR="00545D1B" w:rsidRPr="002C3E74">
        <w:rPr>
          <w:lang w:val="es-UY"/>
        </w:rPr>
        <w:t xml:space="preserve">. </w:t>
      </w:r>
      <w:r w:rsidR="002C3E74">
        <w:t>Todas</w:t>
      </w:r>
      <w:r w:rsidR="00545D1B" w:rsidRPr="00742A04">
        <w:t xml:space="preserve"> </w:t>
      </w:r>
      <w:r w:rsidR="002C0100" w:rsidRPr="00742A04">
        <w:t>las partes</w:t>
      </w:r>
      <w:r w:rsidR="002C3E74">
        <w:t xml:space="preserve"> interesadas pueden iniciar un</w:t>
      </w:r>
      <w:r w:rsidR="00545D1B" w:rsidRPr="00742A04">
        <w:t xml:space="preserve"> proce</w:t>
      </w:r>
      <w:r w:rsidR="002C3E74">
        <w:t>dimiento judicial</w:t>
      </w:r>
      <w:r w:rsidR="00545D1B" w:rsidRPr="00742A04">
        <w:t xml:space="preserve"> </w:t>
      </w:r>
      <w:r w:rsidR="002C3E74">
        <w:t>par</w:t>
      </w:r>
      <w:r w:rsidR="0030626A" w:rsidRPr="00742A04">
        <w:t>a</w:t>
      </w:r>
      <w:r w:rsidR="00545D1B" w:rsidRPr="00742A04">
        <w:t xml:space="preserve"> </w:t>
      </w:r>
      <w:r w:rsidR="002C3E74">
        <w:t>a</w:t>
      </w:r>
      <w:r w:rsidR="00545D1B" w:rsidRPr="00742A04">
        <w:t>clar</w:t>
      </w:r>
      <w:r w:rsidR="002C3E74">
        <w:t>ar quién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2C3E74">
        <w:t>el padre biológico</w:t>
      </w:r>
      <w:r w:rsidR="00FD7D4E" w:rsidRPr="00742A04">
        <w:t xml:space="preserve"> de </w:t>
      </w:r>
      <w:r w:rsidR="002C3E74">
        <w:t>un niño</w:t>
      </w:r>
      <w:r w:rsidR="00545D1B" w:rsidRPr="00742A04">
        <w:t xml:space="preserve">. </w:t>
      </w:r>
      <w:r w:rsidR="002C3E74" w:rsidRPr="00742A04">
        <w:t>También</w:t>
      </w:r>
      <w:r w:rsidR="002C3E74">
        <w:t xml:space="preserve"> </w:t>
      </w:r>
      <w:r w:rsidR="002C3E74" w:rsidRPr="00742A04">
        <w:t xml:space="preserve">se han </w:t>
      </w:r>
      <w:r w:rsidR="002C3E74">
        <w:t>dejado sin efecto l</w:t>
      </w:r>
      <w:r w:rsidR="00DA461E" w:rsidRPr="00742A04">
        <w:t>as condiciones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C3E74">
        <w:t>los plazos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2C3E74">
        <w:t>iniciar una</w:t>
      </w:r>
      <w:r w:rsidR="00545D1B" w:rsidRPr="00742A04">
        <w:t xml:space="preserve"> ac</w:t>
      </w:r>
      <w:r w:rsidR="00C14BFF" w:rsidRPr="00742A04">
        <w:t xml:space="preserve">ción </w:t>
      </w:r>
      <w:r w:rsidR="002C3E74">
        <w:t>encaminada a</w:t>
      </w:r>
      <w:r w:rsidR="004A3F50" w:rsidRPr="00742A04">
        <w:t xml:space="preserve"> cambi</w:t>
      </w:r>
      <w:r w:rsidR="002C3E74">
        <w:t>ar las decisiones en materia de</w:t>
      </w:r>
      <w:r w:rsidR="00545D1B" w:rsidRPr="00742A04">
        <w:t xml:space="preserve"> patern</w:t>
      </w:r>
      <w:r w:rsidR="00502E16" w:rsidRPr="00742A04">
        <w:t>idad</w:t>
      </w:r>
      <w:r w:rsidR="00545D1B" w:rsidRPr="00742A04">
        <w:t xml:space="preserve">. </w:t>
      </w:r>
      <w:r w:rsidR="008E5EBF" w:rsidRPr="00742A04">
        <w:t>Además</w:t>
      </w:r>
      <w:r w:rsidR="00545D1B" w:rsidRPr="00742A04">
        <w:t xml:space="preserve">, </w:t>
      </w:r>
      <w:r w:rsidR="00E06311" w:rsidRPr="00742A04">
        <w:t>ahora</w:t>
      </w:r>
      <w:r w:rsidR="00545D1B" w:rsidRPr="00742A04">
        <w:t xml:space="preserve"> </w:t>
      </w:r>
      <w:r w:rsidR="002C3E74" w:rsidRPr="00742A04">
        <w:t xml:space="preserve">es </w:t>
      </w:r>
      <w:r w:rsidR="00C27C42" w:rsidRPr="00742A04">
        <w:t>posible</w:t>
      </w:r>
      <w:r w:rsidR="00545D1B" w:rsidRPr="00742A04">
        <w:t xml:space="preserve"> </w:t>
      </w:r>
      <w:r w:rsidR="002C3E74">
        <w:t>reabrir</w:t>
      </w:r>
      <w:r w:rsidR="00545D1B" w:rsidRPr="00742A04">
        <w:t xml:space="preserve"> </w:t>
      </w:r>
      <w:r w:rsidR="002C3E74">
        <w:t>anteriores casos de</w:t>
      </w:r>
      <w:r w:rsidR="00545D1B" w:rsidRPr="00742A04">
        <w:t xml:space="preserve"> patern</w:t>
      </w:r>
      <w:r w:rsidR="00502E16" w:rsidRPr="00742A04">
        <w:t>idad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FC59C5" w:rsidRPr="00742A04">
        <w:t>la decisión</w:t>
      </w:r>
      <w:r w:rsidR="00545D1B" w:rsidRPr="00742A04">
        <w:t xml:space="preserve"> </w:t>
      </w:r>
      <w:r w:rsidR="002C3E74">
        <w:t>se hubiese adoptado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2C3E74">
        <w:t>un</w:t>
      </w:r>
      <w:r w:rsidR="00545D1B" w:rsidRPr="00742A04">
        <w:t xml:space="preserve"> </w:t>
      </w:r>
      <w:r w:rsidR="00C11D0F" w:rsidRPr="00742A04">
        <w:t>análisis</w:t>
      </w:r>
      <w:r w:rsidR="002C3E74">
        <w:t xml:space="preserve"> de ADN</w:t>
      </w:r>
      <w:r w:rsidR="000A08D8" w:rsidRPr="00742A04">
        <w:t>.</w:t>
      </w:r>
    </w:p>
    <w:p w:rsidR="00545D1B" w:rsidRPr="00742A04" w:rsidRDefault="008E5EBF" w:rsidP="00466626">
      <w:pPr>
        <w:pStyle w:val="SingleTxt"/>
        <w:ind w:firstLine="475"/>
      </w:pPr>
      <w:r w:rsidRPr="00742A04">
        <w:t>Las enmiendas</w:t>
      </w:r>
      <w:r w:rsidR="00545D1B" w:rsidRPr="00742A04">
        <w:t xml:space="preserve"> </w:t>
      </w:r>
      <w:r w:rsidR="002C3E74">
        <w:t>de</w:t>
      </w:r>
      <w:r w:rsidR="00545D1B" w:rsidRPr="00742A04">
        <w:t xml:space="preserve"> </w:t>
      </w:r>
      <w:r w:rsidR="00894371" w:rsidRPr="00742A04">
        <w:t>las normas relativas</w:t>
      </w:r>
      <w:r w:rsidR="00072AD7" w:rsidRPr="00742A04">
        <w:t xml:space="preserve"> a</w:t>
      </w:r>
      <w:r w:rsidR="002C3E74">
        <w:t>l</w:t>
      </w:r>
      <w:r w:rsidR="00545D1B" w:rsidRPr="00742A04">
        <w:t xml:space="preserve"> </w:t>
      </w:r>
      <w:r w:rsidR="00837D84" w:rsidRPr="00742A04">
        <w:t>reconocimiento</w:t>
      </w:r>
      <w:r w:rsidR="00C14BFF" w:rsidRPr="00742A04">
        <w:t xml:space="preserve"> </w:t>
      </w:r>
      <w:r w:rsidR="004A0730" w:rsidRPr="00742A04">
        <w:t>de</w:t>
      </w:r>
      <w:r w:rsidR="00545D1B" w:rsidRPr="00742A04">
        <w:t xml:space="preserve"> patern</w:t>
      </w:r>
      <w:r w:rsidR="00502E16" w:rsidRPr="00742A04">
        <w:t>idad</w:t>
      </w:r>
      <w:r w:rsidR="00545D1B" w:rsidRPr="00742A04">
        <w:t xml:space="preserve"> </w:t>
      </w:r>
      <w:r w:rsidR="009A12C2" w:rsidRPr="00742A04">
        <w:t>entr</w:t>
      </w:r>
      <w:r w:rsidR="009A12C2" w:rsidRPr="00742A04">
        <w:t>a</w:t>
      </w:r>
      <w:r w:rsidR="009A12C2" w:rsidRPr="00742A04">
        <w:t>ron en vigor</w:t>
      </w:r>
      <w:r w:rsidR="00545D1B" w:rsidRPr="00742A04">
        <w:t xml:space="preserve"> </w:t>
      </w:r>
      <w:r w:rsidR="00C076F2" w:rsidRPr="00742A04">
        <w:t>el 1°</w:t>
      </w:r>
      <w:r w:rsidR="00194AB3" w:rsidRPr="00742A04">
        <w:t xml:space="preserve"> de enero</w:t>
      </w:r>
      <w:r w:rsidR="004A0730" w:rsidRPr="00742A04">
        <w:t xml:space="preserve"> de</w:t>
      </w:r>
      <w:r w:rsidR="00545D1B" w:rsidRPr="00742A04">
        <w:t xml:space="preserve"> 2006. </w:t>
      </w:r>
      <w:r w:rsidR="002C3E74">
        <w:t>Con arreglo a</w:t>
      </w:r>
      <w:r w:rsidR="00545D1B" w:rsidRPr="00742A04">
        <w:t xml:space="preserve"> </w:t>
      </w:r>
      <w:r w:rsidR="00AF6A61" w:rsidRPr="00742A04">
        <w:t>la</w:t>
      </w:r>
      <w:r w:rsidR="002C3E74">
        <w:t>s</w:t>
      </w:r>
      <w:r w:rsidR="00AF6A61" w:rsidRPr="00742A04">
        <w:t xml:space="preserve"> nueva</w:t>
      </w:r>
      <w:r w:rsidR="002C3E74">
        <w:t>s</w:t>
      </w:r>
      <w:r w:rsidR="00545D1B" w:rsidRPr="00742A04">
        <w:t xml:space="preserve"> </w:t>
      </w:r>
      <w:r w:rsidR="00802868" w:rsidRPr="00742A04">
        <w:t>normas</w:t>
      </w:r>
      <w:r w:rsidR="00545D1B" w:rsidRPr="00742A04">
        <w:t xml:space="preserve">, </w:t>
      </w:r>
      <w:r w:rsidR="002C3E74">
        <w:t xml:space="preserve">los </w:t>
      </w:r>
      <w:r w:rsidR="002C3E74" w:rsidRPr="00742A04">
        <w:t>padres</w:t>
      </w:r>
      <w:r w:rsidR="002C3E74">
        <w:t xml:space="preserve"> que viven en concubinato ya no necesitan la</w:t>
      </w:r>
      <w:r w:rsidR="00545D1B" w:rsidRPr="00742A04">
        <w:t xml:space="preserve"> </w:t>
      </w:r>
      <w:r w:rsidR="008B0108" w:rsidRPr="00742A04">
        <w:t>aprobación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2A7CCF" w:rsidRPr="00742A04">
        <w:t>la madre</w:t>
      </w:r>
      <w:r w:rsidR="00545D1B" w:rsidRPr="00742A04">
        <w:t xml:space="preserve"> </w:t>
      </w:r>
      <w:r w:rsidR="002C3E74">
        <w:t>para reconocer la</w:t>
      </w:r>
      <w:r w:rsidR="00545D1B" w:rsidRPr="00742A04">
        <w:t xml:space="preserve"> patern</w:t>
      </w:r>
      <w:r w:rsidR="00502E16" w:rsidRPr="00742A04">
        <w:t>idad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="002C3E74">
        <w:t>s hijos</w:t>
      </w:r>
      <w:r w:rsidR="00545D1B" w:rsidRPr="00742A04">
        <w:t xml:space="preserve"> </w:t>
      </w:r>
      <w:r w:rsidR="00A31FF2" w:rsidRPr="00742A04">
        <w:t>com</w:t>
      </w:r>
      <w:r w:rsidR="002C3E74">
        <w:t>unes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2C3E74">
        <w:t xml:space="preserve">los </w:t>
      </w:r>
      <w:r w:rsidR="008A2682" w:rsidRPr="00742A04">
        <w:t>casos</w:t>
      </w:r>
      <w:r w:rsidR="00545D1B" w:rsidRPr="00742A04">
        <w:t xml:space="preserve"> </w:t>
      </w:r>
      <w:r w:rsidR="00056EF1" w:rsidRPr="00742A04">
        <w:t>en que</w:t>
      </w:r>
      <w:r w:rsidR="00545D1B" w:rsidRPr="00742A04">
        <w:t xml:space="preserve"> </w:t>
      </w:r>
      <w:r w:rsidR="002A7CCF" w:rsidRPr="00742A04">
        <w:t>la madre</w:t>
      </w:r>
      <w:r w:rsidR="00545D1B" w:rsidRPr="00742A04">
        <w:t xml:space="preserve"> </w:t>
      </w:r>
      <w:r w:rsidR="002C3E74">
        <w:t>crea</w:t>
      </w:r>
      <w:r w:rsidR="0081178E" w:rsidRPr="00742A04">
        <w:t xml:space="preserve"> que</w:t>
      </w:r>
      <w:r w:rsidR="00FF39FE" w:rsidRPr="00742A04">
        <w:t xml:space="preserve"> un hombre</w:t>
      </w:r>
      <w:r w:rsidR="00545D1B" w:rsidRPr="00742A04">
        <w:t xml:space="preserve"> </w:t>
      </w:r>
      <w:r w:rsidR="002C3E74">
        <w:t>distinto de su</w:t>
      </w:r>
      <w:r w:rsidR="00545D1B" w:rsidRPr="00742A04">
        <w:t xml:space="preserve"> </w:t>
      </w:r>
      <w:r w:rsidR="00AD5494" w:rsidRPr="00742A04">
        <w:t>concubino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7B45F5" w:rsidRPr="00742A04">
        <w:t>el padre</w:t>
      </w:r>
      <w:r w:rsidR="00545D1B" w:rsidRPr="00742A04">
        <w:t xml:space="preserve"> </w:t>
      </w:r>
      <w:r w:rsidR="004A0730" w:rsidRPr="00742A04">
        <w:t>de</w:t>
      </w:r>
      <w:r w:rsidR="002C3E74">
        <w:t>l niño</w:t>
      </w:r>
      <w:r w:rsidR="00545D1B" w:rsidRPr="00742A04">
        <w:t xml:space="preserve">, </w:t>
      </w:r>
      <w:r w:rsidR="004F2F8A" w:rsidRPr="00742A04">
        <w:t xml:space="preserve">las </w:t>
      </w:r>
      <w:r w:rsidR="00552048" w:rsidRPr="00742A04">
        <w:t>autoridades públicas</w:t>
      </w:r>
      <w:r w:rsidR="00545D1B" w:rsidRPr="00742A04">
        <w:t xml:space="preserve"> </w:t>
      </w:r>
      <w:r w:rsidR="007D4688" w:rsidRPr="00742A04">
        <w:t>debe</w:t>
      </w:r>
      <w:r w:rsidR="002C3E74">
        <w:t>n dese</w:t>
      </w:r>
      <w:r w:rsidR="002C3E74">
        <w:t>m</w:t>
      </w:r>
      <w:r w:rsidR="002C3E74">
        <w:t>peñar un papel</w:t>
      </w:r>
      <w:r w:rsidR="00545D1B" w:rsidRPr="00742A04">
        <w:t xml:space="preserve"> activ</w:t>
      </w:r>
      <w:r w:rsidR="002C3E74">
        <w:t>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0A5430" w:rsidRPr="00742A04">
        <w:t>la determinación de</w:t>
      </w:r>
      <w:r w:rsidR="00545D1B" w:rsidRPr="00742A04">
        <w:t xml:space="preserve"> </w:t>
      </w:r>
      <w:r w:rsidR="002C3E74">
        <w:t>la</w:t>
      </w:r>
      <w:r w:rsidR="00545D1B" w:rsidRPr="00742A04">
        <w:t xml:space="preserve"> correct</w:t>
      </w:r>
      <w:r w:rsidR="002C3E74">
        <w:t>a</w:t>
      </w:r>
      <w:r w:rsidR="00545D1B" w:rsidRPr="00742A04">
        <w:t xml:space="preserve"> patern</w:t>
      </w:r>
      <w:r w:rsidR="00502E16" w:rsidRPr="00742A04">
        <w:t>idad</w:t>
      </w:r>
      <w:r w:rsidR="00545D1B" w:rsidRPr="00742A04">
        <w:t xml:space="preserve"> </w:t>
      </w:r>
      <w:r w:rsidR="004A0730" w:rsidRPr="00742A04">
        <w:t>de</w:t>
      </w:r>
      <w:r w:rsidR="002C3E74">
        <w:t>l niño</w:t>
      </w:r>
      <w:r w:rsidR="00545D1B" w:rsidRPr="00742A04">
        <w:t>.</w:t>
      </w:r>
    </w:p>
    <w:p w:rsidR="00545D1B" w:rsidRPr="00742A04" w:rsidRDefault="00541317" w:rsidP="002C4922">
      <w:pPr>
        <w:pStyle w:val="SingleTxt"/>
        <w:rPr>
          <w:i/>
        </w:rPr>
      </w:pPr>
      <w:r>
        <w:rPr>
          <w:i/>
        </w:rPr>
        <w:t>Pensión alimenticia para los hijos</w:t>
      </w:r>
    </w:p>
    <w:p w:rsidR="00545D1B" w:rsidRPr="00742A04" w:rsidRDefault="004A0730" w:rsidP="00466626">
      <w:pPr>
        <w:pStyle w:val="SingleTxt"/>
        <w:ind w:firstLine="475"/>
      </w:pPr>
      <w:r w:rsidRPr="00742A04">
        <w:t>En</w:t>
      </w:r>
      <w:r w:rsidR="00545D1B" w:rsidRPr="00742A04">
        <w:t xml:space="preserve"> </w:t>
      </w:r>
      <w:r w:rsidR="00552048" w:rsidRPr="00742A04">
        <w:t>el sexto informe periódico de Noruega</w:t>
      </w:r>
      <w:r w:rsidR="00545D1B" w:rsidRPr="00742A04">
        <w:t xml:space="preserve">, </w:t>
      </w:r>
      <w:r w:rsidR="000163A3">
        <w:t>se</w:t>
      </w:r>
      <w:r w:rsidR="00545D1B" w:rsidRPr="00742A04">
        <w:t xml:space="preserve"> </w:t>
      </w:r>
      <w:r w:rsidR="00980475" w:rsidRPr="00742A04">
        <w:t>mencion</w:t>
      </w:r>
      <w:r w:rsidR="000163A3">
        <w:t>ó que</w:t>
      </w:r>
      <w:r w:rsidR="00545D1B" w:rsidRPr="00742A04">
        <w:t xml:space="preserve"> </w:t>
      </w:r>
      <w:r w:rsidR="000163A3" w:rsidRPr="00742A04">
        <w:t xml:space="preserve">el Storting </w:t>
      </w:r>
      <w:r w:rsidR="000163A3">
        <w:t xml:space="preserve">había aprobado </w:t>
      </w:r>
      <w:r w:rsidR="000163A3" w:rsidRPr="00742A04">
        <w:t xml:space="preserve">en junio de 2001 </w:t>
      </w:r>
      <w:r w:rsidR="000163A3">
        <w:t xml:space="preserve">nuevas normas sobre pensión alimenticia para los hijos </w:t>
      </w:r>
      <w:r w:rsidR="001D5054">
        <w:t xml:space="preserve">cuya </w:t>
      </w:r>
      <w:r w:rsidR="00545D1B" w:rsidRPr="00742A04">
        <w:t>ent</w:t>
      </w:r>
      <w:r w:rsidR="003E0DF9">
        <w:t>ra</w:t>
      </w:r>
      <w:r w:rsidR="001D5054">
        <w:t>da</w:t>
      </w:r>
      <w:r w:rsidR="003E0DF9">
        <w:t xml:space="preserve"> en vigor</w:t>
      </w:r>
      <w:r w:rsidR="00545D1B" w:rsidRPr="00742A04">
        <w:t xml:space="preserve"> </w:t>
      </w:r>
      <w:r w:rsidR="001D5054">
        <w:t>estaba prevista para el otoño de</w:t>
      </w:r>
      <w:r w:rsidR="00545D1B" w:rsidRPr="00742A04">
        <w:t xml:space="preserve"> 2003. </w:t>
      </w:r>
      <w:r w:rsidR="00AF6A61" w:rsidRPr="00742A04">
        <w:t>La</w:t>
      </w:r>
      <w:r w:rsidR="003E0DF9">
        <w:t>s</w:t>
      </w:r>
      <w:r w:rsidR="00AF6A61" w:rsidRPr="00742A04">
        <w:t xml:space="preserve"> nueva</w:t>
      </w:r>
      <w:r w:rsidR="003E0DF9">
        <w:t>s</w:t>
      </w:r>
      <w:r w:rsidR="00545D1B" w:rsidRPr="00742A04">
        <w:t xml:space="preserve"> </w:t>
      </w:r>
      <w:r w:rsidR="003E0DF9">
        <w:t>norma</w:t>
      </w:r>
      <w:r w:rsidR="008907B8" w:rsidRPr="00742A04">
        <w:t>s</w:t>
      </w:r>
      <w:r w:rsidR="00545D1B" w:rsidRPr="00742A04">
        <w:t xml:space="preserve"> </w:t>
      </w:r>
      <w:r w:rsidR="009A12C2" w:rsidRPr="00742A04">
        <w:t>e</w:t>
      </w:r>
      <w:r w:rsidR="009A12C2" w:rsidRPr="00742A04">
        <w:t>n</w:t>
      </w:r>
      <w:r w:rsidR="009A12C2" w:rsidRPr="00742A04">
        <w:t>traron en vigor</w:t>
      </w:r>
      <w:r w:rsidR="00545D1B" w:rsidRPr="00742A04">
        <w:t xml:space="preserve"> </w:t>
      </w:r>
      <w:r w:rsidR="002F3238" w:rsidRPr="00742A04">
        <w:t xml:space="preserve">el 1° de </w:t>
      </w:r>
      <w:r w:rsidRPr="00742A04">
        <w:t>octubre de</w:t>
      </w:r>
      <w:r w:rsidR="00545D1B" w:rsidRPr="00742A04">
        <w:t xml:space="preserve"> 2003.</w:t>
      </w:r>
    </w:p>
    <w:p w:rsidR="00545D1B" w:rsidRPr="00742A04" w:rsidRDefault="003E0DF9" w:rsidP="00466626">
      <w:pPr>
        <w:pStyle w:val="SingleTxt"/>
        <w:ind w:firstLine="475"/>
      </w:pPr>
      <w:r>
        <w:t>La</w:t>
      </w:r>
      <w:r w:rsidR="00545D1B" w:rsidRPr="00742A04">
        <w:t xml:space="preserve"> reform</w:t>
      </w:r>
      <w:r>
        <w:t>a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>
        <w:t>amplia</w:t>
      </w:r>
      <w:r w:rsidR="00545D1B" w:rsidRPr="00742A04">
        <w:t xml:space="preserve"> </w:t>
      </w:r>
      <w:r w:rsidR="00877AA0" w:rsidRPr="00742A04">
        <w:t>y</w:t>
      </w:r>
      <w:r>
        <w:t xml:space="preserve"> afecta a</w:t>
      </w:r>
      <w:r w:rsidR="00545D1B" w:rsidRPr="00742A04">
        <w:t xml:space="preserve"> </w:t>
      </w:r>
      <w:r w:rsidR="00E575DB" w:rsidRPr="00742A04">
        <w:t>más de</w:t>
      </w:r>
      <w:r w:rsidR="00545D1B" w:rsidRPr="00742A04">
        <w:t xml:space="preserve"> 400</w:t>
      </w:r>
      <w:r w:rsidR="00E575DB" w:rsidRPr="00742A04">
        <w:t>.000</w:t>
      </w:r>
      <w:r w:rsidR="002F3238" w:rsidRPr="00742A04">
        <w:t xml:space="preserve"> niños</w:t>
      </w:r>
      <w:r w:rsidR="00545D1B" w:rsidRPr="00742A04">
        <w:t xml:space="preserve">, </w:t>
      </w:r>
      <w:r w:rsidR="005E2D7A" w:rsidRPr="00742A04">
        <w:t>madres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E2D7A" w:rsidRPr="00742A04">
        <w:t>padres</w:t>
      </w:r>
      <w:r w:rsidR="00545D1B" w:rsidRPr="00742A04">
        <w:t xml:space="preserve">. </w:t>
      </w:r>
      <w:r w:rsidR="0020526A" w:rsidRPr="00742A04">
        <w:t>D</w:t>
      </w:r>
      <w:r w:rsidR="0020526A" w:rsidRPr="00742A04">
        <w:t>u</w:t>
      </w:r>
      <w:r w:rsidR="0020526A" w:rsidRPr="00742A04">
        <w:t>rante</w:t>
      </w:r>
      <w:r w:rsidR="00545D1B" w:rsidRPr="00742A04">
        <w:t xml:space="preserve"> </w:t>
      </w:r>
      <w:r w:rsidR="004B580D" w:rsidRPr="00742A04">
        <w:t>el debate</w:t>
      </w:r>
      <w:r w:rsidR="00545D1B" w:rsidRPr="00742A04">
        <w:t xml:space="preserve"> </w:t>
      </w:r>
      <w:r>
        <w:t>se</w:t>
      </w:r>
      <w:r w:rsidR="00545D1B" w:rsidRPr="00742A04">
        <w:t xml:space="preserve"> prom</w:t>
      </w:r>
      <w:r>
        <w:t>etió</w:t>
      </w:r>
      <w:r w:rsidR="00545D1B" w:rsidRPr="00742A04">
        <w:t xml:space="preserve"> </w:t>
      </w:r>
      <w:r>
        <w:t>que la</w:t>
      </w:r>
      <w:r w:rsidR="00545D1B" w:rsidRPr="00742A04">
        <w:t xml:space="preserve"> reform</w:t>
      </w:r>
      <w:r>
        <w:t>a</w:t>
      </w:r>
      <w:r w:rsidR="00545D1B" w:rsidRPr="00742A04">
        <w:t xml:space="preserve"> </w:t>
      </w:r>
      <w:r>
        <w:t>sería evaluada</w:t>
      </w:r>
      <w:r w:rsidR="00545D1B" w:rsidRPr="00742A04">
        <w:t xml:space="preserve"> </w:t>
      </w:r>
      <w:r w:rsidR="009D1A12" w:rsidRPr="00742A04">
        <w:t>continu</w:t>
      </w:r>
      <w:r>
        <w:t>amente</w:t>
      </w:r>
      <w:r w:rsidR="00545D1B" w:rsidRPr="00742A04">
        <w:t xml:space="preserve">, </w:t>
      </w:r>
      <w:r w:rsidR="00BB4DB1" w:rsidRPr="00742A04">
        <w:t xml:space="preserve">y el </w:t>
      </w:r>
      <w:r w:rsidR="004A0730" w:rsidRPr="00742A04">
        <w:t>Mini</w:t>
      </w:r>
      <w:r w:rsidR="004A0730" w:rsidRPr="00742A04">
        <w:t>s</w:t>
      </w:r>
      <w:r w:rsidR="004A0730" w:rsidRPr="00742A04">
        <w:t>terio</w:t>
      </w:r>
      <w:r w:rsidR="00545D1B" w:rsidRPr="00742A04">
        <w:t xml:space="preserve"> </w:t>
      </w:r>
      <w:r w:rsidR="002C189D" w:rsidRPr="00742A04">
        <w:t xml:space="preserve">está </w:t>
      </w:r>
      <w:r>
        <w:t>prepar</w:t>
      </w:r>
      <w:r w:rsidR="002C189D" w:rsidRPr="00742A04">
        <w:t>ando</w:t>
      </w:r>
      <w:r w:rsidR="00545D1B" w:rsidRPr="00742A04">
        <w:t xml:space="preserve"> </w:t>
      </w:r>
      <w:r w:rsidR="000472FC" w:rsidRPr="00742A04">
        <w:t xml:space="preserve">un </w:t>
      </w:r>
      <w:r w:rsidR="00657260" w:rsidRPr="00742A04">
        <w:t xml:space="preserve">informe </w:t>
      </w:r>
      <w:r>
        <w:t>para e</w:t>
      </w:r>
      <w:r w:rsidRPr="00742A04">
        <w:t xml:space="preserve">l Storting </w:t>
      </w:r>
      <w:r w:rsidR="00657260" w:rsidRPr="00742A04">
        <w:t xml:space="preserve">sobre </w:t>
      </w:r>
      <w:r w:rsidR="00DD5E1A" w:rsidRPr="00742A04">
        <w:t>la experiencia</w:t>
      </w:r>
      <w:r w:rsidR="00545D1B" w:rsidRPr="00742A04">
        <w:t xml:space="preserve"> </w:t>
      </w:r>
      <w:r>
        <w:t>obtenida h</w:t>
      </w:r>
      <w:r w:rsidR="0085266D" w:rsidRPr="00742A04">
        <w:t>asta la fecha</w:t>
      </w:r>
      <w:r>
        <w:t xml:space="preserve">, que se </w:t>
      </w:r>
      <w:r w:rsidR="00545D1B" w:rsidRPr="00742A04">
        <w:t>complet</w:t>
      </w:r>
      <w:r>
        <w:t>ará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2006. </w:t>
      </w:r>
      <w:r w:rsidR="00AF6A61" w:rsidRPr="00742A04">
        <w:t>La</w:t>
      </w:r>
      <w:r>
        <w:t>s</w:t>
      </w:r>
      <w:r w:rsidR="00AF6A61" w:rsidRPr="00742A04">
        <w:t xml:space="preserve"> nueva</w:t>
      </w:r>
      <w:r>
        <w:t>s</w:t>
      </w:r>
      <w:r w:rsidR="00545D1B" w:rsidRPr="00742A04">
        <w:t xml:space="preserve"> </w:t>
      </w:r>
      <w:r w:rsidR="001D5054">
        <w:t xml:space="preserve">normas </w:t>
      </w:r>
      <w:r>
        <w:t>tratan a</w:t>
      </w:r>
      <w:r w:rsidR="00545D1B" w:rsidRPr="00742A04">
        <w:t xml:space="preserve"> </w:t>
      </w:r>
      <w:r w:rsidR="0063079C" w:rsidRPr="00742A04">
        <w:t>los padres y</w:t>
      </w:r>
      <w:r>
        <w:t xml:space="preserve"> las</w:t>
      </w:r>
      <w:r w:rsidR="0063079C" w:rsidRPr="00742A04">
        <w:t xml:space="preserve"> madres</w:t>
      </w:r>
      <w:r w:rsidR="00545D1B" w:rsidRPr="00742A04">
        <w:t xml:space="preserve"> </w:t>
      </w:r>
      <w:r w:rsidR="00581775" w:rsidRPr="00742A04">
        <w:t>igual</w:t>
      </w:r>
      <w:r>
        <w:t>itariamente</w:t>
      </w:r>
      <w:r w:rsidR="00545D1B" w:rsidRPr="00742A04">
        <w:t xml:space="preserve">. </w:t>
      </w:r>
      <w:r>
        <w:t>La pensión alimenticia para los hijos</w:t>
      </w:r>
      <w:r w:rsidR="00545D1B" w:rsidRPr="00742A04">
        <w:t xml:space="preserve"> </w:t>
      </w:r>
      <w:r w:rsidR="00BB4DB1" w:rsidRPr="00742A04">
        <w:t>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6C2DA6" w:rsidRPr="00742A04">
        <w:t>principio</w:t>
      </w:r>
      <w:r w:rsidR="00545D1B" w:rsidRPr="00742A04">
        <w:t xml:space="preserve"> </w:t>
      </w:r>
      <w:r>
        <w:t>un asunto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>
        <w:t xml:space="preserve">derecho </w:t>
      </w:r>
      <w:r w:rsidR="00545D1B" w:rsidRPr="00742A04">
        <w:t>priva</w:t>
      </w:r>
      <w:r>
        <w:t>do</w:t>
      </w:r>
      <w:r w:rsidR="00545D1B" w:rsidRPr="00742A04">
        <w:t xml:space="preserve">. </w:t>
      </w:r>
      <w:r w:rsidR="002213CF" w:rsidRPr="00742A04">
        <w:t>Sin embargo</w:t>
      </w:r>
      <w:r w:rsidR="00545D1B" w:rsidRPr="00742A04">
        <w:t xml:space="preserve">, </w:t>
      </w:r>
      <w:r w:rsidR="003C25BF" w:rsidRPr="00742A04">
        <w:t>casi</w:t>
      </w:r>
      <w:r w:rsidR="00545D1B" w:rsidRPr="00742A04">
        <w:t xml:space="preserve"> </w:t>
      </w:r>
      <w:r w:rsidR="0031065F">
        <w:t xml:space="preserve">el </w:t>
      </w:r>
      <w:r w:rsidR="00545D1B" w:rsidRPr="00742A04">
        <w:t>90</w:t>
      </w:r>
      <w:r w:rsidR="001167D2" w:rsidRPr="00742A04">
        <w:t>%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1065F">
        <w:t>las pensiones alimenticias para los hijos eran fijadas</w:t>
      </w:r>
      <w:r w:rsidR="00545D1B" w:rsidRPr="00742A04">
        <w:t xml:space="preserve"> </w:t>
      </w:r>
      <w:r w:rsidR="001167D2" w:rsidRPr="00742A04">
        <w:t>por</w:t>
      </w:r>
      <w:r w:rsidR="00545D1B" w:rsidRPr="00742A04">
        <w:t xml:space="preserve"> </w:t>
      </w:r>
      <w:r w:rsidR="004F2F8A" w:rsidRPr="00742A04">
        <w:t xml:space="preserve">las </w:t>
      </w:r>
      <w:r w:rsidR="00552048" w:rsidRPr="00742A04">
        <w:t>autoridades públicas</w:t>
      </w:r>
      <w:r w:rsidR="00545D1B" w:rsidRPr="00742A04">
        <w:t xml:space="preserve"> </w:t>
      </w:r>
      <w:r w:rsidR="00AC5D28" w:rsidRPr="00742A04">
        <w:t>antes de</w:t>
      </w:r>
      <w:r w:rsidR="00545D1B" w:rsidRPr="00742A04">
        <w:t xml:space="preserve"> </w:t>
      </w:r>
      <w:r w:rsidR="0031065F">
        <w:t>la</w:t>
      </w:r>
      <w:r w:rsidR="00545D1B" w:rsidRPr="00742A04">
        <w:t xml:space="preserve"> reform</w:t>
      </w:r>
      <w:r w:rsidR="0031065F">
        <w:t>a</w:t>
      </w:r>
      <w:r w:rsidR="00545D1B" w:rsidRPr="00742A04">
        <w:t xml:space="preserve">. </w:t>
      </w:r>
      <w:r w:rsidR="00495D7B" w:rsidRPr="00742A04">
        <w:t>Uno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8D1651" w:rsidRPr="00742A04">
        <w:t>los objetivos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F6A61" w:rsidRPr="00742A04">
        <w:t>la</w:t>
      </w:r>
      <w:r w:rsidR="0031065F">
        <w:t>s</w:t>
      </w:r>
      <w:r w:rsidR="00AF6A61" w:rsidRPr="00742A04">
        <w:t xml:space="preserve"> nueva</w:t>
      </w:r>
      <w:r w:rsidR="0031065F">
        <w:t>s</w:t>
      </w:r>
      <w:r w:rsidR="00545D1B" w:rsidRPr="00742A04">
        <w:t xml:space="preserve"> </w:t>
      </w:r>
      <w:r w:rsidR="0031065F">
        <w:t>normas</w:t>
      </w:r>
      <w:r w:rsidR="00545D1B" w:rsidRPr="00742A04">
        <w:t xml:space="preserve"> </w:t>
      </w:r>
      <w:r w:rsidR="009D1A12" w:rsidRPr="00742A04">
        <w:t>era</w:t>
      </w:r>
      <w:r w:rsidR="00545D1B" w:rsidRPr="00742A04">
        <w:t xml:space="preserve"> </w:t>
      </w:r>
      <w:r w:rsidR="0031065F">
        <w:t>lograr que una mayor cantidad de</w:t>
      </w:r>
      <w:r w:rsidR="0063079C" w:rsidRPr="00742A04">
        <w:t xml:space="preserve"> padres y madres</w:t>
      </w:r>
      <w:r w:rsidR="00545D1B" w:rsidRPr="00742A04">
        <w:t xml:space="preserve"> </w:t>
      </w:r>
      <w:r w:rsidR="0031065F">
        <w:t>c</w:t>
      </w:r>
      <w:r w:rsidR="00793F1F">
        <w:t>oncert</w:t>
      </w:r>
      <w:r w:rsidR="0031065F">
        <w:t>aran</w:t>
      </w:r>
      <w:r w:rsidR="00545D1B" w:rsidRPr="00742A04">
        <w:t xml:space="preserve"> </w:t>
      </w:r>
      <w:r w:rsidR="0005098D" w:rsidRPr="00742A04">
        <w:t>acuerdo</w:t>
      </w:r>
      <w:r w:rsidR="00545D1B" w:rsidRPr="00742A04">
        <w:t xml:space="preserve">s </w:t>
      </w:r>
      <w:r w:rsidR="0031065F">
        <w:t>privados sobre la pensión alimenticia para los hijos</w:t>
      </w:r>
      <w:r w:rsidR="00545D1B" w:rsidRPr="00742A04">
        <w:t xml:space="preserve">. </w:t>
      </w:r>
      <w:r w:rsidR="00793F1F">
        <w:t>Se</w:t>
      </w:r>
      <w:r w:rsidR="00545D1B" w:rsidRPr="00742A04">
        <w:t xml:space="preserve"> </w:t>
      </w:r>
      <w:r w:rsidR="006D7D2F" w:rsidRPr="00742A04">
        <w:t xml:space="preserve">ha </w:t>
      </w:r>
      <w:r w:rsidR="00793F1F">
        <w:t>logra</w:t>
      </w:r>
      <w:r w:rsidR="00837D84" w:rsidRPr="00742A04">
        <w:t>do éxito</w:t>
      </w:r>
      <w:r w:rsidR="00545D1B" w:rsidRPr="00742A04">
        <w:t xml:space="preserve"> </w:t>
      </w:r>
      <w:r w:rsidR="00793F1F">
        <w:t>a ese respecto h</w:t>
      </w:r>
      <w:r w:rsidR="0085266D" w:rsidRPr="00742A04">
        <w:t>asta la fecha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793F1F">
        <w:t>se sigue</w:t>
      </w:r>
      <w:r w:rsidR="00116976" w:rsidRPr="00742A04">
        <w:t xml:space="preserve"> trabaj</w:t>
      </w:r>
      <w:r w:rsidR="00793F1F">
        <w:t>ando con miras a</w:t>
      </w:r>
      <w:r w:rsidR="00545D1B" w:rsidRPr="00742A04">
        <w:t xml:space="preserve"> pe</w:t>
      </w:r>
      <w:r w:rsidR="00545D1B" w:rsidRPr="00742A04">
        <w:t>r</w:t>
      </w:r>
      <w:r w:rsidR="00545D1B" w:rsidRPr="00742A04">
        <w:t>sua</w:t>
      </w:r>
      <w:r w:rsidR="00793F1F">
        <w:t>dir</w:t>
      </w:r>
      <w:r w:rsidR="00545D1B" w:rsidRPr="00742A04">
        <w:t xml:space="preserve"> </w:t>
      </w:r>
      <w:r w:rsidR="00793F1F">
        <w:t xml:space="preserve">a </w:t>
      </w:r>
      <w:r w:rsidR="00BA5ABE" w:rsidRPr="00742A04">
        <w:t>más</w:t>
      </w:r>
      <w:r w:rsidR="00545D1B" w:rsidRPr="00742A04">
        <w:t xml:space="preserve"> </w:t>
      </w:r>
      <w:r w:rsidR="00A8681A" w:rsidRPr="00742A04">
        <w:t>personas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793F1F">
        <w:t>que concierten</w:t>
      </w:r>
      <w:r w:rsidR="00545D1B" w:rsidRPr="00742A04">
        <w:t xml:space="preserve"> </w:t>
      </w:r>
      <w:r w:rsidR="0005098D" w:rsidRPr="00742A04">
        <w:t>acuerdo</w:t>
      </w:r>
      <w:r w:rsidR="00545D1B" w:rsidRPr="00742A04">
        <w:t>s</w:t>
      </w:r>
      <w:r w:rsidR="00793F1F">
        <w:t xml:space="preserve"> privados</w:t>
      </w:r>
      <w:r w:rsidR="00545D1B" w:rsidRPr="00742A04">
        <w:t>.</w:t>
      </w:r>
    </w:p>
    <w:p w:rsidR="000A08D8" w:rsidRPr="00742A04" w:rsidRDefault="002D2F66" w:rsidP="00466626">
      <w:pPr>
        <w:pStyle w:val="SingleTxt"/>
        <w:ind w:firstLine="475"/>
      </w:pPr>
      <w:r>
        <w:t>Con arreglo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AF6A61" w:rsidRPr="00742A04">
        <w:t>la</w:t>
      </w:r>
      <w:r>
        <w:t>s</w:t>
      </w:r>
      <w:r w:rsidR="00AF6A61" w:rsidRPr="00742A04">
        <w:t xml:space="preserve"> nueva</w:t>
      </w:r>
      <w:r>
        <w:t>s</w:t>
      </w:r>
      <w:r w:rsidR="00545D1B" w:rsidRPr="00742A04">
        <w:t xml:space="preserve"> </w:t>
      </w:r>
      <w:r w:rsidR="00802868" w:rsidRPr="00742A04">
        <w:t>normas</w:t>
      </w:r>
      <w:r w:rsidR="00545D1B" w:rsidRPr="00742A04">
        <w:t xml:space="preserve">, </w:t>
      </w:r>
      <w:r>
        <w:t>las pensiones alimenticias para los hijos</w:t>
      </w:r>
      <w:r w:rsidR="00545D1B" w:rsidRPr="00742A04">
        <w:t xml:space="preserve"> </w:t>
      </w:r>
      <w:r w:rsidR="0020526A" w:rsidRPr="00742A04">
        <w:t>d</w:t>
      </w:r>
      <w:r w:rsidR="0020526A" w:rsidRPr="00742A04">
        <w:t>e</w:t>
      </w:r>
      <w:r w:rsidR="0020526A" w:rsidRPr="00742A04">
        <w:t>be</w:t>
      </w:r>
      <w:r>
        <w:t>n</w:t>
      </w:r>
      <w:r w:rsidR="0020526A" w:rsidRPr="00742A04">
        <w:t xml:space="preserve"> </w:t>
      </w:r>
      <w:r w:rsidR="00545D1B" w:rsidRPr="00742A04">
        <w:t>reduc</w:t>
      </w:r>
      <w:r>
        <w:t>irse</w:t>
      </w:r>
      <w:r w:rsidR="00545D1B" w:rsidRPr="00742A04">
        <w:t xml:space="preserve"> </w:t>
      </w:r>
      <w:r w:rsidR="00877086" w:rsidRPr="00742A04">
        <w:t>de conformidad</w:t>
      </w:r>
      <w:r w:rsidR="00545D1B" w:rsidRPr="00742A04">
        <w:t xml:space="preserve"> </w:t>
      </w:r>
      <w:r w:rsidR="004A0730" w:rsidRPr="00742A04">
        <w:t>con</w:t>
      </w:r>
      <w:r w:rsidR="00545D1B" w:rsidRPr="00742A04">
        <w:t xml:space="preserve"> </w:t>
      </w:r>
      <w:r>
        <w:t>un</w:t>
      </w:r>
      <w:r w:rsidR="00545D1B" w:rsidRPr="00742A04">
        <w:t xml:space="preserve"> </w:t>
      </w:r>
      <w:r w:rsidR="0005098D" w:rsidRPr="00742A04">
        <w:t>acuerdo</w:t>
      </w:r>
      <w:r w:rsidR="00545D1B" w:rsidRPr="00742A04">
        <w:t xml:space="preserve"> </w:t>
      </w:r>
      <w:r>
        <w:t>escrito sobre</w:t>
      </w:r>
      <w:r w:rsidR="00545D1B" w:rsidRPr="00742A04">
        <w:t xml:space="preserve"> </w:t>
      </w:r>
      <w:r>
        <w:t>los derechos de visita</w:t>
      </w:r>
      <w:r w:rsidR="00545D1B" w:rsidRPr="00742A04">
        <w:t xml:space="preserve">. </w:t>
      </w:r>
      <w:r>
        <w:t>Esto ha resultado</w:t>
      </w:r>
      <w:r w:rsidR="00545D1B" w:rsidRPr="00742A04">
        <w:t xml:space="preserve"> </w:t>
      </w:r>
      <w:r w:rsidR="00F05119" w:rsidRPr="00742A04">
        <w:t>difícil</w:t>
      </w:r>
      <w:r w:rsidR="00545D1B" w:rsidRPr="00742A04">
        <w:t xml:space="preserve">. </w:t>
      </w:r>
      <w:r w:rsidR="00AF6A61" w:rsidRPr="00742A04">
        <w:t>La</w:t>
      </w:r>
      <w:r>
        <w:t>s</w:t>
      </w:r>
      <w:r w:rsidR="00AF6A61" w:rsidRPr="00742A04">
        <w:t xml:space="preserve"> nueva</w:t>
      </w:r>
      <w:r>
        <w:t>s</w:t>
      </w:r>
      <w:r w:rsidR="00545D1B" w:rsidRPr="00742A04">
        <w:t xml:space="preserve"> </w:t>
      </w:r>
      <w:r w:rsidR="00802868" w:rsidRPr="00742A04">
        <w:t>normas</w:t>
      </w:r>
      <w:r w:rsidR="00545D1B" w:rsidRPr="00742A04">
        <w:t xml:space="preserve"> </w:t>
      </w:r>
      <w:r>
        <w:t>sobre pensiones alimenticias para los hijos</w:t>
      </w:r>
      <w:r w:rsidRPr="00742A04">
        <w:t xml:space="preserve"> </w:t>
      </w:r>
      <w:r>
        <w:t>han suscitado divers</w:t>
      </w:r>
      <w:r w:rsidR="00C076F2" w:rsidRPr="00742A04">
        <w:t xml:space="preserve">os </w:t>
      </w:r>
      <w:r w:rsidR="00834309" w:rsidRPr="00742A04">
        <w:t xml:space="preserve">problemas </w:t>
      </w:r>
      <w:r>
        <w:t>sobre</w:t>
      </w:r>
      <w:r w:rsidR="00545D1B" w:rsidRPr="00742A04">
        <w:t xml:space="preserve"> </w:t>
      </w:r>
      <w:r>
        <w:t>los derechos de visita</w:t>
      </w:r>
      <w:r w:rsidR="00545D1B" w:rsidRPr="00742A04">
        <w:t xml:space="preserve"> – </w:t>
      </w:r>
      <w:r>
        <w:t>lo cual</w:t>
      </w:r>
      <w:r w:rsidR="006137EC" w:rsidRPr="00742A04">
        <w:t xml:space="preserve"> se apl</w:t>
      </w:r>
      <w:r w:rsidR="006137EC" w:rsidRPr="00742A04">
        <w:t>i</w:t>
      </w:r>
      <w:r w:rsidR="006137EC" w:rsidRPr="00742A04">
        <w:t>ca</w:t>
      </w:r>
      <w:r w:rsidR="00545D1B" w:rsidRPr="00742A04">
        <w:t xml:space="preserve"> </w:t>
      </w:r>
      <w:r>
        <w:t>tanto a quienes perciben las pensiones</w:t>
      </w:r>
      <w:r w:rsidR="00545D1B" w:rsidRPr="00742A04">
        <w:t xml:space="preserve"> </w:t>
      </w:r>
      <w:r>
        <w:t>como a quienes las pagan</w:t>
      </w:r>
      <w:r w:rsidR="00545D1B" w:rsidRPr="00742A04">
        <w:t xml:space="preserve">. </w:t>
      </w:r>
      <w:r>
        <w:t>En l</w:t>
      </w:r>
      <w:r w:rsidR="00024DBC" w:rsidRPr="00742A04">
        <w:t>a evalu</w:t>
      </w:r>
      <w:r w:rsidR="00024DBC" w:rsidRPr="00742A04">
        <w:t>a</w:t>
      </w:r>
      <w:r w:rsidR="00024DBC" w:rsidRPr="00742A04">
        <w:t>ción</w:t>
      </w:r>
      <w:r w:rsidR="00C14BFF" w:rsidRPr="00742A04">
        <w:t xml:space="preserve"> </w:t>
      </w:r>
      <w:r>
        <w:t>se</w:t>
      </w:r>
      <w:r w:rsidR="00545D1B" w:rsidRPr="00742A04">
        <w:t xml:space="preserve"> consider</w:t>
      </w:r>
      <w:r>
        <w:t>ará</w:t>
      </w:r>
      <w:r w:rsidR="00545D1B" w:rsidRPr="00742A04">
        <w:t xml:space="preserve"> </w:t>
      </w:r>
      <w:r w:rsidR="00834309" w:rsidRPr="00742A04">
        <w:t>la medida en que</w:t>
      </w:r>
      <w:r w:rsidR="00545D1B" w:rsidRPr="00742A04">
        <w:t xml:space="preserve"> </w:t>
      </w:r>
      <w:r>
        <w:t xml:space="preserve">se haya logrado </w:t>
      </w:r>
      <w:r w:rsidR="006B65CD" w:rsidRPr="00742A04">
        <w:t>la finalidad</w:t>
      </w:r>
      <w:r w:rsidR="00545D1B" w:rsidRPr="00742A04">
        <w:t xml:space="preserve"> </w:t>
      </w:r>
      <w:r w:rsidR="00C076F2" w:rsidRPr="00742A04">
        <w:t xml:space="preserve">de los </w:t>
      </w:r>
      <w:r w:rsidR="00C14BFF" w:rsidRPr="00742A04">
        <w:t>cambios</w:t>
      </w:r>
      <w:r w:rsidR="000A08D8" w:rsidRPr="00742A04">
        <w:t>.</w:t>
      </w:r>
    </w:p>
    <w:p w:rsidR="00545D1B" w:rsidRPr="00742A04" w:rsidRDefault="007C65B3" w:rsidP="002D2F66">
      <w:pPr>
        <w:pStyle w:val="SingleTxt"/>
        <w:keepNext/>
        <w:rPr>
          <w:i/>
        </w:rPr>
      </w:pPr>
      <w:r w:rsidRPr="00742A04">
        <w:rPr>
          <w:i/>
        </w:rPr>
        <w:t>Nueva</w:t>
      </w:r>
      <w:r w:rsidR="002D2F66">
        <w:rPr>
          <w:i/>
        </w:rPr>
        <w:t>s normas</w:t>
      </w:r>
      <w:r w:rsidR="00545D1B" w:rsidRPr="00742A04">
        <w:rPr>
          <w:i/>
        </w:rPr>
        <w:t xml:space="preserve"> proce</w:t>
      </w:r>
      <w:r w:rsidR="002D2F66">
        <w:rPr>
          <w:i/>
        </w:rPr>
        <w:t>s</w:t>
      </w:r>
      <w:r w:rsidR="00545D1B" w:rsidRPr="00742A04">
        <w:rPr>
          <w:i/>
        </w:rPr>
        <w:t>al</w:t>
      </w:r>
      <w:r w:rsidR="002D2F66">
        <w:rPr>
          <w:i/>
        </w:rPr>
        <w:t>e</w:t>
      </w:r>
      <w:r w:rsidR="00802868" w:rsidRPr="00742A04">
        <w:rPr>
          <w:i/>
        </w:rPr>
        <w:t>s</w:t>
      </w:r>
    </w:p>
    <w:p w:rsidR="000A08D8" w:rsidRPr="00742A04" w:rsidRDefault="002D2F66" w:rsidP="00466626">
      <w:pPr>
        <w:pStyle w:val="SingleTxt"/>
        <w:ind w:firstLine="475"/>
      </w:pPr>
      <w:r w:rsidRPr="00742A04">
        <w:t>En</w:t>
      </w:r>
      <w:r>
        <w:t xml:space="preserve"> </w:t>
      </w:r>
      <w:r w:rsidRPr="00742A04">
        <w:t xml:space="preserve">junio de 2003 </w:t>
      </w:r>
      <w:r>
        <w:t>se aprobaron n</w:t>
      </w:r>
      <w:r w:rsidR="007C65B3" w:rsidRPr="00742A04">
        <w:t>ueva</w:t>
      </w:r>
      <w:r>
        <w:t>s</w:t>
      </w:r>
      <w:r w:rsidR="00545D1B" w:rsidRPr="00742A04">
        <w:t xml:space="preserve"> </w:t>
      </w:r>
      <w:r w:rsidR="00802868" w:rsidRPr="00742A04">
        <w:t>normas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>
        <w:t>los</w:t>
      </w:r>
      <w:r w:rsidR="00545D1B" w:rsidRPr="00742A04">
        <w:t xml:space="preserve"> proced</w:t>
      </w:r>
      <w:r>
        <w:t>imientos judici</w:t>
      </w:r>
      <w:r>
        <w:t>a</w:t>
      </w:r>
      <w:r>
        <w:t>les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>
        <w:t xml:space="preserve">los </w:t>
      </w:r>
      <w:r w:rsidR="008A2682" w:rsidRPr="00742A04">
        <w:t>casos</w:t>
      </w:r>
      <w:r w:rsidR="00545D1B" w:rsidRPr="00742A04">
        <w:t xml:space="preserve"> </w:t>
      </w:r>
      <w:r w:rsidR="00EA6AC2" w:rsidRPr="00742A04">
        <w:t>relativos a</w:t>
      </w:r>
      <w:r w:rsidR="00545D1B" w:rsidRPr="00742A04">
        <w:t xml:space="preserve"> </w:t>
      </w:r>
      <w:r w:rsidR="003E6FC1">
        <w:t xml:space="preserve">la </w:t>
      </w:r>
      <w:r w:rsidR="006C2FDB">
        <w:t>potestad parental</w:t>
      </w:r>
      <w:r w:rsidR="00545D1B" w:rsidRPr="00742A04">
        <w:t xml:space="preserve">, </w:t>
      </w:r>
      <w:r w:rsidR="003E6FC1">
        <w:t>al lugar en que los hijos viv</w:t>
      </w:r>
      <w:r w:rsidR="003E6FC1">
        <w:t>i</w:t>
      </w:r>
      <w:r w:rsidR="003E6FC1">
        <w:t>rán</w:t>
      </w:r>
      <w:r w:rsidR="00545D1B" w:rsidRPr="00742A04">
        <w:t xml:space="preserve"> permanent</w:t>
      </w:r>
      <w:r w:rsidR="003E6FC1">
        <w:t>emente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6FC1">
        <w:t xml:space="preserve">a </w:t>
      </w:r>
      <w:r>
        <w:t>los derechos de visita</w:t>
      </w:r>
      <w:r w:rsidR="003E6FC1">
        <w:t>, que</w:t>
      </w:r>
      <w:r w:rsidR="00545D1B" w:rsidRPr="00742A04">
        <w:t xml:space="preserve"> </w:t>
      </w:r>
      <w:r w:rsidR="009A12C2" w:rsidRPr="00742A04">
        <w:t>entraron en vigor</w:t>
      </w:r>
      <w:r w:rsidR="00545D1B" w:rsidRPr="00742A04">
        <w:t xml:space="preserve"> </w:t>
      </w:r>
      <w:r w:rsidR="002F3238" w:rsidRPr="00742A04">
        <w:t xml:space="preserve">el 1° de </w:t>
      </w:r>
      <w:r w:rsidR="003E6FC1">
        <w:t>ab</w:t>
      </w:r>
      <w:r w:rsidR="00545D1B" w:rsidRPr="00742A04">
        <w:t>ril</w:t>
      </w:r>
      <w:r w:rsidR="003E6FC1">
        <w:t xml:space="preserve"> de</w:t>
      </w:r>
      <w:r w:rsidR="00545D1B" w:rsidRPr="00742A04">
        <w:t xml:space="preserve"> 2004. </w:t>
      </w:r>
      <w:r w:rsidR="003E6FC1">
        <w:t>El cambio</w:t>
      </w:r>
      <w:r w:rsidR="00545D1B" w:rsidRPr="00742A04">
        <w:t xml:space="preserve"> </w:t>
      </w:r>
      <w:r w:rsidR="00507A11" w:rsidRPr="00742A04">
        <w:t>más</w:t>
      </w:r>
      <w:r w:rsidR="00545D1B" w:rsidRPr="00742A04">
        <w:t xml:space="preserve"> </w:t>
      </w:r>
      <w:r w:rsidR="00AE7B93" w:rsidRPr="00742A04">
        <w:t>importante</w:t>
      </w:r>
      <w:r w:rsidR="00545D1B" w:rsidRPr="00742A04">
        <w:t xml:space="preserve"> </w:t>
      </w:r>
      <w:r w:rsidR="00D2363C">
        <w:t>operado por</w:t>
      </w:r>
      <w:r w:rsidR="00545D1B" w:rsidRPr="00742A04">
        <w:t xml:space="preserve"> </w:t>
      </w:r>
      <w:r w:rsidR="003A355B" w:rsidRPr="00742A04">
        <w:t>las disposiciones</w:t>
      </w:r>
      <w:r w:rsidR="00545D1B" w:rsidRPr="00742A04">
        <w:t xml:space="preserve"> </w:t>
      </w:r>
      <w:r w:rsidR="00D2363C">
        <w:t>d</w:t>
      </w:r>
      <w:r w:rsidR="00D2363C" w:rsidRPr="00742A04">
        <w:t>e la Ley sobre la I</w:t>
      </w:r>
      <w:r w:rsidR="00D2363C" w:rsidRPr="00742A04">
        <w:t>n</w:t>
      </w:r>
      <w:r w:rsidR="00D2363C" w:rsidRPr="00742A04">
        <w:t xml:space="preserve">fancia </w:t>
      </w:r>
      <w:r w:rsidR="00072AD7" w:rsidRPr="00742A04">
        <w:t>relativa</w:t>
      </w:r>
      <w:r w:rsidR="003E6FC1">
        <w:t>s</w:t>
      </w:r>
      <w:r w:rsidR="00072AD7" w:rsidRPr="00742A04">
        <w:t xml:space="preserve"> a</w:t>
      </w:r>
      <w:r w:rsidR="00545D1B" w:rsidRPr="00742A04">
        <w:t xml:space="preserve"> </w:t>
      </w:r>
      <w:r w:rsidR="003E6FC1">
        <w:t>guarda</w:t>
      </w:r>
      <w:r w:rsidR="00545D1B" w:rsidRPr="00742A04">
        <w:t>, etc.</w:t>
      </w:r>
      <w:r w:rsidR="003E6FC1">
        <w:t>,</w:t>
      </w:r>
      <w:r w:rsidR="00545D1B" w:rsidRPr="00742A04">
        <w:t xml:space="preserve"> </w:t>
      </w:r>
      <w:r w:rsidR="0081178E" w:rsidRPr="00742A04">
        <w:t xml:space="preserve">es </w:t>
      </w:r>
      <w:r w:rsidR="00D2363C">
        <w:t xml:space="preserve">que </w:t>
      </w:r>
      <w:r w:rsidR="003E6FC1">
        <w:t>la consideración primordial será</w:t>
      </w:r>
      <w:r w:rsidR="00545D1B" w:rsidRPr="00742A04">
        <w:t xml:space="preserve"> </w:t>
      </w:r>
      <w:r w:rsidR="003E6FC1">
        <w:t>el interés s</w:t>
      </w:r>
      <w:r w:rsidR="003E6FC1">
        <w:t>u</w:t>
      </w:r>
      <w:r w:rsidR="003E6FC1">
        <w:t>perior del niño</w:t>
      </w:r>
      <w:r w:rsidR="00545D1B" w:rsidRPr="00742A04">
        <w:t xml:space="preserve">, </w:t>
      </w:r>
      <w:r w:rsidR="003E6FC1">
        <w:t>tanto en lo tocante al</w:t>
      </w:r>
      <w:r w:rsidR="00545D1B" w:rsidRPr="00742A04">
        <w:t xml:space="preserve"> proced</w:t>
      </w:r>
      <w:r w:rsidR="003E6FC1">
        <w:t>imiento como a la propia</w:t>
      </w:r>
      <w:r w:rsidR="00545D1B" w:rsidRPr="00742A04">
        <w:t xml:space="preserve"> </w:t>
      </w:r>
      <w:r w:rsidR="00FC59C5" w:rsidRPr="00742A04">
        <w:t>decisión</w:t>
      </w:r>
      <w:r w:rsidR="00545D1B" w:rsidRPr="00742A04">
        <w:t xml:space="preserve">. </w:t>
      </w:r>
      <w:r w:rsidR="003E6FC1">
        <w:t xml:space="preserve">Esas </w:t>
      </w:r>
      <w:r w:rsidR="00AF398C" w:rsidRPr="00742A04">
        <w:t>enmiendas legislativas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3E6FC1">
        <w:t>tienen la finalidad de</w:t>
      </w:r>
      <w:r w:rsidR="00EA6AC2" w:rsidRPr="00742A04">
        <w:t xml:space="preserve"> </w:t>
      </w:r>
      <w:r w:rsidR="003E6FC1">
        <w:t>acelerar el trámite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C938AE" w:rsidRPr="00742A04">
        <w:t>reducir</w:t>
      </w:r>
      <w:r w:rsidR="00545D1B" w:rsidRPr="00742A04">
        <w:t xml:space="preserve"> </w:t>
      </w:r>
      <w:r w:rsidR="00B31D97" w:rsidRPr="00742A04">
        <w:t>el nivel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3E6FC1">
        <w:t xml:space="preserve">los </w:t>
      </w:r>
      <w:r w:rsidR="007D66F2" w:rsidRPr="00742A04">
        <w:t>conflicto</w:t>
      </w:r>
      <w:r w:rsidR="003E6FC1">
        <w:t>s</w:t>
      </w:r>
      <w:r w:rsidR="00545D1B" w:rsidRPr="00742A04">
        <w:t xml:space="preserve">. </w:t>
      </w:r>
      <w:r w:rsidR="00130F7F" w:rsidRPr="00742A04">
        <w:t>Además</w:t>
      </w:r>
      <w:r w:rsidR="00545D1B" w:rsidRPr="00742A04">
        <w:t xml:space="preserve">, </w:t>
      </w:r>
      <w:r w:rsidR="003E6FC1">
        <w:t xml:space="preserve">los </w:t>
      </w:r>
      <w:r w:rsidR="008176B2" w:rsidRPr="00742A04">
        <w:t>abogados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3E6FC1">
        <w:t xml:space="preserve">los </w:t>
      </w:r>
      <w:r w:rsidR="008176B2" w:rsidRPr="00742A04">
        <w:t>jueces</w:t>
      </w:r>
      <w:r w:rsidR="00545D1B" w:rsidRPr="00742A04">
        <w:t xml:space="preserve"> </w:t>
      </w:r>
      <w:r w:rsidR="003E6FC1">
        <w:t>tienen el</w:t>
      </w:r>
      <w:r w:rsidR="00545D1B" w:rsidRPr="00742A04">
        <w:t xml:space="preserve"> </w:t>
      </w:r>
      <w:r w:rsidR="00963214" w:rsidRPr="00742A04">
        <w:t>deber</w:t>
      </w:r>
      <w:r w:rsidR="00545D1B" w:rsidRPr="00742A04">
        <w:t xml:space="preserve"> </w:t>
      </w:r>
      <w:r w:rsidR="003E6FC1">
        <w:t>legal de</w:t>
      </w:r>
      <w:r w:rsidR="00545D1B" w:rsidRPr="00742A04">
        <w:t xml:space="preserve"> consider</w:t>
      </w:r>
      <w:r w:rsidR="003E6FC1">
        <w:t>ar</w:t>
      </w:r>
      <w:r w:rsidR="00545D1B" w:rsidRPr="00742A04">
        <w:t xml:space="preserve"> </w:t>
      </w:r>
      <w:r w:rsidR="0020526A" w:rsidRPr="00742A04">
        <w:t>la posibilidad</w:t>
      </w:r>
      <w:r w:rsidR="00545D1B" w:rsidRPr="00742A04">
        <w:t xml:space="preserve"> </w:t>
      </w:r>
      <w:r w:rsidR="003E6FC1">
        <w:t xml:space="preserve">de </w:t>
      </w:r>
      <w:r w:rsidR="00DA461E" w:rsidRPr="00742A04">
        <w:t xml:space="preserve">un </w:t>
      </w:r>
      <w:r w:rsidR="003E6FC1">
        <w:t>arreglo</w:t>
      </w:r>
      <w:r w:rsidR="00545D1B" w:rsidRPr="00742A04">
        <w:t xml:space="preserve"> </w:t>
      </w:r>
      <w:r w:rsidR="007D66F2" w:rsidRPr="00742A04">
        <w:t>entre</w:t>
      </w:r>
      <w:r w:rsidR="00545D1B" w:rsidRPr="00742A04">
        <w:t xml:space="preserve"> </w:t>
      </w:r>
      <w:r w:rsidR="002C0100" w:rsidRPr="00742A04">
        <w:t xml:space="preserve">las </w:t>
      </w:r>
      <w:r w:rsidR="00894371" w:rsidRPr="00742A04">
        <w:t>partes</w:t>
      </w:r>
      <w:r w:rsidR="00894371">
        <w:t xml:space="preserve"> </w:t>
      </w:r>
      <w:r w:rsidR="00894371" w:rsidRPr="00742A04">
        <w:t>y</w:t>
      </w:r>
      <w:r w:rsidR="00545D1B" w:rsidRPr="00742A04">
        <w:t xml:space="preserve"> facilita</w:t>
      </w:r>
      <w:r w:rsidR="003E6FC1">
        <w:t>rlo</w:t>
      </w:r>
      <w:r w:rsidR="00545D1B" w:rsidRPr="00742A04">
        <w:t xml:space="preserve"> </w:t>
      </w:r>
      <w:r w:rsidR="003E6FC1" w:rsidRPr="00742A04">
        <w:t>activamente</w:t>
      </w:r>
      <w:r w:rsidR="00545D1B" w:rsidRPr="00742A04">
        <w:t xml:space="preserve">. </w:t>
      </w:r>
      <w:r w:rsidR="003E3CD7">
        <w:t xml:space="preserve">El </w:t>
      </w:r>
      <w:r w:rsidR="00545D1B" w:rsidRPr="00742A04">
        <w:t xml:space="preserve"> ju</w:t>
      </w:r>
      <w:r w:rsidR="003E3CD7">
        <w:t>ez</w:t>
      </w:r>
      <w:r w:rsidR="00545D1B" w:rsidRPr="00742A04">
        <w:t xml:space="preserve"> </w:t>
      </w:r>
      <w:r w:rsidR="003E3CD7">
        <w:t>podrá</w:t>
      </w:r>
      <w:r w:rsidR="00545D1B" w:rsidRPr="00742A04">
        <w:t xml:space="preserve">, </w:t>
      </w:r>
      <w:r w:rsidR="003E3CD7">
        <w:t>en una etapa temprana</w:t>
      </w:r>
      <w:r w:rsidR="00545D1B" w:rsidRPr="00742A04">
        <w:t xml:space="preserve"> </w:t>
      </w:r>
      <w:r w:rsidR="00581775" w:rsidRPr="00742A04">
        <w:t>del caso</w:t>
      </w:r>
      <w:r w:rsidR="00545D1B" w:rsidRPr="00742A04">
        <w:t xml:space="preserve">, </w:t>
      </w:r>
      <w:r w:rsidR="003E3CD7">
        <w:t>recurrir a</w:t>
      </w:r>
      <w:r w:rsidR="00545D1B" w:rsidRPr="00742A04">
        <w:t xml:space="preserve"> </w:t>
      </w:r>
      <w:r w:rsidR="00A8681A" w:rsidRPr="00742A04">
        <w:t>personas</w:t>
      </w:r>
      <w:r w:rsidR="00545D1B" w:rsidRPr="00742A04">
        <w:t xml:space="preserve"> </w:t>
      </w:r>
      <w:r w:rsidR="004B0EC3" w:rsidRPr="00742A04">
        <w:t>ca</w:t>
      </w:r>
      <w:r w:rsidR="003E3CD7">
        <w:t>pacitadas para tr</w:t>
      </w:r>
      <w:r w:rsidR="003E3CD7">
        <w:t>a</w:t>
      </w:r>
      <w:r w:rsidR="003E3CD7">
        <w:t xml:space="preserve">tar con </w:t>
      </w:r>
      <w:r w:rsidR="002F3238" w:rsidRPr="00742A04">
        <w:t>los niños</w:t>
      </w:r>
      <w:r w:rsidR="00545D1B" w:rsidRPr="00742A04">
        <w:t xml:space="preserve"> </w:t>
      </w:r>
      <w:r w:rsidR="003E3CD7">
        <w:t>de manera</w:t>
      </w:r>
      <w:r w:rsidR="00545D1B" w:rsidRPr="00742A04">
        <w:t xml:space="preserve"> </w:t>
      </w:r>
      <w:r w:rsidR="00BA5ABE" w:rsidRPr="00742A04">
        <w:t>más</w:t>
      </w:r>
      <w:r w:rsidR="00545D1B" w:rsidRPr="00742A04">
        <w:t xml:space="preserve"> </w:t>
      </w:r>
      <w:r w:rsidR="003E3CD7">
        <w:t>concentrada a fin de</w:t>
      </w:r>
      <w:r w:rsidR="00545D1B" w:rsidRPr="00742A04">
        <w:t xml:space="preserve"> </w:t>
      </w:r>
      <w:r w:rsidR="000A5430" w:rsidRPr="00742A04">
        <w:t>contribuir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3E3CD7">
        <w:t>la re</w:t>
      </w:r>
      <w:r w:rsidR="00545D1B" w:rsidRPr="00742A04">
        <w:t>solu</w:t>
      </w:r>
      <w:r w:rsidR="003E3CD7">
        <w:t>ció</w:t>
      </w:r>
      <w:r w:rsidR="008907B8" w:rsidRPr="00742A04">
        <w:t>n</w:t>
      </w:r>
      <w:r w:rsidR="003E3CD7">
        <w:t xml:space="preserve"> m</w:t>
      </w:r>
      <w:r w:rsidR="003E3CD7">
        <w:t>e</w:t>
      </w:r>
      <w:r w:rsidR="003E3CD7">
        <w:t>diante</w:t>
      </w:r>
      <w:r w:rsidR="00545D1B" w:rsidRPr="00742A04">
        <w:t xml:space="preserve"> </w:t>
      </w:r>
      <w:r w:rsidR="0005098D" w:rsidRPr="00742A04">
        <w:t>acuerdo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3E3CD7">
        <w:t xml:space="preserve">casos </w:t>
      </w:r>
      <w:r w:rsidR="00545D1B" w:rsidRPr="00742A04">
        <w:t>excep</w:t>
      </w:r>
      <w:r w:rsidR="003E3CD7">
        <w:t>c</w:t>
      </w:r>
      <w:r w:rsidR="00545D1B" w:rsidRPr="00742A04">
        <w:t>ional</w:t>
      </w:r>
      <w:r w:rsidR="003E3CD7">
        <w:t>es</w:t>
      </w:r>
      <w:r w:rsidR="00545D1B" w:rsidRPr="00742A04">
        <w:t xml:space="preserve">, </w:t>
      </w:r>
      <w:r w:rsidR="003E3CD7">
        <w:t>el tribunal podrá designar a un</w:t>
      </w:r>
      <w:r w:rsidR="00545D1B" w:rsidRPr="00742A04">
        <w:t xml:space="preserve"> </w:t>
      </w:r>
      <w:r w:rsidR="0036497E">
        <w:t>abogado</w:t>
      </w:r>
      <w:r w:rsidR="00545D1B" w:rsidRPr="00742A04">
        <w:t xml:space="preserve"> (</w:t>
      </w:r>
      <w:r w:rsidR="003E3CD7">
        <w:t>u otro</w:t>
      </w:r>
      <w:r w:rsidR="00545D1B" w:rsidRPr="00742A04">
        <w:t xml:space="preserve"> representa</w:t>
      </w:r>
      <w:r w:rsidR="003E3CD7">
        <w:t>nt</w:t>
      </w:r>
      <w:r w:rsidR="00545D1B" w:rsidRPr="00742A04">
        <w:t xml:space="preserve">e) </w:t>
      </w:r>
      <w:r w:rsidR="00F43124" w:rsidRPr="00742A04">
        <w:t>para</w:t>
      </w:r>
      <w:r w:rsidR="00545D1B" w:rsidRPr="00742A04">
        <w:t xml:space="preserve"> </w:t>
      </w:r>
      <w:r w:rsidR="003E3CD7">
        <w:t>el</w:t>
      </w:r>
      <w:r w:rsidR="00545D1B" w:rsidRPr="00742A04">
        <w:t xml:space="preserve"> </w:t>
      </w:r>
      <w:r w:rsidR="003E3CD7">
        <w:t>niño</w:t>
      </w:r>
      <w:r w:rsidR="00545D1B" w:rsidRPr="00742A04">
        <w:t xml:space="preserve">, </w:t>
      </w:r>
      <w:r w:rsidR="003E3CD7">
        <w:t>con lo cual se</w:t>
      </w:r>
      <w:r w:rsidR="00545D1B" w:rsidRPr="00742A04">
        <w:t xml:space="preserve"> </w:t>
      </w:r>
      <w:r w:rsidR="006137EC" w:rsidRPr="00742A04">
        <w:t>fortalecer</w:t>
      </w:r>
      <w:r w:rsidR="003E3CD7">
        <w:t>án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A0730" w:rsidRPr="00742A04">
        <w:t>de</w:t>
      </w:r>
      <w:r w:rsidR="003E3CD7">
        <w:t>l</w:t>
      </w:r>
      <w:r w:rsidR="00545D1B" w:rsidRPr="00742A04">
        <w:t xml:space="preserve"> </w:t>
      </w:r>
      <w:r w:rsidR="003E3CD7">
        <w:t>niño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3E3CD7">
        <w:t>los casos</w:t>
      </w:r>
      <w:r w:rsidR="00545D1B" w:rsidRPr="00742A04">
        <w:t xml:space="preserve"> </w:t>
      </w:r>
      <w:r w:rsidR="00507A11" w:rsidRPr="00742A04">
        <w:t>más</w:t>
      </w:r>
      <w:r w:rsidR="00545D1B" w:rsidRPr="00742A04">
        <w:t xml:space="preserve"> </w:t>
      </w:r>
      <w:r w:rsidR="00F05119" w:rsidRPr="00742A04">
        <w:t>difícil</w:t>
      </w:r>
      <w:r w:rsidR="003E3CD7">
        <w:t>e</w:t>
      </w:r>
      <w:r w:rsidR="008A2682" w:rsidRPr="00742A04">
        <w:t>s</w:t>
      </w:r>
      <w:r w:rsidR="00545D1B" w:rsidRPr="00742A04">
        <w:t>.</w:t>
      </w:r>
      <w:r w:rsidR="0094104E">
        <w:t xml:space="preserve"> Se ha</w:t>
      </w:r>
      <w:r w:rsidR="003E3CD7">
        <w:t xml:space="preserve"> </w:t>
      </w:r>
      <w:r w:rsidR="0094104E" w:rsidRPr="00742A04">
        <w:t>simplifi</w:t>
      </w:r>
      <w:r w:rsidR="0094104E">
        <w:t xml:space="preserve">cado el </w:t>
      </w:r>
      <w:r w:rsidR="003E3CD7">
        <w:t>método para abordar los</w:t>
      </w:r>
      <w:r w:rsidR="00545D1B" w:rsidRPr="00742A04">
        <w:t xml:space="preserve"> </w:t>
      </w:r>
      <w:r w:rsidR="008A2682" w:rsidRPr="00742A04">
        <w:t>casos</w:t>
      </w:r>
      <w:r w:rsidR="00545D1B" w:rsidRPr="00742A04">
        <w:t xml:space="preserve"> </w:t>
      </w:r>
      <w:r w:rsidR="00072AD7" w:rsidRPr="00742A04">
        <w:t>relat</w:t>
      </w:r>
      <w:r w:rsidR="00072AD7" w:rsidRPr="00742A04">
        <w:t>i</w:t>
      </w:r>
      <w:r w:rsidR="00072AD7" w:rsidRPr="00742A04">
        <w:t>v</w:t>
      </w:r>
      <w:r w:rsidR="003E3CD7">
        <w:t xml:space="preserve">os </w:t>
      </w:r>
      <w:r w:rsidR="00072AD7" w:rsidRPr="00742A04">
        <w:t xml:space="preserve">a </w:t>
      </w:r>
      <w:r w:rsidR="003E3CD7">
        <w:t>guarda</w:t>
      </w:r>
      <w:r w:rsidR="00545D1B" w:rsidRPr="00742A04">
        <w:t>, etc.</w:t>
      </w:r>
      <w:r w:rsidR="003E3CD7">
        <w:t>,</w:t>
      </w:r>
      <w:r w:rsidR="00545D1B" w:rsidRPr="00742A04">
        <w:t xml:space="preserve"> </w:t>
      </w:r>
      <w:r w:rsidR="0094104E">
        <w:t>de modo que resulta más fácil iniciar un</w:t>
      </w:r>
      <w:r w:rsidR="000A5430" w:rsidRPr="00742A04">
        <w:t xml:space="preserve"> caso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36497E">
        <w:t>abogado</w:t>
      </w:r>
      <w:r w:rsidR="00545D1B" w:rsidRPr="00742A04">
        <w:t xml:space="preserve"> (</w:t>
      </w:r>
      <w:r w:rsidR="00894371">
        <w:t>e</w:t>
      </w:r>
      <w:r w:rsidR="00894371">
        <w:t>m</w:t>
      </w:r>
      <w:r w:rsidR="00894371">
        <w:t>plazamiento</w:t>
      </w:r>
      <w:r w:rsidR="0094104E">
        <w:t xml:space="preserve"> </w:t>
      </w:r>
      <w:r w:rsidR="00545D1B" w:rsidRPr="00742A04">
        <w:t>simplifi</w:t>
      </w:r>
      <w:r w:rsidR="0094104E">
        <w:t>cado</w:t>
      </w:r>
      <w:r w:rsidR="00545D1B" w:rsidRPr="00742A04">
        <w:t xml:space="preserve">) </w:t>
      </w:r>
      <w:r w:rsidR="00877AA0" w:rsidRPr="00742A04">
        <w:t>y</w:t>
      </w:r>
      <w:r w:rsidR="00545D1B" w:rsidRPr="00742A04">
        <w:t xml:space="preserve"> </w:t>
      </w:r>
      <w:r w:rsidR="00BD47D3" w:rsidRPr="00742A04">
        <w:t>es</w:t>
      </w:r>
      <w:r w:rsidR="00545D1B" w:rsidRPr="00742A04">
        <w:t xml:space="preserve"> </w:t>
      </w:r>
      <w:r w:rsidR="00C27C42" w:rsidRPr="00742A04">
        <w:t>posible</w:t>
      </w:r>
      <w:r w:rsidR="00545D1B" w:rsidRPr="00742A04">
        <w:t xml:space="preserve"> </w:t>
      </w:r>
      <w:r w:rsidR="0094104E">
        <w:t>dictar sentencia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94104E">
        <w:t>un</w:t>
      </w:r>
      <w:r w:rsidR="00545D1B" w:rsidRPr="00742A04">
        <w:t xml:space="preserve">a </w:t>
      </w:r>
      <w:r w:rsidR="0094104E">
        <w:t xml:space="preserve">audiencia </w:t>
      </w:r>
      <w:r w:rsidR="00964178" w:rsidRPr="00742A04">
        <w:t>principal</w:t>
      </w:r>
      <w:r w:rsidR="00545D1B" w:rsidRPr="00742A04">
        <w:t xml:space="preserve">. </w:t>
      </w:r>
      <w:r w:rsidR="0094104E">
        <w:t>Con arreglo a estas</w:t>
      </w:r>
      <w:r w:rsidR="00545D1B" w:rsidRPr="00742A04">
        <w:t xml:space="preserve"> </w:t>
      </w:r>
      <w:r w:rsidR="00CD2FF0" w:rsidRPr="00742A04">
        <w:t>enmiendas</w:t>
      </w:r>
      <w:r w:rsidR="00545D1B" w:rsidRPr="00742A04">
        <w:t xml:space="preserve">, </w:t>
      </w:r>
      <w:r w:rsidR="0094104E">
        <w:t>la</w:t>
      </w:r>
      <w:r w:rsidR="00545D1B" w:rsidRPr="00742A04">
        <w:t xml:space="preserve"> </w:t>
      </w:r>
      <w:r w:rsidR="00A93B9E" w:rsidRPr="00742A04">
        <w:t>edad</w:t>
      </w:r>
      <w:r w:rsidR="0094104E">
        <w:t xml:space="preserve"> mínima para que</w:t>
      </w:r>
      <w:r w:rsidR="00545D1B" w:rsidRPr="00742A04">
        <w:t xml:space="preserve"> </w:t>
      </w:r>
      <w:r w:rsidR="0094104E">
        <w:t xml:space="preserve">se ejerza </w:t>
      </w:r>
      <w:r w:rsidR="002F3238" w:rsidRPr="00742A04">
        <w:t>el derecho del n</w:t>
      </w:r>
      <w:r w:rsidR="002F3238" w:rsidRPr="00742A04">
        <w:t>i</w:t>
      </w:r>
      <w:r w:rsidR="002F3238" w:rsidRPr="00742A04">
        <w:t>ño</w:t>
      </w:r>
      <w:r w:rsidR="00545D1B" w:rsidRPr="00742A04">
        <w:t xml:space="preserve"> </w:t>
      </w:r>
      <w:r w:rsidR="002F3238" w:rsidRPr="00742A04">
        <w:t>a ser escuch</w:t>
      </w:r>
      <w:r w:rsidR="002F3238" w:rsidRPr="00742A04">
        <w:t>a</w:t>
      </w:r>
      <w:r w:rsidR="002F3238" w:rsidRPr="00742A04">
        <w:t>do</w:t>
      </w:r>
      <w:r w:rsidR="00545D1B" w:rsidRPr="00742A04">
        <w:t xml:space="preserve"> </w:t>
      </w:r>
      <w:r w:rsidR="0094104E">
        <w:t xml:space="preserve">se </w:t>
      </w:r>
      <w:r w:rsidR="006D7D2F" w:rsidRPr="00742A04">
        <w:t xml:space="preserve">ha </w:t>
      </w:r>
      <w:r w:rsidR="00545D1B" w:rsidRPr="00742A04">
        <w:t>reduc</w:t>
      </w:r>
      <w:r w:rsidR="0094104E">
        <w:t>ido</w:t>
      </w:r>
      <w:r w:rsidR="00545D1B" w:rsidRPr="00742A04">
        <w:t xml:space="preserve"> </w:t>
      </w:r>
      <w:r w:rsidR="008F0C8E" w:rsidRPr="00742A04">
        <w:t>de</w:t>
      </w:r>
      <w:r w:rsidR="00545D1B" w:rsidRPr="00742A04">
        <w:t xml:space="preserve"> </w:t>
      </w:r>
      <w:r w:rsidR="0094104E">
        <w:t xml:space="preserve">los </w:t>
      </w:r>
      <w:r w:rsidR="00545D1B" w:rsidRPr="00742A04">
        <w:t xml:space="preserve">12 </w:t>
      </w:r>
      <w:r w:rsidR="004D313C" w:rsidRPr="00742A04">
        <w:t>años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93B9E" w:rsidRPr="00742A04">
        <w:t>edad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94104E">
        <w:t xml:space="preserve">los </w:t>
      </w:r>
      <w:r w:rsidR="00545D1B" w:rsidRPr="00742A04">
        <w:t xml:space="preserve">7 </w:t>
      </w:r>
      <w:r w:rsidR="004D313C" w:rsidRPr="00742A04">
        <w:t>años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A93B9E" w:rsidRPr="00742A04">
        <w:t>edad</w:t>
      </w:r>
      <w:r w:rsidR="000A08D8" w:rsidRPr="00742A04">
        <w:t>.</w:t>
      </w:r>
    </w:p>
    <w:p w:rsidR="00545D1B" w:rsidRPr="00742A04" w:rsidRDefault="006C2FDB" w:rsidP="002C4922">
      <w:pPr>
        <w:pStyle w:val="SingleTxt"/>
        <w:rPr>
          <w:i/>
        </w:rPr>
      </w:pPr>
      <w:r>
        <w:rPr>
          <w:i/>
        </w:rPr>
        <w:t>Potestad parental conjunta</w:t>
      </w:r>
      <w:r w:rsidR="00545D1B" w:rsidRPr="00742A04">
        <w:rPr>
          <w:i/>
        </w:rPr>
        <w:t xml:space="preserve"> </w:t>
      </w:r>
      <w:r w:rsidR="00F43124" w:rsidRPr="00742A04">
        <w:rPr>
          <w:i/>
        </w:rPr>
        <w:t>para</w:t>
      </w:r>
      <w:r w:rsidR="00545D1B" w:rsidRPr="00742A04">
        <w:rPr>
          <w:i/>
        </w:rPr>
        <w:t xml:space="preserve"> </w:t>
      </w:r>
      <w:r w:rsidR="003315C7" w:rsidRPr="00742A04">
        <w:rPr>
          <w:i/>
        </w:rPr>
        <w:t xml:space="preserve">los padres y madres </w:t>
      </w:r>
      <w:r w:rsidR="005C1FFD" w:rsidRPr="00742A04">
        <w:rPr>
          <w:i/>
        </w:rPr>
        <w:t>que viven en concubinato</w:t>
      </w:r>
    </w:p>
    <w:p w:rsidR="000A08D8" w:rsidRPr="00742A04" w:rsidRDefault="006C2FDB" w:rsidP="00466626">
      <w:pPr>
        <w:pStyle w:val="SingleTxt"/>
        <w:ind w:firstLine="475"/>
      </w:pPr>
      <w:r>
        <w:t>El</w:t>
      </w:r>
      <w:r w:rsidR="00545D1B" w:rsidRPr="00742A04">
        <w:t xml:space="preserve"> 8 </w:t>
      </w:r>
      <w:r w:rsidR="00EA776F" w:rsidRPr="00742A04">
        <w:t>de junio de</w:t>
      </w:r>
      <w:r w:rsidR="00545D1B" w:rsidRPr="00742A04">
        <w:t xml:space="preserve"> 2005 </w:t>
      </w:r>
      <w:r w:rsidR="00BD47D3" w:rsidRPr="00742A04">
        <w:t>el Storting</w:t>
      </w:r>
      <w:r w:rsidR="00545D1B" w:rsidRPr="00742A04">
        <w:t xml:space="preserve"> </w:t>
      </w:r>
      <w:r w:rsidR="00032136" w:rsidRPr="00742A04">
        <w:t>aprobó enmiendas</w:t>
      </w:r>
      <w:r w:rsidR="001E30D6" w:rsidRPr="00742A04">
        <w:t xml:space="preserve"> </w:t>
      </w:r>
      <w:r>
        <w:t>a l</w:t>
      </w:r>
      <w:r w:rsidR="001E30D6" w:rsidRPr="00742A04">
        <w:t xml:space="preserve">a </w:t>
      </w:r>
      <w:r w:rsidR="00AD0883" w:rsidRPr="00742A04">
        <w:t>Ley sobre la Infancia</w:t>
      </w:r>
      <w:r w:rsidR="00545D1B" w:rsidRPr="00742A04">
        <w:t xml:space="preserve"> </w:t>
      </w:r>
      <w:r>
        <w:t>relativa</w:t>
      </w:r>
      <w:r w:rsidR="00EA6AC2" w:rsidRPr="00742A04">
        <w:t>s a</w:t>
      </w:r>
      <w:r w:rsidR="00545D1B" w:rsidRPr="00742A04">
        <w:t xml:space="preserve"> </w:t>
      </w:r>
      <w:r>
        <w:t>la potestad parental conjunta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3315C7" w:rsidRPr="00742A04">
        <w:t xml:space="preserve">los padres y madres </w:t>
      </w:r>
      <w:r w:rsidR="005C1FFD" w:rsidRPr="00742A04">
        <w:t>que viven en co</w:t>
      </w:r>
      <w:r w:rsidR="005C1FFD" w:rsidRPr="00742A04">
        <w:t>n</w:t>
      </w:r>
      <w:r w:rsidR="005C1FFD" w:rsidRPr="00742A04">
        <w:t>cubinato</w:t>
      </w:r>
      <w:r w:rsidR="00545D1B" w:rsidRPr="00742A04">
        <w:t xml:space="preserve">. </w:t>
      </w:r>
      <w:r>
        <w:t>Dichas</w:t>
      </w:r>
      <w:r w:rsidR="00545D1B" w:rsidRPr="00742A04">
        <w:t xml:space="preserve"> </w:t>
      </w:r>
      <w:r w:rsidR="00CD2FF0" w:rsidRPr="00742A04">
        <w:t>enmiendas</w:t>
      </w:r>
      <w:r w:rsidR="00545D1B" w:rsidRPr="00742A04">
        <w:t xml:space="preserve"> </w:t>
      </w:r>
      <w:r w:rsidR="009A12C2" w:rsidRPr="00742A04">
        <w:t>entraron en vigor</w:t>
      </w:r>
      <w:r w:rsidR="00545D1B" w:rsidRPr="00742A04">
        <w:t xml:space="preserve"> </w:t>
      </w:r>
      <w:r w:rsidR="00C076F2" w:rsidRPr="00742A04">
        <w:t>el 1°</w:t>
      </w:r>
      <w:r w:rsidR="00194AB3" w:rsidRPr="00742A04">
        <w:t xml:space="preserve"> de enero</w:t>
      </w:r>
      <w:r w:rsidR="004A0730" w:rsidRPr="00742A04">
        <w:t xml:space="preserve"> de</w:t>
      </w:r>
      <w:r w:rsidR="00545D1B" w:rsidRPr="00742A04">
        <w:t xml:space="preserve"> 2006. </w:t>
      </w:r>
      <w:r>
        <w:t>Dan</w:t>
      </w:r>
      <w:r w:rsidR="00545D1B" w:rsidRPr="00742A04">
        <w:t xml:space="preserve"> </w:t>
      </w:r>
      <w:r w:rsidR="008176B2" w:rsidRPr="00742A04">
        <w:t>autom</w:t>
      </w:r>
      <w:r w:rsidR="008176B2" w:rsidRPr="00742A04">
        <w:t>á</w:t>
      </w:r>
      <w:r w:rsidR="008176B2" w:rsidRPr="00742A04">
        <w:t>tica</w:t>
      </w:r>
      <w:r w:rsidR="005F7B32" w:rsidRPr="00742A04">
        <w:t xml:space="preserve">mente </w:t>
      </w:r>
      <w:r>
        <w:t>a</w:t>
      </w:r>
      <w:r w:rsidR="00545D1B" w:rsidRPr="00742A04">
        <w:t xml:space="preserve"> </w:t>
      </w:r>
      <w:r w:rsidR="003315C7" w:rsidRPr="00742A04">
        <w:t xml:space="preserve">los padres y madres </w:t>
      </w:r>
      <w:r w:rsidR="005C1FFD" w:rsidRPr="00742A04">
        <w:t>que viven en concubinato</w:t>
      </w:r>
      <w:r w:rsidR="00545D1B" w:rsidRPr="00742A04">
        <w:t xml:space="preserve"> </w:t>
      </w:r>
      <w:r>
        <w:t>la potestad parental co</w:t>
      </w:r>
      <w:r>
        <w:t>n</w:t>
      </w:r>
      <w:r>
        <w:t>junta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>
        <w:t>los hijos que tengan en común</w:t>
      </w:r>
      <w:r w:rsidR="00545D1B" w:rsidRPr="00742A04">
        <w:t xml:space="preserve">. </w:t>
      </w:r>
      <w:r w:rsidR="00DC7875">
        <w:t>Los padres y madres que viven en conc</w:t>
      </w:r>
      <w:r w:rsidR="00DC7875">
        <w:t>u</w:t>
      </w:r>
      <w:r w:rsidR="00DC7875">
        <w:t>binato</w:t>
      </w:r>
      <w:r w:rsidR="00545D1B" w:rsidRPr="00742A04">
        <w:t xml:space="preserve"> </w:t>
      </w:r>
      <w:r w:rsidR="006137EC" w:rsidRPr="00742A04">
        <w:t>s</w:t>
      </w:r>
      <w:r w:rsidR="00DC7875">
        <w:t>e</w:t>
      </w:r>
      <w:r w:rsidR="00545D1B" w:rsidRPr="00742A04">
        <w:t xml:space="preserve"> define</w:t>
      </w:r>
      <w:r w:rsidR="00DC7875">
        <w:t>n como</w:t>
      </w:r>
      <w:r w:rsidR="00545D1B" w:rsidRPr="00742A04">
        <w:t xml:space="preserve"> </w:t>
      </w:r>
      <w:r w:rsidR="0063079C" w:rsidRPr="00742A04">
        <w:t>los padres y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6137EC" w:rsidRPr="00742A04">
        <w:t>s</w:t>
      </w:r>
      <w:r w:rsidR="00DC7875">
        <w:t>e</w:t>
      </w:r>
      <w:r w:rsidR="00545D1B" w:rsidRPr="00742A04">
        <w:t xml:space="preserve"> </w:t>
      </w:r>
      <w:r w:rsidR="00311327" w:rsidRPr="00742A04">
        <w:t>registraron</w:t>
      </w:r>
      <w:r w:rsidR="00545D1B" w:rsidRPr="00742A04">
        <w:t xml:space="preserve"> </w:t>
      </w:r>
      <w:r w:rsidR="00DC7875">
        <w:t>en un</w:t>
      </w:r>
      <w:r w:rsidR="003C25BF" w:rsidRPr="00742A04">
        <w:t>a misma</w:t>
      </w:r>
      <w:r w:rsidR="00545D1B" w:rsidRPr="00742A04">
        <w:t xml:space="preserve"> </w:t>
      </w:r>
      <w:r w:rsidR="00DC7875">
        <w:t>dire</w:t>
      </w:r>
      <w:r w:rsidR="00DC7875">
        <w:t>c</w:t>
      </w:r>
      <w:r w:rsidR="00DC7875">
        <w:t>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B63DF" w:rsidRPr="00742A04">
        <w:t>el Registro Civil</w:t>
      </w:r>
      <w:r w:rsidR="00545D1B" w:rsidRPr="00742A04">
        <w:t xml:space="preserve"> </w:t>
      </w:r>
      <w:r w:rsidR="008E5EBF" w:rsidRPr="00742A04">
        <w:rPr>
          <w:i/>
        </w:rPr>
        <w:t>o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DC7875">
        <w:t xml:space="preserve">envíen </w:t>
      </w:r>
      <w:r w:rsidR="0094104E" w:rsidRPr="00742A04">
        <w:t xml:space="preserve">al Registro Civil </w:t>
      </w:r>
      <w:r w:rsidR="00DC7875">
        <w:t>un</w:t>
      </w:r>
      <w:r w:rsidR="00545D1B" w:rsidRPr="00742A04">
        <w:t>a declara</w:t>
      </w:r>
      <w:r w:rsidR="00C14BFF" w:rsidRPr="00742A04">
        <w:t xml:space="preserve">ción </w:t>
      </w:r>
      <w:r w:rsidR="00DC7875">
        <w:t>de 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D5494" w:rsidRPr="00742A04">
        <w:t>concubino</w:t>
      </w:r>
      <w:r w:rsidR="00545D1B" w:rsidRPr="00742A04">
        <w:t xml:space="preserve">s. </w:t>
      </w:r>
      <w:r w:rsidR="008E5EBF" w:rsidRPr="00742A04">
        <w:t>Las enmiendas</w:t>
      </w:r>
      <w:r w:rsidR="00AF398C" w:rsidRPr="00742A04">
        <w:t xml:space="preserve"> legislativas</w:t>
      </w:r>
      <w:r w:rsidR="00545D1B" w:rsidRPr="00742A04">
        <w:t xml:space="preserve"> </w:t>
      </w:r>
      <w:r w:rsidR="00DC7875">
        <w:t>se aplican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1C0C03" w:rsidRPr="00742A04">
        <w:t>naci</w:t>
      </w:r>
      <w:r w:rsidR="00DC7875">
        <w:t>dos</w:t>
      </w:r>
      <w:r w:rsidR="00545D1B" w:rsidRPr="00742A04">
        <w:t xml:space="preserve"> </w:t>
      </w:r>
      <w:r w:rsidR="003E4840" w:rsidRPr="00742A04">
        <w:t>después de</w:t>
      </w:r>
      <w:r w:rsidR="00DC7875">
        <w:t>l</w:t>
      </w:r>
      <w:r w:rsidR="00545D1B" w:rsidRPr="00742A04">
        <w:t xml:space="preserve"> </w:t>
      </w:r>
      <w:r w:rsidR="00194AB3" w:rsidRPr="00742A04">
        <w:t>1°</w:t>
      </w:r>
      <w:r w:rsidR="00DC7875">
        <w:t> </w:t>
      </w:r>
      <w:r w:rsidR="00194AB3" w:rsidRPr="00742A04">
        <w:t>de enero</w:t>
      </w:r>
      <w:r w:rsidR="004A0730" w:rsidRPr="00742A04">
        <w:t xml:space="preserve"> de</w:t>
      </w:r>
      <w:r w:rsidR="00545D1B" w:rsidRPr="00742A04">
        <w:t xml:space="preserve"> 2006. </w:t>
      </w:r>
      <w:r w:rsidR="00DC7875">
        <w:t>Los padres y madres que viven en concubinato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ha</w:t>
      </w:r>
      <w:r w:rsidR="00DC7875">
        <w:t>yan ten</w:t>
      </w:r>
      <w:r w:rsidR="00DC7875">
        <w:t>i</w:t>
      </w:r>
      <w:r w:rsidR="00DC7875">
        <w:t>do hijos</w:t>
      </w:r>
      <w:r w:rsidR="00545D1B" w:rsidRPr="00742A04">
        <w:t xml:space="preserve"> </w:t>
      </w:r>
      <w:r w:rsidR="00AC5D28" w:rsidRPr="00742A04">
        <w:t>antes de</w:t>
      </w:r>
      <w:r w:rsidR="00545D1B" w:rsidRPr="00742A04">
        <w:t xml:space="preserve"> </w:t>
      </w:r>
      <w:r w:rsidR="00DC7875">
        <w:t>esa fecha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DC7875">
        <w:t xml:space="preserve">hayan convenido </w:t>
      </w:r>
      <w:r w:rsidR="00041F24" w:rsidRPr="00742A04">
        <w:t>anteriormente</w:t>
      </w:r>
      <w:r w:rsidR="00545D1B" w:rsidRPr="00742A04">
        <w:t xml:space="preserve"> </w:t>
      </w:r>
      <w:r w:rsidR="00DC7875">
        <w:t>e</w:t>
      </w:r>
      <w:r w:rsidR="00545D1B" w:rsidRPr="00742A04">
        <w:t xml:space="preserve">n </w:t>
      </w:r>
      <w:r>
        <w:t>la potestad p</w:t>
      </w:r>
      <w:r>
        <w:t>a</w:t>
      </w:r>
      <w:r>
        <w:t>rental conjunta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DC7875">
        <w:t xml:space="preserve">tendrán </w:t>
      </w:r>
      <w:r w:rsidR="008176B2" w:rsidRPr="00742A04">
        <w:t>automática</w:t>
      </w:r>
      <w:r w:rsidR="005F7B32" w:rsidRPr="00742A04">
        <w:t xml:space="preserve">mente </w:t>
      </w:r>
      <w:r>
        <w:t>la potestad parental conjunta</w:t>
      </w:r>
      <w:r w:rsidR="00545D1B" w:rsidRPr="00742A04">
        <w:t xml:space="preserve"> </w:t>
      </w:r>
      <w:r w:rsidR="00BD47D3" w:rsidRPr="00742A04">
        <w:t>en virtud de</w:t>
      </w:r>
      <w:r w:rsidR="00545D1B" w:rsidRPr="00742A04">
        <w:t xml:space="preserve"> </w:t>
      </w:r>
      <w:r w:rsidR="00DC7875">
        <w:t>esta</w:t>
      </w:r>
      <w:r w:rsidR="00545D1B" w:rsidRPr="00742A04">
        <w:t xml:space="preserve"> </w:t>
      </w:r>
      <w:r w:rsidR="00CD2FF0" w:rsidRPr="00742A04">
        <w:t>enmienda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DC7875">
        <w:t xml:space="preserve">podrán enviar </w:t>
      </w:r>
      <w:r w:rsidR="00DC7875" w:rsidRPr="00742A04">
        <w:t xml:space="preserve">al Registro Civil </w:t>
      </w:r>
      <w:r w:rsidR="00DC7875">
        <w:t>una</w:t>
      </w:r>
      <w:r w:rsidR="00545D1B" w:rsidRPr="00742A04">
        <w:t xml:space="preserve"> declara</w:t>
      </w:r>
      <w:r w:rsidR="00C14BFF" w:rsidRPr="00742A04">
        <w:t xml:space="preserve">ción </w:t>
      </w:r>
      <w:r w:rsidR="00DC7875">
        <w:t>de 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D5494" w:rsidRPr="00742A04">
        <w:t>concubino</w:t>
      </w:r>
      <w:r w:rsidR="00545D1B" w:rsidRPr="00742A04">
        <w:t>s</w:t>
      </w:r>
      <w:r w:rsidR="00E575DB" w:rsidRPr="00742A04">
        <w:t xml:space="preserve"> </w:t>
      </w:r>
      <w:r w:rsidR="00BD47D3" w:rsidRPr="00742A04">
        <w:t>en virtud de</w:t>
      </w:r>
      <w:r w:rsidR="00545D1B" w:rsidRPr="00742A04">
        <w:t xml:space="preserve"> </w:t>
      </w:r>
      <w:r w:rsidR="00AF6A61" w:rsidRPr="00742A04">
        <w:t>la nueva</w:t>
      </w:r>
      <w:r w:rsidR="00545D1B" w:rsidRPr="00742A04">
        <w:t xml:space="preserve"> </w:t>
      </w:r>
      <w:r w:rsidR="00DC7875">
        <w:t xml:space="preserve">norma </w:t>
      </w:r>
      <w:r w:rsidR="00877AA0" w:rsidRPr="00742A04">
        <w:t>y</w:t>
      </w:r>
      <w:r w:rsidR="00545D1B" w:rsidRPr="00742A04">
        <w:t xml:space="preserve"> </w:t>
      </w:r>
      <w:r w:rsidR="00DC7875">
        <w:t>se les otorgará</w:t>
      </w:r>
      <w:r w:rsidR="00545D1B" w:rsidRPr="00742A04">
        <w:t xml:space="preserve"> </w:t>
      </w:r>
      <w:r>
        <w:t>la potestad pare</w:t>
      </w:r>
      <w:r>
        <w:t>n</w:t>
      </w:r>
      <w:r>
        <w:t>tal conjunta</w:t>
      </w:r>
      <w:r w:rsidR="00545D1B" w:rsidRPr="00742A04">
        <w:t xml:space="preserve"> </w:t>
      </w:r>
      <w:r w:rsidR="00DC7875">
        <w:t>respecto de</w:t>
      </w:r>
      <w:r w:rsidR="00545D1B" w:rsidRPr="00742A04">
        <w:t xml:space="preserve"> </w:t>
      </w:r>
      <w:r w:rsidR="002F3238" w:rsidRPr="00742A04">
        <w:t xml:space="preserve">los </w:t>
      </w:r>
      <w:r w:rsidR="00DC7875">
        <w:t>hij</w:t>
      </w:r>
      <w:r w:rsidR="002F3238" w:rsidRPr="00742A04">
        <w:t>os</w:t>
      </w:r>
      <w:r w:rsidR="00545D1B" w:rsidRPr="00742A04">
        <w:t xml:space="preserve"> </w:t>
      </w:r>
      <w:r w:rsidR="00DC7875">
        <w:t>nacidos</w:t>
      </w:r>
      <w:r w:rsidR="00545D1B" w:rsidRPr="00742A04">
        <w:t xml:space="preserve"> </w:t>
      </w:r>
      <w:r w:rsidR="00AC5D28" w:rsidRPr="00742A04">
        <w:t>antes de</w:t>
      </w:r>
      <w:r w:rsidR="00545D1B" w:rsidRPr="00742A04">
        <w:t xml:space="preserve"> </w:t>
      </w:r>
      <w:r w:rsidR="00194AB3" w:rsidRPr="00742A04">
        <w:t>1° de enero</w:t>
      </w:r>
      <w:r w:rsidR="004A0730" w:rsidRPr="00742A04">
        <w:t xml:space="preserve"> de</w:t>
      </w:r>
      <w:r w:rsidR="00545D1B" w:rsidRPr="00742A04">
        <w:t xml:space="preserve"> 2006</w:t>
      </w:r>
      <w:r w:rsidR="000A08D8" w:rsidRPr="00742A04">
        <w:t>.</w:t>
      </w:r>
    </w:p>
    <w:p w:rsidR="00545D1B" w:rsidRPr="00742A04" w:rsidRDefault="0063079C" w:rsidP="00466626">
      <w:pPr>
        <w:pStyle w:val="SingleTxt"/>
        <w:ind w:firstLine="475"/>
      </w:pPr>
      <w:r w:rsidRPr="00742A04">
        <w:t>Los padres y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C7228">
        <w:t>no vivan</w:t>
      </w:r>
      <w:r w:rsidR="00545D1B" w:rsidRPr="00742A04">
        <w:t xml:space="preserve"> </w:t>
      </w:r>
      <w:r w:rsidR="00D75341" w:rsidRPr="00742A04">
        <w:t>junto</w:t>
      </w:r>
      <w:r w:rsidR="005C7228">
        <w:t>s</w:t>
      </w:r>
      <w:r w:rsidR="00545D1B" w:rsidRPr="00742A04">
        <w:t xml:space="preserve"> </w:t>
      </w:r>
      <w:r w:rsidR="005C7228">
        <w:t>podrán convenir en tener</w:t>
      </w:r>
      <w:r w:rsidR="00545D1B" w:rsidRPr="00742A04">
        <w:t xml:space="preserve"> </w:t>
      </w:r>
      <w:r w:rsidR="006C2FDB">
        <w:t>la potestad parental conjunta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notif</w:t>
      </w:r>
      <w:r w:rsidR="005C7228">
        <w:t>icar ese acuerdo al</w:t>
      </w:r>
      <w:r w:rsidR="00BB4DB1" w:rsidRPr="00742A04">
        <w:t xml:space="preserve"> </w:t>
      </w:r>
      <w:r w:rsidR="008B63DF" w:rsidRPr="00742A04">
        <w:t>Registro Civil</w:t>
      </w:r>
      <w:r w:rsidR="00545D1B" w:rsidRPr="00742A04">
        <w:t xml:space="preserve">. </w:t>
      </w:r>
      <w:r w:rsidR="005C7228">
        <w:t>Esto</w:t>
      </w:r>
      <w:r w:rsidR="00545D1B" w:rsidRPr="00742A04">
        <w:t xml:space="preserve"> </w:t>
      </w:r>
      <w:r w:rsidR="0030626A" w:rsidRPr="00742A04">
        <w:t>también</w:t>
      </w:r>
      <w:r w:rsidR="00545D1B" w:rsidRPr="00742A04">
        <w:t xml:space="preserve"> </w:t>
      </w:r>
      <w:r w:rsidR="008E5EBF" w:rsidRPr="00742A04">
        <w:t>se aplica</w:t>
      </w:r>
      <w:r w:rsidR="00545D1B" w:rsidRPr="00742A04">
        <w:t xml:space="preserve"> </w:t>
      </w:r>
      <w:r w:rsidR="0030626A" w:rsidRPr="00742A04">
        <w:t>a</w:t>
      </w:r>
      <w:r w:rsidR="00545D1B" w:rsidRPr="00742A04">
        <w:t xml:space="preserve"> </w:t>
      </w:r>
      <w:r w:rsidRPr="00742A04">
        <w:t>los padres y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C7228">
        <w:t>no t</w:t>
      </w:r>
      <w:r w:rsidR="00D81031" w:rsidRPr="00742A04">
        <w:t>en</w:t>
      </w:r>
      <w:r w:rsidR="005C7228">
        <w:t>ga</w:t>
      </w:r>
      <w:r w:rsidR="00D81031" w:rsidRPr="00742A04">
        <w:t>n</w:t>
      </w:r>
      <w:r w:rsidR="00545D1B" w:rsidRPr="00742A04">
        <w:t xml:space="preserve"> </w:t>
      </w:r>
      <w:r w:rsidR="006C2FDB">
        <w:t>la potestad parental conjunta</w:t>
      </w:r>
      <w:r w:rsidR="00545D1B" w:rsidRPr="00742A04">
        <w:t xml:space="preserve"> </w:t>
      </w:r>
      <w:r w:rsidR="00BD47D3" w:rsidRPr="00742A04">
        <w:t>en virtud de</w:t>
      </w:r>
      <w:r w:rsidR="00545D1B" w:rsidRPr="00742A04">
        <w:t xml:space="preserve"> </w:t>
      </w:r>
      <w:r w:rsidR="005C7228">
        <w:t>las normas anteriores</w:t>
      </w:r>
      <w:r w:rsidR="00545D1B" w:rsidRPr="00742A04">
        <w:t>.</w:t>
      </w:r>
    </w:p>
    <w:p w:rsidR="00545D1B" w:rsidRPr="00742A04" w:rsidRDefault="0063079C" w:rsidP="00466626">
      <w:pPr>
        <w:pStyle w:val="SingleTxt"/>
        <w:ind w:firstLine="475"/>
      </w:pPr>
      <w:r w:rsidRPr="00742A04">
        <w:t>Los padres y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C7228">
        <w:t>hayan</w:t>
      </w:r>
      <w:r w:rsidR="00545D1B" w:rsidRPr="00742A04">
        <w:t xml:space="preserve"> </w:t>
      </w:r>
      <w:r w:rsidR="00311327" w:rsidRPr="00742A04">
        <w:t>registra</w:t>
      </w:r>
      <w:r w:rsidR="005C7228">
        <w:t>do</w:t>
      </w:r>
      <w:r w:rsidR="00545D1B" w:rsidRPr="00742A04">
        <w:t xml:space="preserve"> </w:t>
      </w:r>
      <w:r w:rsidR="003C25BF" w:rsidRPr="00742A04">
        <w:t>la misma</w:t>
      </w:r>
      <w:r w:rsidR="00545D1B" w:rsidRPr="00742A04">
        <w:t xml:space="preserve"> </w:t>
      </w:r>
      <w:r w:rsidR="005C7228">
        <w:t>dirección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B63DF" w:rsidRPr="00742A04">
        <w:t>el Registro Civil</w:t>
      </w:r>
      <w:r w:rsidR="00545D1B" w:rsidRPr="00742A04">
        <w:t xml:space="preserve"> </w:t>
      </w:r>
      <w:r w:rsidR="003C25BF" w:rsidRPr="00742A04">
        <w:t>cuando</w:t>
      </w:r>
      <w:r w:rsidR="00545D1B" w:rsidRPr="00742A04">
        <w:t xml:space="preserve"> </w:t>
      </w:r>
      <w:r w:rsidR="00D02ECC">
        <w:t xml:space="preserve">la </w:t>
      </w:r>
      <w:r w:rsidR="00545D1B" w:rsidRPr="00742A04">
        <w:t>patern</w:t>
      </w:r>
      <w:r w:rsidR="00502E16" w:rsidRPr="00742A04">
        <w:t>idad</w:t>
      </w:r>
      <w:r w:rsidR="00545D1B" w:rsidRPr="00742A04">
        <w:t xml:space="preserve"> </w:t>
      </w:r>
      <w:r w:rsidR="00D02ECC">
        <w:t>s</w:t>
      </w:r>
      <w:r w:rsidR="00BB4DB1" w:rsidRPr="00742A04">
        <w:t>e</w:t>
      </w:r>
      <w:r w:rsidR="00D02ECC">
        <w:t xml:space="preserve"> determine</w:t>
      </w:r>
      <w:r w:rsidR="00545D1B" w:rsidRPr="00742A04">
        <w:t xml:space="preserve"> </w:t>
      </w:r>
      <w:r w:rsidR="008176B2" w:rsidRPr="00742A04">
        <w:t>automática</w:t>
      </w:r>
      <w:r w:rsidR="005F7B32" w:rsidRPr="00742A04">
        <w:t xml:space="preserve">mente </w:t>
      </w:r>
      <w:r w:rsidR="00D02ECC">
        <w:t>tendrán</w:t>
      </w:r>
      <w:r w:rsidR="00545D1B" w:rsidRPr="00742A04">
        <w:t xml:space="preserve"> </w:t>
      </w:r>
      <w:r w:rsidR="006C2FDB">
        <w:t>la potestad pare</w:t>
      </w:r>
      <w:r w:rsidR="006C2FDB">
        <w:t>n</w:t>
      </w:r>
      <w:r w:rsidR="006C2FDB">
        <w:t>tal conjunta</w:t>
      </w:r>
      <w:r w:rsidR="00545D1B" w:rsidRPr="00742A04">
        <w:t xml:space="preserve"> </w:t>
      </w:r>
      <w:r w:rsidR="00D02ECC">
        <w:t>respecto de</w:t>
      </w:r>
      <w:r w:rsidR="00545D1B" w:rsidRPr="00742A04">
        <w:t xml:space="preserve"> </w:t>
      </w:r>
      <w:r w:rsidR="002F3238" w:rsidRPr="00742A04">
        <w:t>los niños</w:t>
      </w:r>
      <w:r w:rsidR="00545D1B" w:rsidRPr="00742A04">
        <w:t xml:space="preserve"> </w:t>
      </w:r>
      <w:r w:rsidR="00D02ECC">
        <w:t>nacidos</w:t>
      </w:r>
      <w:r w:rsidR="00545D1B" w:rsidRPr="00742A04">
        <w:t xml:space="preserve"> </w:t>
      </w:r>
      <w:r w:rsidR="003E4840" w:rsidRPr="00742A04">
        <w:t>después de</w:t>
      </w:r>
      <w:r w:rsidR="00D02ECC">
        <w:t>l</w:t>
      </w:r>
      <w:r w:rsidR="00545D1B" w:rsidRPr="00742A04">
        <w:t xml:space="preserve"> </w:t>
      </w:r>
      <w:r w:rsidR="00194AB3" w:rsidRPr="00742A04">
        <w:t>1° de enero</w:t>
      </w:r>
      <w:r w:rsidR="004A0730" w:rsidRPr="00742A04">
        <w:t xml:space="preserve"> de</w:t>
      </w:r>
      <w:r w:rsidR="00545D1B" w:rsidRPr="00742A04">
        <w:t xml:space="preserve"> 2006. </w:t>
      </w:r>
      <w:r w:rsidRPr="00742A04">
        <w:t>Los p</w:t>
      </w:r>
      <w:r w:rsidRPr="00742A04">
        <w:t>a</w:t>
      </w:r>
      <w:r w:rsidRPr="00742A04">
        <w:t>dres y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D02ECC">
        <w:t>se consideren</w:t>
      </w:r>
      <w:r w:rsidR="00545D1B" w:rsidRPr="00742A04">
        <w:t xml:space="preserve"> </w:t>
      </w:r>
      <w:r w:rsidR="00AD5494" w:rsidRPr="00742A04">
        <w:t>concubino</w:t>
      </w:r>
      <w:r w:rsidR="00545D1B" w:rsidRPr="00742A04">
        <w:t xml:space="preserve">s </w:t>
      </w:r>
      <w:r w:rsidR="00E77E20" w:rsidRPr="00742A04">
        <w:t>pero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CE5A7F" w:rsidRPr="00742A04">
        <w:t xml:space="preserve">no </w:t>
      </w:r>
      <w:r w:rsidR="00D02ECC">
        <w:t>haya</w:t>
      </w:r>
      <w:r w:rsidR="00CE5A7F" w:rsidRPr="00742A04">
        <w:t>n</w:t>
      </w:r>
      <w:r w:rsidR="00545D1B" w:rsidRPr="00742A04">
        <w:t xml:space="preserve"> </w:t>
      </w:r>
      <w:r w:rsidR="00311327" w:rsidRPr="00742A04">
        <w:t>registra</w:t>
      </w:r>
      <w:r w:rsidR="00D02ECC">
        <w:t>do</w:t>
      </w:r>
      <w:r w:rsidR="00545D1B" w:rsidRPr="00742A04">
        <w:t xml:space="preserve"> </w:t>
      </w:r>
      <w:r w:rsidR="003C25BF" w:rsidRPr="00742A04">
        <w:t>la mi</w:t>
      </w:r>
      <w:r w:rsidR="003C25BF" w:rsidRPr="00742A04">
        <w:t>s</w:t>
      </w:r>
      <w:r w:rsidR="003C25BF" w:rsidRPr="00742A04">
        <w:t>ma</w:t>
      </w:r>
      <w:r w:rsidR="00545D1B" w:rsidRPr="00742A04">
        <w:t xml:space="preserve"> </w:t>
      </w:r>
      <w:r w:rsidR="00D02ECC">
        <w:t>dirección</w:t>
      </w:r>
      <w:r w:rsidR="00545D1B" w:rsidRPr="00742A04">
        <w:t xml:space="preserve"> </w:t>
      </w:r>
      <w:r w:rsidR="00C14BFF" w:rsidRPr="00742A04">
        <w:t>en</w:t>
      </w:r>
      <w:r w:rsidR="00545D1B" w:rsidRPr="00742A04">
        <w:t xml:space="preserve"> </w:t>
      </w:r>
      <w:r w:rsidR="008B63DF" w:rsidRPr="00742A04">
        <w:t>el Registro Civil</w:t>
      </w:r>
      <w:r w:rsidR="00545D1B" w:rsidRPr="00742A04">
        <w:t xml:space="preserve"> (</w:t>
      </w:r>
      <w:r w:rsidR="008E5EBF" w:rsidRPr="00742A04">
        <w:t>o</w:t>
      </w:r>
      <w:r w:rsidR="00545D1B" w:rsidRPr="00742A04">
        <w:t xml:space="preserve"> </w:t>
      </w:r>
      <w:r w:rsidR="00D02ECC">
        <w:t xml:space="preserve">no estén seguros </w:t>
      </w:r>
      <w:r w:rsidR="003E4840" w:rsidRPr="00742A04">
        <w:t>acerca de</w:t>
      </w:r>
      <w:r w:rsidR="00545D1B" w:rsidRPr="00742A04">
        <w:t xml:space="preserve"> </w:t>
      </w:r>
      <w:r w:rsidR="0056679F" w:rsidRPr="00742A04">
        <w:t>si</w:t>
      </w:r>
      <w:r w:rsidR="00545D1B" w:rsidRPr="00742A04">
        <w:t xml:space="preserve"> </w:t>
      </w:r>
      <w:r w:rsidR="00D02ECC">
        <w:t>lo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8E5EBF" w:rsidRPr="00742A04">
        <w:t>o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) </w:t>
      </w:r>
      <w:r w:rsidR="00D02ECC">
        <w:t>podrán</w:t>
      </w:r>
      <w:r w:rsidR="00545D1B" w:rsidRPr="00742A04">
        <w:t xml:space="preserve"> declar</w:t>
      </w:r>
      <w:r w:rsidR="00D02ECC">
        <w:t>ar 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D5494" w:rsidRPr="00742A04">
        <w:t>concubino</w:t>
      </w:r>
      <w:r w:rsidR="00545D1B" w:rsidRPr="00742A04">
        <w:t xml:space="preserve">s </w:t>
      </w:r>
      <w:r w:rsidR="00D02ECC">
        <w:t>en el</w:t>
      </w:r>
      <w:r w:rsidR="00545D1B" w:rsidRPr="00742A04">
        <w:t xml:space="preserve"> form</w:t>
      </w:r>
      <w:r w:rsidR="00D02ECC">
        <w:t>ulario de</w:t>
      </w:r>
      <w:r w:rsidR="00545D1B" w:rsidRPr="00742A04">
        <w:t xml:space="preserve"> </w:t>
      </w:r>
      <w:r w:rsidR="004F2F8A" w:rsidRPr="00742A04">
        <w:t>reconocimiento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patern</w:t>
      </w:r>
      <w:r w:rsidR="00502E16" w:rsidRPr="00742A04">
        <w:t>idad</w:t>
      </w:r>
      <w:r w:rsidR="00545D1B" w:rsidRPr="00742A04">
        <w:t>. T</w:t>
      </w:r>
      <w:r w:rsidR="00BA0349" w:rsidRPr="00742A04">
        <w:t>ambién pueden</w:t>
      </w:r>
      <w:r w:rsidR="00545D1B" w:rsidRPr="00742A04">
        <w:t xml:space="preserve"> </w:t>
      </w:r>
      <w:r w:rsidR="00D02ECC">
        <w:t>enviar</w:t>
      </w:r>
      <w:r w:rsidR="00545D1B" w:rsidRPr="00742A04">
        <w:t xml:space="preserve"> </w:t>
      </w:r>
      <w:r w:rsidR="00D02ECC" w:rsidRPr="00742A04">
        <w:t xml:space="preserve">al Registro Civil </w:t>
      </w:r>
      <w:r w:rsidR="00D02ECC">
        <w:t>un</w:t>
      </w:r>
      <w:r w:rsidR="00545D1B" w:rsidRPr="00742A04">
        <w:t>a declara</w:t>
      </w:r>
      <w:r w:rsidR="00C14BFF" w:rsidRPr="00742A04">
        <w:t xml:space="preserve">ción </w:t>
      </w:r>
      <w:r w:rsidR="00D02ECC">
        <w:t>de 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D5494" w:rsidRPr="00742A04">
        <w:t>concubino</w:t>
      </w:r>
      <w:r w:rsidR="00545D1B" w:rsidRPr="00742A04">
        <w:t>s</w:t>
      </w:r>
      <w:r w:rsidR="00E575DB" w:rsidRPr="00742A04">
        <w:t xml:space="preserve"> </w:t>
      </w:r>
      <w:r w:rsidR="00D02ECC">
        <w:t>en fecha posterior</w:t>
      </w:r>
      <w:r w:rsidR="00545D1B" w:rsidRPr="00742A04">
        <w:t>.</w:t>
      </w:r>
    </w:p>
    <w:p w:rsidR="00545D1B" w:rsidRPr="00742A04" w:rsidRDefault="00D02ECC" w:rsidP="00466626">
      <w:pPr>
        <w:pStyle w:val="SingleTxt"/>
        <w:ind w:firstLine="475"/>
      </w:pPr>
      <w:r>
        <w:t>No h</w:t>
      </w:r>
      <w:r w:rsidR="00436CEE" w:rsidRPr="00742A04">
        <w:t>a habido</w:t>
      </w:r>
      <w:r w:rsidR="00545D1B" w:rsidRPr="00742A04">
        <w:t xml:space="preserve"> </w:t>
      </w:r>
      <w:r w:rsidR="00935A90" w:rsidRPr="00742A04">
        <w:t>cambios</w:t>
      </w:r>
      <w:r w:rsidR="00545D1B" w:rsidRPr="00742A04">
        <w:t xml:space="preserve"> </w:t>
      </w:r>
      <w:r w:rsidR="00BF5E7B">
        <w:t>en</w:t>
      </w:r>
      <w:r w:rsidR="00545D1B" w:rsidRPr="00742A04">
        <w:t xml:space="preserve"> </w:t>
      </w:r>
      <w:r w:rsidR="00130F7F" w:rsidRPr="00742A04">
        <w:t>las normas</w:t>
      </w:r>
      <w:r w:rsidR="00545D1B" w:rsidRPr="00742A04">
        <w:t xml:space="preserve"> </w:t>
      </w:r>
      <w:r w:rsidR="00BF5E7B">
        <w:t>relativas a</w:t>
      </w:r>
      <w:r w:rsidR="00545D1B" w:rsidRPr="00742A04">
        <w:t xml:space="preserve"> </w:t>
      </w:r>
      <w:r w:rsidR="0063079C" w:rsidRPr="00742A04">
        <w:t>los padres y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BF5E7B">
        <w:t>v</w:t>
      </w:r>
      <w:r w:rsidR="00BF5E7B">
        <w:t>i</w:t>
      </w:r>
      <w:r w:rsidR="00545D1B" w:rsidRPr="00742A04">
        <w:t>ve</w:t>
      </w:r>
      <w:r w:rsidR="00BF5E7B">
        <w:t>n</w:t>
      </w:r>
      <w:r w:rsidR="00545D1B" w:rsidRPr="00742A04">
        <w:t xml:space="preserve"> </w:t>
      </w:r>
      <w:r w:rsidR="00D75341" w:rsidRPr="00742A04">
        <w:t>junto</w:t>
      </w:r>
      <w:r w:rsidR="00BF5E7B">
        <w:t>s</w:t>
      </w:r>
      <w:r w:rsidR="00545D1B" w:rsidRPr="00742A04">
        <w:t xml:space="preserve">. </w:t>
      </w:r>
      <w:r w:rsidR="003C25BF" w:rsidRPr="00742A04">
        <w:t>Cuando</w:t>
      </w:r>
      <w:r w:rsidR="00545D1B" w:rsidRPr="00742A04">
        <w:t xml:space="preserve"> </w:t>
      </w:r>
      <w:r w:rsidR="00BF5E7B">
        <w:t>vivan</w:t>
      </w:r>
      <w:r w:rsidR="00545D1B" w:rsidRPr="00742A04">
        <w:t xml:space="preserve"> </w:t>
      </w:r>
      <w:r w:rsidR="00BF5E7B">
        <w:t>separados</w:t>
      </w:r>
      <w:r w:rsidR="00545D1B" w:rsidRPr="00742A04">
        <w:t xml:space="preserve">, </w:t>
      </w:r>
      <w:r w:rsidR="00BF5E7B">
        <w:t xml:space="preserve">sólo </w:t>
      </w:r>
      <w:r w:rsidR="002A7CCF" w:rsidRPr="00742A04">
        <w:t>la madre</w:t>
      </w:r>
      <w:r w:rsidR="00545D1B" w:rsidRPr="00742A04">
        <w:t xml:space="preserve"> </w:t>
      </w:r>
      <w:r w:rsidR="00BF5E7B">
        <w:t>tendrá la</w:t>
      </w:r>
      <w:r w:rsidR="00545D1B" w:rsidRPr="00742A04">
        <w:t xml:space="preserve"> </w:t>
      </w:r>
      <w:r w:rsidR="006C2FDB">
        <w:t>potestad parental</w:t>
      </w:r>
      <w:r w:rsidR="00545D1B" w:rsidRPr="00742A04">
        <w:t xml:space="preserve">. </w:t>
      </w:r>
      <w:r w:rsidR="00BF5E7B">
        <w:t xml:space="preserve">El </w:t>
      </w:r>
      <w:r w:rsidR="0063079C" w:rsidRPr="00742A04">
        <w:t>pa</w:t>
      </w:r>
      <w:r w:rsidR="00BF5E7B">
        <w:t>dre</w:t>
      </w:r>
      <w:r w:rsidR="0063079C" w:rsidRPr="00742A04">
        <w:t xml:space="preserve"> y </w:t>
      </w:r>
      <w:r w:rsidR="00894371">
        <w:t>la madre</w:t>
      </w:r>
      <w:r w:rsidR="00545D1B" w:rsidRPr="00742A04">
        <w:t xml:space="preserve"> </w:t>
      </w:r>
      <w:r w:rsidR="00BF5E7B">
        <w:t>podrán convenir en tener</w:t>
      </w:r>
      <w:r w:rsidR="00545D1B" w:rsidRPr="00742A04">
        <w:t xml:space="preserve"> </w:t>
      </w:r>
      <w:r w:rsidR="006C2FDB">
        <w:t>la potestad parental conjunta</w:t>
      </w:r>
      <w:r w:rsidR="00545D1B" w:rsidRPr="00742A04">
        <w:t xml:space="preserve">. </w:t>
      </w:r>
      <w:r w:rsidR="00BF5E7B">
        <w:t>El acuerdo podrá consignarse en el</w:t>
      </w:r>
      <w:r w:rsidR="00545D1B" w:rsidRPr="00742A04">
        <w:t xml:space="preserve"> form</w:t>
      </w:r>
      <w:r w:rsidR="00BF5E7B">
        <w:t>ulario de</w:t>
      </w:r>
      <w:r w:rsidR="00545D1B" w:rsidRPr="00742A04">
        <w:t xml:space="preserve"> </w:t>
      </w:r>
      <w:r w:rsidR="004F2F8A" w:rsidRPr="00742A04">
        <w:t>reconocimiento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patern</w:t>
      </w:r>
      <w:r w:rsidR="00502E16" w:rsidRPr="00742A04">
        <w:t>idad</w:t>
      </w:r>
      <w:r w:rsidR="00545D1B" w:rsidRPr="00742A04">
        <w:t xml:space="preserve">. </w:t>
      </w:r>
      <w:r w:rsidR="00894371" w:rsidRPr="00742A04">
        <w:t xml:space="preserve">Si </w:t>
      </w:r>
      <w:r w:rsidR="00894371">
        <w:t>el padre</w:t>
      </w:r>
      <w:r w:rsidR="00894371" w:rsidRPr="00742A04">
        <w:t xml:space="preserve"> y </w:t>
      </w:r>
      <w:r w:rsidR="00894371">
        <w:t xml:space="preserve">la </w:t>
      </w:r>
      <w:r w:rsidR="00894371" w:rsidRPr="00742A04">
        <w:t>madre</w:t>
      </w:r>
      <w:r w:rsidR="00894371">
        <w:t xml:space="preserve"> desean convenir e</w:t>
      </w:r>
      <w:r w:rsidR="00894371" w:rsidRPr="00742A04">
        <w:t xml:space="preserve">n </w:t>
      </w:r>
      <w:r w:rsidR="00894371">
        <w:t>la potestad parental conjunta</w:t>
      </w:r>
      <w:r w:rsidR="00894371" w:rsidRPr="00742A04">
        <w:t xml:space="preserve"> </w:t>
      </w:r>
      <w:r w:rsidR="00894371">
        <w:t>en una fecha posterior, p</w:t>
      </w:r>
      <w:r w:rsidR="00894371">
        <w:t>o</w:t>
      </w:r>
      <w:r w:rsidR="00894371">
        <w:t xml:space="preserve">drán </w:t>
      </w:r>
      <w:r w:rsidR="00894371" w:rsidRPr="00742A04">
        <w:t>no</w:t>
      </w:r>
      <w:r w:rsidR="00894371">
        <w:t>tificarlo a</w:t>
      </w:r>
      <w:r w:rsidR="00894371" w:rsidRPr="00742A04">
        <w:t xml:space="preserve">l Registro Civil </w:t>
      </w:r>
      <w:r w:rsidR="00894371">
        <w:t>por escrito</w:t>
      </w:r>
      <w:r w:rsidR="00894371" w:rsidRPr="00742A04">
        <w:t>.</w:t>
      </w:r>
    </w:p>
    <w:p w:rsidR="00545D1B" w:rsidRPr="00742A04" w:rsidRDefault="0063079C" w:rsidP="00466626">
      <w:pPr>
        <w:pStyle w:val="SingleTxt"/>
        <w:ind w:firstLine="475"/>
      </w:pPr>
      <w:r w:rsidRPr="00742A04">
        <w:t>Los padres y madres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0D49BF" w:rsidRPr="00742A04">
        <w:t>ha</w:t>
      </w:r>
      <w:r w:rsidR="000D49BF">
        <w:t>yan tenido hijos</w:t>
      </w:r>
      <w:r w:rsidR="00545D1B" w:rsidRPr="00742A04">
        <w:t xml:space="preserve"> </w:t>
      </w:r>
      <w:r w:rsidR="00CB0483" w:rsidRPr="00742A04">
        <w:t>sin</w:t>
      </w:r>
      <w:r w:rsidR="00545D1B" w:rsidRPr="00742A04">
        <w:t xml:space="preserve"> </w:t>
      </w:r>
      <w:r w:rsidR="000D49BF">
        <w:t>vivir</w:t>
      </w:r>
      <w:r w:rsidR="00545D1B" w:rsidRPr="00742A04">
        <w:t xml:space="preserve"> </w:t>
      </w:r>
      <w:r w:rsidR="00D75341" w:rsidRPr="00742A04">
        <w:t>junto</w:t>
      </w:r>
      <w:r w:rsidR="000D49BF">
        <w:t>s</w:t>
      </w:r>
      <w:r w:rsidR="00545D1B" w:rsidRPr="00742A04">
        <w:t xml:space="preserve"> </w:t>
      </w:r>
      <w:r w:rsidR="00E77E20" w:rsidRPr="00742A04">
        <w:t>pero</w:t>
      </w:r>
      <w:r w:rsidR="00545D1B" w:rsidRPr="00742A04">
        <w:t xml:space="preserve"> </w:t>
      </w:r>
      <w:r w:rsidR="003E5775" w:rsidRPr="00742A04">
        <w:t>que</w:t>
      </w:r>
      <w:r w:rsidR="00545D1B" w:rsidRPr="00742A04">
        <w:t xml:space="preserve"> </w:t>
      </w:r>
      <w:r w:rsidR="000D49BF">
        <w:t>post</w:t>
      </w:r>
      <w:r w:rsidR="000D49BF">
        <w:t>e</w:t>
      </w:r>
      <w:r w:rsidR="000D49BF">
        <w:t>riormente vivan</w:t>
      </w:r>
      <w:r w:rsidR="00545D1B" w:rsidRPr="00742A04">
        <w:t xml:space="preserve"> </w:t>
      </w:r>
      <w:r w:rsidR="00D75341" w:rsidRPr="00742A04">
        <w:t>junto</w:t>
      </w:r>
      <w:r w:rsidR="000D49BF">
        <w:t>s</w:t>
      </w:r>
      <w:r w:rsidR="00545D1B" w:rsidRPr="00742A04">
        <w:t xml:space="preserve"> </w:t>
      </w:r>
      <w:r w:rsidR="005206AC" w:rsidRPr="00742A04">
        <w:t>no</w:t>
      </w:r>
      <w:r w:rsidR="00545D1B" w:rsidRPr="00742A04">
        <w:t xml:space="preserve"> </w:t>
      </w:r>
      <w:r w:rsidR="000D49BF">
        <w:t xml:space="preserve">tendrán </w:t>
      </w:r>
      <w:r w:rsidR="008176B2" w:rsidRPr="00742A04">
        <w:t>automática</w:t>
      </w:r>
      <w:r w:rsidR="005F7B32" w:rsidRPr="00742A04">
        <w:t xml:space="preserve">mente </w:t>
      </w:r>
      <w:r w:rsidR="006C2FDB">
        <w:t>la potestad parental conjunta</w:t>
      </w:r>
      <w:r w:rsidR="00545D1B" w:rsidRPr="00742A04">
        <w:t xml:space="preserve"> </w:t>
      </w:r>
      <w:r w:rsidR="006B65CD" w:rsidRPr="00742A04">
        <w:t>como resultado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F97F41" w:rsidRPr="00742A04">
        <w:t>su</w:t>
      </w:r>
      <w:r w:rsidR="00545D1B" w:rsidRPr="00742A04">
        <w:t xml:space="preserve"> notifica</w:t>
      </w:r>
      <w:r w:rsidR="00C14BFF" w:rsidRPr="00742A04">
        <w:t>ción</w:t>
      </w:r>
      <w:r w:rsidR="00FD7D4E" w:rsidRPr="00742A04">
        <w:t xml:space="preserve"> de </w:t>
      </w:r>
      <w:r w:rsidR="005B2FE4" w:rsidRPr="00742A04">
        <w:t>cambio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0D49BF">
        <w:t>dirección</w:t>
      </w:r>
      <w:r w:rsidR="00545D1B" w:rsidRPr="00742A04">
        <w:t xml:space="preserve">. </w:t>
      </w:r>
      <w:r w:rsidR="000D49BF">
        <w:t>D</w:t>
      </w:r>
      <w:r w:rsidR="007D4688" w:rsidRPr="00742A04">
        <w:t>ebe</w:t>
      </w:r>
      <w:r w:rsidR="000D49BF">
        <w:t>rán</w:t>
      </w:r>
      <w:r w:rsidR="00545D1B" w:rsidRPr="00742A04">
        <w:t xml:space="preserve"> notif</w:t>
      </w:r>
      <w:r w:rsidR="000D49BF">
        <w:t>icar a</w:t>
      </w:r>
      <w:r w:rsidR="00BB4DB1" w:rsidRPr="00742A04">
        <w:t xml:space="preserve">l </w:t>
      </w:r>
      <w:r w:rsidR="008B63DF" w:rsidRPr="00742A04">
        <w:t>R</w:t>
      </w:r>
      <w:r w:rsidR="008B63DF" w:rsidRPr="00742A04">
        <w:t>e</w:t>
      </w:r>
      <w:r w:rsidR="008B63DF" w:rsidRPr="00742A04">
        <w:t>gistro Civil</w:t>
      </w:r>
      <w:r w:rsidR="00545D1B" w:rsidRPr="00742A04">
        <w:t xml:space="preserve"> </w:t>
      </w:r>
      <w:r w:rsidR="000D49BF">
        <w:t>que desean tener</w:t>
      </w:r>
      <w:r w:rsidR="00545D1B" w:rsidRPr="00742A04">
        <w:t xml:space="preserve"> </w:t>
      </w:r>
      <w:r w:rsidR="006C2FDB">
        <w:t>la potestad parental conjunta</w:t>
      </w:r>
      <w:r w:rsidR="00545D1B" w:rsidRPr="00742A04">
        <w:t xml:space="preserve">, </w:t>
      </w:r>
      <w:r w:rsidR="008E5EBF" w:rsidRPr="00742A04">
        <w:t>o</w:t>
      </w:r>
      <w:r w:rsidR="00545D1B" w:rsidRPr="00742A04">
        <w:t xml:space="preserve"> </w:t>
      </w:r>
      <w:r w:rsidR="007D4688" w:rsidRPr="00742A04">
        <w:t>debe</w:t>
      </w:r>
      <w:r w:rsidR="000D49BF">
        <w:t>rán presentar una</w:t>
      </w:r>
      <w:r w:rsidR="00545D1B" w:rsidRPr="00742A04">
        <w:t xml:space="preserve"> declara</w:t>
      </w:r>
      <w:r w:rsidR="00C14BFF" w:rsidRPr="00742A04">
        <w:t xml:space="preserve">ción </w:t>
      </w:r>
      <w:r w:rsidR="000D49BF" w:rsidRPr="00742A04">
        <w:t xml:space="preserve">especial </w:t>
      </w:r>
      <w:r w:rsidR="000D49BF">
        <w:t>de que</w:t>
      </w:r>
      <w:r w:rsidR="00545D1B" w:rsidRPr="00742A04">
        <w:t xml:space="preserve"> </w:t>
      </w:r>
      <w:r w:rsidR="006137EC" w:rsidRPr="00742A04">
        <w:t>son</w:t>
      </w:r>
      <w:r w:rsidR="00545D1B" w:rsidRPr="00742A04">
        <w:t xml:space="preserve"> </w:t>
      </w:r>
      <w:r w:rsidR="00AD5494" w:rsidRPr="00742A04">
        <w:t>concubino</w:t>
      </w:r>
      <w:r w:rsidR="00545D1B" w:rsidRPr="00742A04">
        <w:t xml:space="preserve">s. </w:t>
      </w:r>
      <w:r w:rsidR="007B45F5" w:rsidRPr="00742A04">
        <w:t>El padre</w:t>
      </w:r>
      <w:r w:rsidR="00545D1B" w:rsidRPr="00742A04">
        <w:t xml:space="preserve"> </w:t>
      </w:r>
      <w:r w:rsidR="000D49BF">
        <w:t>podrá tener la</w:t>
      </w:r>
      <w:r w:rsidR="00545D1B" w:rsidRPr="00742A04">
        <w:t xml:space="preserve"> </w:t>
      </w:r>
      <w:r w:rsidR="006C2FDB">
        <w:t>potestad pare</w:t>
      </w:r>
      <w:r w:rsidR="006C2FDB">
        <w:t>n</w:t>
      </w:r>
      <w:r w:rsidR="006C2FDB">
        <w:t>tal</w:t>
      </w:r>
      <w:r w:rsidR="00545D1B" w:rsidRPr="00742A04">
        <w:t xml:space="preserve"> </w:t>
      </w:r>
      <w:r w:rsidR="000D49BF">
        <w:t xml:space="preserve">exclusiva </w:t>
      </w:r>
      <w:r w:rsidR="00232DF9" w:rsidRPr="00742A04">
        <w:t>si</w:t>
      </w:r>
      <w:r w:rsidR="00545D1B" w:rsidRPr="00742A04">
        <w:t xml:space="preserve"> </w:t>
      </w:r>
      <w:r w:rsidR="000D49BF">
        <w:t>v</w:t>
      </w:r>
      <w:r w:rsidR="00545D1B" w:rsidRPr="00742A04">
        <w:t xml:space="preserve">ive </w:t>
      </w:r>
      <w:r w:rsidR="004A0730" w:rsidRPr="00742A04">
        <w:t>con</w:t>
      </w:r>
      <w:r w:rsidR="00545D1B" w:rsidRPr="00742A04">
        <w:t xml:space="preserve"> </w:t>
      </w:r>
      <w:r w:rsidR="000D49BF">
        <w:t>el hij</w:t>
      </w:r>
      <w:r w:rsidR="003E3CD7">
        <w:t>o</w:t>
      </w:r>
      <w:r w:rsidR="00545D1B" w:rsidRPr="00742A04">
        <w:t xml:space="preserve">. </w:t>
      </w:r>
      <w:r w:rsidR="004A0730" w:rsidRPr="00742A04">
        <w:t>En</w:t>
      </w:r>
      <w:r w:rsidR="00545D1B" w:rsidRPr="00742A04">
        <w:t xml:space="preserve"> </w:t>
      </w:r>
      <w:r w:rsidR="000D49BF">
        <w:t>ese</w:t>
      </w:r>
      <w:r w:rsidR="00545D1B" w:rsidRPr="00742A04">
        <w:t xml:space="preserve"> </w:t>
      </w:r>
      <w:r w:rsidR="00673B5D" w:rsidRPr="00742A04">
        <w:t>caso</w:t>
      </w:r>
      <w:r w:rsidR="00545D1B" w:rsidRPr="00742A04">
        <w:t xml:space="preserve">, </w:t>
      </w:r>
      <w:r w:rsidR="000D49BF">
        <w:t>el padre</w:t>
      </w:r>
      <w:r w:rsidRPr="00742A04">
        <w:t xml:space="preserve"> y</w:t>
      </w:r>
      <w:r w:rsidR="000D49BF">
        <w:t xml:space="preserve"> la madre</w:t>
      </w:r>
      <w:r w:rsidR="00545D1B" w:rsidRPr="00742A04">
        <w:t xml:space="preserve"> </w:t>
      </w:r>
      <w:r w:rsidR="007D4688" w:rsidRPr="00742A04">
        <w:t>debe</w:t>
      </w:r>
      <w:r w:rsidR="000D49BF">
        <w:t>n enviar</w:t>
      </w:r>
      <w:r w:rsidR="00545D1B" w:rsidRPr="00742A04">
        <w:t xml:space="preserve"> </w:t>
      </w:r>
      <w:r w:rsidR="000D49BF" w:rsidRPr="00742A04">
        <w:t xml:space="preserve">al Registro Civil </w:t>
      </w:r>
      <w:r w:rsidR="000D49BF">
        <w:t>el</w:t>
      </w:r>
      <w:r w:rsidR="00545D1B" w:rsidRPr="00742A04">
        <w:t xml:space="preserve"> </w:t>
      </w:r>
      <w:r w:rsidR="0005098D" w:rsidRPr="00742A04">
        <w:t>acuerdo</w:t>
      </w:r>
      <w:r w:rsidR="00545D1B" w:rsidRPr="00742A04">
        <w:t xml:space="preserve"> </w:t>
      </w:r>
      <w:r w:rsidR="000D49BF">
        <w:t>que celebren al respecto</w:t>
      </w:r>
      <w:r w:rsidR="00545D1B" w:rsidRPr="00742A04">
        <w:t>.</w:t>
      </w:r>
    </w:p>
    <w:p w:rsidR="00545D1B" w:rsidRPr="00742A04" w:rsidRDefault="00DC0DB8" w:rsidP="00E0359D">
      <w:pPr>
        <w:pStyle w:val="SingleTxt"/>
        <w:keepNext/>
        <w:rPr>
          <w:i/>
        </w:rPr>
      </w:pPr>
      <w:r w:rsidRPr="00742A04">
        <w:rPr>
          <w:i/>
        </w:rPr>
        <w:t>Medidas para</w:t>
      </w:r>
      <w:r w:rsidR="00545D1B" w:rsidRPr="00742A04">
        <w:rPr>
          <w:i/>
        </w:rPr>
        <w:t xml:space="preserve"> </w:t>
      </w:r>
      <w:r w:rsidRPr="00742A04">
        <w:rPr>
          <w:i/>
        </w:rPr>
        <w:t>lesbianas</w:t>
      </w:r>
      <w:r w:rsidR="00545D1B" w:rsidRPr="00742A04">
        <w:rPr>
          <w:i/>
        </w:rPr>
        <w:t xml:space="preserve"> </w:t>
      </w:r>
      <w:r w:rsidR="00877AA0" w:rsidRPr="00742A04">
        <w:rPr>
          <w:i/>
        </w:rPr>
        <w:t>y</w:t>
      </w:r>
      <w:r w:rsidR="00545D1B" w:rsidRPr="00742A04">
        <w:rPr>
          <w:i/>
        </w:rPr>
        <w:t xml:space="preserve"> </w:t>
      </w:r>
      <w:r w:rsidRPr="00742A04">
        <w:rPr>
          <w:i/>
        </w:rPr>
        <w:t>homosexuales</w:t>
      </w:r>
    </w:p>
    <w:p w:rsidR="00545D1B" w:rsidRPr="00742A04" w:rsidRDefault="008F0C8E" w:rsidP="00466626">
      <w:pPr>
        <w:pStyle w:val="SingleTxt"/>
        <w:ind w:firstLine="475"/>
      </w:pPr>
      <w:r w:rsidRPr="00742A04">
        <w:t>El Gobierno</w:t>
      </w:r>
      <w:r w:rsidR="00545D1B" w:rsidRPr="00742A04">
        <w:t xml:space="preserve"> </w:t>
      </w:r>
      <w:r w:rsidR="006137EC" w:rsidRPr="00742A04">
        <w:t>fortalecer</w:t>
      </w:r>
      <w:r w:rsidR="009C766C">
        <w:t>á</w:t>
      </w:r>
      <w:r w:rsidR="00545D1B" w:rsidRPr="00742A04">
        <w:t xml:space="preserve"> </w:t>
      </w:r>
      <w:r w:rsidR="004D313C" w:rsidRPr="00742A04">
        <w:t>los derechos</w:t>
      </w:r>
      <w:r w:rsidR="00545D1B" w:rsidRPr="00742A04">
        <w:t xml:space="preserve"> </w:t>
      </w:r>
      <w:r w:rsidR="004A0730" w:rsidRPr="00742A04">
        <w:t>de</w:t>
      </w:r>
      <w:r w:rsidR="00545D1B" w:rsidRPr="00742A04">
        <w:t xml:space="preserve"> </w:t>
      </w:r>
      <w:r w:rsidR="009C766C">
        <w:t xml:space="preserve">las </w:t>
      </w:r>
      <w:r w:rsidR="00DC0DB8" w:rsidRPr="00742A04">
        <w:t>lesbianas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C766C">
        <w:t xml:space="preserve">los </w:t>
      </w:r>
      <w:r w:rsidR="00DC0DB8" w:rsidRPr="00742A04">
        <w:t>homosexuales</w:t>
      </w:r>
      <w:r w:rsidR="00545D1B" w:rsidRPr="00742A04">
        <w:t xml:space="preserve">, </w:t>
      </w:r>
      <w:r w:rsidR="00CE7870" w:rsidRPr="00742A04">
        <w:t>co</w:t>
      </w:r>
      <w:r w:rsidR="00CE7870" w:rsidRPr="00742A04">
        <w:t>n</w:t>
      </w:r>
      <w:r w:rsidR="00CE7870" w:rsidRPr="00742A04">
        <w:t>tribuir</w:t>
      </w:r>
      <w:r w:rsidR="009C766C">
        <w:t>á</w:t>
      </w:r>
      <w:r w:rsidR="00CE7870" w:rsidRPr="00742A04">
        <w:t xml:space="preserve"> a</w:t>
      </w:r>
      <w:r w:rsidR="00545D1B" w:rsidRPr="00742A04">
        <w:t xml:space="preserve"> </w:t>
      </w:r>
      <w:r w:rsidR="009C766C">
        <w:t xml:space="preserve">que las </w:t>
      </w:r>
      <w:r w:rsidR="00DC0DB8" w:rsidRPr="00742A04">
        <w:t>lesbianas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9C766C">
        <w:t xml:space="preserve">los </w:t>
      </w:r>
      <w:r w:rsidR="00DC0DB8" w:rsidRPr="00742A04">
        <w:t>homosexuales</w:t>
      </w:r>
      <w:r w:rsidR="00545D1B" w:rsidRPr="00742A04">
        <w:t xml:space="preserve"> </w:t>
      </w:r>
      <w:r w:rsidR="009C766C">
        <w:t>vivan abiertamente</w:t>
      </w:r>
      <w:r w:rsidR="00545D1B" w:rsidRPr="00742A04">
        <w:t xml:space="preserve">, </w:t>
      </w:r>
      <w:r w:rsidR="00877AA0" w:rsidRPr="00742A04">
        <w:t>y</w:t>
      </w:r>
      <w:r w:rsidR="00545D1B" w:rsidRPr="00742A04">
        <w:t xml:space="preserve"> </w:t>
      </w:r>
      <w:r w:rsidR="009C766C">
        <w:t xml:space="preserve">luchará </w:t>
      </w:r>
      <w:r w:rsidR="00F43124" w:rsidRPr="00742A04">
        <w:t>act</w:t>
      </w:r>
      <w:r w:rsidR="00F43124" w:rsidRPr="00742A04">
        <w:t>i</w:t>
      </w:r>
      <w:r w:rsidR="00F43124" w:rsidRPr="00742A04">
        <w:t>vamente</w:t>
      </w:r>
      <w:r w:rsidR="00545D1B" w:rsidRPr="00742A04">
        <w:t xml:space="preserve"> co</w:t>
      </w:r>
      <w:r w:rsidR="009C766C">
        <w:t>ntra la</w:t>
      </w:r>
      <w:r w:rsidR="00545D1B" w:rsidRPr="00742A04">
        <w:t xml:space="preserve"> </w:t>
      </w:r>
      <w:r w:rsidR="00A05847" w:rsidRPr="00742A04">
        <w:t>discriminación</w:t>
      </w:r>
      <w:r w:rsidR="00545D1B" w:rsidRPr="00742A04">
        <w:t>.</w:t>
      </w:r>
    </w:p>
    <w:p w:rsidR="00545D1B" w:rsidRPr="00742A04" w:rsidRDefault="008F0C8E" w:rsidP="00466626">
      <w:pPr>
        <w:pStyle w:val="SingleTxt"/>
        <w:ind w:firstLine="475"/>
      </w:pPr>
      <w:r w:rsidRPr="00742A04">
        <w:t>El Ministerio</w:t>
      </w:r>
      <w:r w:rsidR="004B2748" w:rsidRPr="00742A04">
        <w:t xml:space="preserve"> </w:t>
      </w:r>
      <w:r w:rsidR="00F43124" w:rsidRPr="00742A04">
        <w:t xml:space="preserve">de la </w:t>
      </w:r>
      <w:r w:rsidR="004B2748" w:rsidRPr="00742A04">
        <w:t>Infancia y la Igualdad</w:t>
      </w:r>
      <w:r w:rsidR="00545D1B" w:rsidRPr="00742A04">
        <w:t xml:space="preserve"> </w:t>
      </w:r>
      <w:r w:rsidR="00FD7D4E" w:rsidRPr="00742A04">
        <w:t xml:space="preserve">ha </w:t>
      </w:r>
      <w:r w:rsidR="000857B7">
        <w:t>comenzado a</w:t>
      </w:r>
      <w:r w:rsidR="00116976" w:rsidRPr="00742A04">
        <w:t xml:space="preserve"> trabaj</w:t>
      </w:r>
      <w:r w:rsidR="000857B7">
        <w:t>ar en la elab</w:t>
      </w:r>
      <w:r w:rsidR="000857B7">
        <w:t>o</w:t>
      </w:r>
      <w:r w:rsidR="000857B7">
        <w:t>ración de una</w:t>
      </w:r>
      <w:r w:rsidR="00545D1B" w:rsidRPr="00742A04">
        <w:t xml:space="preserve"> </w:t>
      </w:r>
      <w:r w:rsidR="008B63DF" w:rsidRPr="00742A04">
        <w:t xml:space="preserve">Ley </w:t>
      </w:r>
      <w:r w:rsidR="000857B7" w:rsidRPr="00742A04">
        <w:t xml:space="preserve">común </w:t>
      </w:r>
      <w:r w:rsidR="008B63DF" w:rsidRPr="00742A04">
        <w:t>sobre el Matrimonio</w:t>
      </w:r>
      <w:r w:rsidR="00545D1B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DC0DB8" w:rsidRPr="00742A04">
        <w:t>heterosexuales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DC0DB8" w:rsidRPr="00742A04">
        <w:t>homosexuales</w:t>
      </w:r>
      <w:r w:rsidR="00545D1B" w:rsidRPr="00742A04">
        <w:t xml:space="preserve">. </w:t>
      </w:r>
      <w:r w:rsidR="00CB0483" w:rsidRPr="00742A04">
        <w:t>Sin embargo</w:t>
      </w:r>
      <w:r w:rsidR="00545D1B" w:rsidRPr="00742A04">
        <w:t xml:space="preserve">, </w:t>
      </w:r>
      <w:r w:rsidR="00E73E8E" w:rsidRPr="00742A04">
        <w:t>los miembros</w:t>
      </w:r>
      <w:r w:rsidR="0030626A" w:rsidRPr="00742A04">
        <w:t xml:space="preserve"> del </w:t>
      </w:r>
      <w:r w:rsidRPr="00742A04">
        <w:t>Gobierno</w:t>
      </w:r>
      <w:r w:rsidR="00545D1B" w:rsidRPr="00742A04">
        <w:t xml:space="preserve"> </w:t>
      </w:r>
      <w:r w:rsidR="000857B7">
        <w:t>no están de acuerdo sobre esta cuestión</w:t>
      </w:r>
      <w:r w:rsidR="00545D1B" w:rsidRPr="00742A04">
        <w:t xml:space="preserve"> </w:t>
      </w:r>
      <w:r w:rsidR="00BB4DB1" w:rsidRPr="00742A04">
        <w:t xml:space="preserve">y el </w:t>
      </w:r>
      <w:r w:rsidR="00130F7F" w:rsidRPr="00742A04">
        <w:t>Partido de Centro</w:t>
      </w:r>
      <w:r w:rsidR="00545D1B" w:rsidRPr="00742A04">
        <w:t xml:space="preserve"> </w:t>
      </w:r>
      <w:r w:rsidR="000857B7">
        <w:t>tiene una</w:t>
      </w:r>
      <w:r w:rsidR="00545D1B" w:rsidRPr="00742A04">
        <w:t xml:space="preserve"> posi</w:t>
      </w:r>
      <w:r w:rsidR="00C14BFF" w:rsidRPr="00742A04">
        <w:t xml:space="preserve">ción </w:t>
      </w:r>
      <w:r w:rsidR="000857B7" w:rsidRPr="00742A04">
        <w:t xml:space="preserve">independiente </w:t>
      </w:r>
      <w:r w:rsidR="000857B7">
        <w:t>a este respecto</w:t>
      </w:r>
      <w:r w:rsidR="00C27C42" w:rsidRPr="00742A04">
        <w:t>.</w:t>
      </w:r>
    </w:p>
    <w:p w:rsidR="001C6272" w:rsidRDefault="00894371" w:rsidP="00D5425F">
      <w:pPr>
        <w:pStyle w:val="SingleTxt"/>
        <w:ind w:firstLine="475"/>
      </w:pPr>
      <w:r>
        <w:t>La</w:t>
      </w:r>
      <w:r w:rsidRPr="00742A04">
        <w:t xml:space="preserve"> Asociación </w:t>
      </w:r>
      <w:r>
        <w:t>Naci</w:t>
      </w:r>
      <w:r w:rsidRPr="00742A04">
        <w:t xml:space="preserve">onal </w:t>
      </w:r>
      <w:r>
        <w:t xml:space="preserve">para la </w:t>
      </w:r>
      <w:r w:rsidRPr="00742A04">
        <w:t xml:space="preserve">Liberación de </w:t>
      </w:r>
      <w:r>
        <w:t xml:space="preserve">las </w:t>
      </w:r>
      <w:r w:rsidRPr="00742A04">
        <w:t>Lesbian</w:t>
      </w:r>
      <w:r>
        <w:t>as</w:t>
      </w:r>
      <w:r w:rsidRPr="00742A04">
        <w:t xml:space="preserve"> y </w:t>
      </w:r>
      <w:r>
        <w:t xml:space="preserve">los </w:t>
      </w:r>
      <w:r w:rsidRPr="00742A04">
        <w:t>Gay</w:t>
      </w:r>
      <w:r>
        <w:t>s</w:t>
      </w:r>
      <w:r w:rsidRPr="00742A04">
        <w:t xml:space="preserve"> de N</w:t>
      </w:r>
      <w:r w:rsidRPr="00742A04">
        <w:t>o</w:t>
      </w:r>
      <w:r w:rsidRPr="00742A04">
        <w:t xml:space="preserve">ruega (LLH) recibe </w:t>
      </w:r>
      <w:r>
        <w:t>un</w:t>
      </w:r>
      <w:r w:rsidRPr="00742A04">
        <w:t xml:space="preserve"> sustancial </w:t>
      </w:r>
      <w:r>
        <w:t>subsidio de funcionamiento</w:t>
      </w:r>
      <w:r w:rsidRPr="00742A04">
        <w:t>, entre otras c</w:t>
      </w:r>
      <w:r w:rsidRPr="00742A04">
        <w:t>o</w:t>
      </w:r>
      <w:r w:rsidRPr="00742A04">
        <w:t xml:space="preserve">sas a fin de mejorar </w:t>
      </w:r>
      <w:r>
        <w:t>la capacidad de la</w:t>
      </w:r>
      <w:r w:rsidRPr="00742A04">
        <w:t xml:space="preserve"> organización</w:t>
      </w:r>
      <w:r>
        <w:t xml:space="preserve"> para prestar</w:t>
      </w:r>
      <w:r w:rsidRPr="00742A04">
        <w:t xml:space="preserve"> apoyo </w:t>
      </w:r>
      <w:r>
        <w:t xml:space="preserve">a las </w:t>
      </w:r>
      <w:r w:rsidRPr="00742A04">
        <w:t>asociaciones</w:t>
      </w:r>
      <w:r w:rsidRPr="002325C4">
        <w:t xml:space="preserve"> </w:t>
      </w:r>
      <w:r w:rsidRPr="00742A04">
        <w:t>l</w:t>
      </w:r>
      <w:r w:rsidRPr="00742A04">
        <w:t>o</w:t>
      </w:r>
      <w:r w:rsidRPr="00742A04">
        <w:t>cal</w:t>
      </w:r>
      <w:r>
        <w:t>es</w:t>
      </w:r>
      <w:r w:rsidRPr="00742A04">
        <w:t xml:space="preserve"> y cumplir </w:t>
      </w:r>
      <w:r>
        <w:t xml:space="preserve">la </w:t>
      </w:r>
      <w:r w:rsidRPr="00742A04">
        <w:t>función</w:t>
      </w:r>
      <w:r>
        <w:t xml:space="preserve"> de órgano fiscalizador que cumple la </w:t>
      </w:r>
      <w:r w:rsidRPr="00742A04">
        <w:t xml:space="preserve">organización. </w:t>
      </w:r>
      <w:r w:rsidR="0058094F" w:rsidRPr="00742A04">
        <w:t>A fin de</w:t>
      </w:r>
      <w:r w:rsidR="00545D1B" w:rsidRPr="00742A04">
        <w:t xml:space="preserve"> </w:t>
      </w:r>
      <w:r w:rsidR="002325C4">
        <w:t xml:space="preserve">alentar </w:t>
      </w:r>
      <w:r w:rsidR="007D4688" w:rsidRPr="00742A04">
        <w:t>una amplia gama</w:t>
      </w:r>
      <w:r w:rsidR="00545D1B" w:rsidRPr="00742A04">
        <w:t xml:space="preserve"> </w:t>
      </w:r>
      <w:r w:rsidR="00C076F2" w:rsidRPr="00742A04">
        <w:t xml:space="preserve">de </w:t>
      </w:r>
      <w:r w:rsidR="00502E16" w:rsidRPr="00742A04">
        <w:t>esfuerzos</w:t>
      </w:r>
      <w:r w:rsidR="00EA6AC2" w:rsidRPr="00742A04">
        <w:t xml:space="preserve"> por promover </w:t>
      </w:r>
      <w:r w:rsidR="004D313C" w:rsidRPr="00742A04">
        <w:t>los derechos</w:t>
      </w:r>
      <w:r w:rsidR="00545D1B" w:rsidRPr="00742A04">
        <w:t xml:space="preserve"> </w:t>
      </w:r>
      <w:r w:rsidR="004A0730" w:rsidRPr="00742A04">
        <w:t>de</w:t>
      </w:r>
      <w:r w:rsidR="002325C4">
        <w:t xml:space="preserve"> las</w:t>
      </w:r>
      <w:r w:rsidR="00545D1B" w:rsidRPr="00742A04">
        <w:t xml:space="preserve"> </w:t>
      </w:r>
      <w:r w:rsidR="00DC0DB8" w:rsidRPr="00742A04">
        <w:t>lesbianas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2325C4">
        <w:t xml:space="preserve">los </w:t>
      </w:r>
      <w:r w:rsidR="00DC0DB8" w:rsidRPr="00742A04">
        <w:t>homosexuales</w:t>
      </w:r>
      <w:r w:rsidR="00545D1B" w:rsidRPr="00742A04">
        <w:t xml:space="preserve">, </w:t>
      </w:r>
      <w:r w:rsidR="002325C4">
        <w:t>s</w:t>
      </w:r>
      <w:r w:rsidR="008C4612" w:rsidRPr="00742A04">
        <w:t xml:space="preserve">e ha </w:t>
      </w:r>
      <w:r w:rsidRPr="00742A04">
        <w:t>asignado</w:t>
      </w:r>
      <w:r>
        <w:t xml:space="preserve"> </w:t>
      </w:r>
      <w:r w:rsidRPr="00742A04">
        <w:t>financiación</w:t>
      </w:r>
      <w:r w:rsidR="002325C4" w:rsidRPr="00742A04">
        <w:t xml:space="preserve"> </w:t>
      </w:r>
      <w:r w:rsidR="00F43124" w:rsidRPr="00742A04">
        <w:t>para</w:t>
      </w:r>
      <w:r w:rsidR="00545D1B" w:rsidRPr="00742A04">
        <w:t xml:space="preserve"> </w:t>
      </w:r>
      <w:r w:rsidR="00DC0DB8" w:rsidRPr="00742A04">
        <w:t>medidas</w:t>
      </w:r>
      <w:r w:rsidR="00545D1B" w:rsidRPr="00742A04">
        <w:t xml:space="preserve"> </w:t>
      </w:r>
      <w:r w:rsidR="00877AA0" w:rsidRPr="00742A04">
        <w:t>y</w:t>
      </w:r>
      <w:r w:rsidR="00545D1B" w:rsidRPr="00742A04">
        <w:t xml:space="preserve"> </w:t>
      </w:r>
      <w:r w:rsidR="0059357E" w:rsidRPr="00742A04">
        <w:t>proyectos</w:t>
      </w:r>
      <w:r w:rsidR="00545D1B" w:rsidRPr="00742A04">
        <w:t xml:space="preserve">. </w:t>
      </w:r>
      <w:r>
        <w:t>Se s</w:t>
      </w:r>
      <w:r>
        <w:t>u</w:t>
      </w:r>
      <w:r>
        <w:t>ministra un subsidio de funcionamiento</w:t>
      </w:r>
      <w:r w:rsidRPr="00742A04">
        <w:t xml:space="preserve"> para </w:t>
      </w:r>
      <w:r w:rsidRPr="00742A04">
        <w:rPr>
          <w:i/>
        </w:rPr>
        <w:t>Blikk</w:t>
      </w:r>
      <w:r w:rsidRPr="00742A04">
        <w:t xml:space="preserve">, </w:t>
      </w:r>
      <w:r>
        <w:t xml:space="preserve">la única </w:t>
      </w:r>
      <w:r w:rsidRPr="00742A04">
        <w:t>publicación para lesbi</w:t>
      </w:r>
      <w:r w:rsidRPr="00742A04">
        <w:t>a</w:t>
      </w:r>
      <w:r w:rsidRPr="00742A04">
        <w:t xml:space="preserve">nas y homosexuales </w:t>
      </w:r>
      <w:r>
        <w:t>existente en el</w:t>
      </w:r>
      <w:r w:rsidRPr="00742A04">
        <w:t xml:space="preserve"> país.</w:t>
      </w:r>
    </w:p>
    <w:p w:rsidR="00E114BE" w:rsidRPr="00742A04" w:rsidRDefault="00E114BE" w:rsidP="00D5425F">
      <w:pPr>
        <w:pStyle w:val="SingleTxt"/>
        <w:ind w:firstLine="475"/>
      </w:pPr>
      <w:r>
        <w:rPr>
          <w:noProof/>
          <w:w w:val="100"/>
          <w:lang w:val="en-US"/>
        </w:rPr>
        <w:pict>
          <v:line id="_x0000_s3735" style="position:absolute;left:0;text-align:left;z-index:2" from="210.2pt,21.1pt" to="282.2pt,21.1pt" strokeweight=".25pt"/>
        </w:pict>
      </w:r>
    </w:p>
    <w:sectPr w:rsidR="00E114BE" w:rsidRPr="00742A04" w:rsidSect="00545D1B">
      <w:endnotePr>
        <w:numFmt w:val="decimal"/>
      </w:endnotePr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5-04T13:18:00Z" w:initials="Start">
    <w:p w:rsidR="00E114BE" w:rsidRDefault="00E114BE">
      <w:pPr>
        <w:pStyle w:val="CommentText"/>
        <w:rPr>
          <w:lang w:val="en-US"/>
        </w:rPr>
      </w:pPr>
      <w:r>
        <w:fldChar w:fldCharType="begin"/>
      </w:r>
      <w:r>
        <w:rPr>
          <w:lang w:val="en-US"/>
        </w:rPr>
        <w:instrText>PAGE \# "'Page: '#'</w:instrText>
      </w:r>
      <w:r>
        <w:rPr>
          <w:lang w:val="en-US"/>
        </w:rPr>
        <w:br/>
        <w:instrText>'"</w:instrText>
      </w:r>
      <w:r>
        <w:rPr>
          <w:rStyle w:val="CommentReference"/>
          <w:lang w:val="en-US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rPr>
          <w:lang w:val="en-US"/>
        </w:rPr>
        <w:t>&lt;&lt;ODS JOB NO&gt;&gt;N0728619S&lt;&lt;ODS JOB NO&gt;&gt;</w:t>
      </w:r>
    </w:p>
    <w:p w:rsidR="00E114BE" w:rsidRPr="0014175D" w:rsidRDefault="00E114BE">
      <w:pPr>
        <w:pStyle w:val="CommentText"/>
        <w:rPr>
          <w:lang w:val="en-US"/>
        </w:rPr>
      </w:pPr>
      <w:r w:rsidRPr="0014175D">
        <w:rPr>
          <w:lang w:val="en-US"/>
        </w:rPr>
        <w:t>&lt;&lt;ODS DOC SYMBOL1&gt;&gt;CEDAW/C/NOR/7&lt;&lt;ODS DOC SYMBOL1&gt;&gt;</w:t>
      </w:r>
    </w:p>
    <w:p w:rsidR="00E114BE" w:rsidRPr="0014175D" w:rsidRDefault="00E114BE">
      <w:pPr>
        <w:pStyle w:val="CommentText"/>
        <w:rPr>
          <w:lang w:val="en-US"/>
        </w:rPr>
      </w:pPr>
      <w:r w:rsidRPr="0014175D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AB" w:rsidRPr="00BE0087" w:rsidRDefault="008B4EAB" w:rsidP="00BE0087">
      <w:pPr>
        <w:pStyle w:val="Footer"/>
      </w:pPr>
    </w:p>
  </w:endnote>
  <w:endnote w:type="continuationSeparator" w:id="0">
    <w:p w:rsidR="008B4EAB" w:rsidRDefault="008B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114BE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E114BE" w:rsidRDefault="00E114BE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909BC"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E114BE" w:rsidRDefault="00E114BE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0728619s.doc</w:t>
          </w:r>
          <w:r>
            <w:rPr>
              <w:b w:val="0"/>
              <w:sz w:val="14"/>
            </w:rPr>
            <w:fldChar w:fldCharType="end"/>
          </w:r>
        </w:p>
      </w:tc>
    </w:tr>
  </w:tbl>
  <w:p w:rsidR="00E114BE" w:rsidRDefault="00E11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114BE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E114BE" w:rsidRDefault="00E114BE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0728619s.doc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vAlign w:val="bottom"/>
        </w:tcPr>
        <w:p w:rsidR="00E114BE" w:rsidRDefault="00E114B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2725">
            <w:t>111</w:t>
          </w:r>
          <w:r>
            <w:fldChar w:fldCharType="end"/>
          </w:r>
        </w:p>
      </w:tc>
    </w:tr>
  </w:tbl>
  <w:p w:rsidR="00E114BE" w:rsidRDefault="00E11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E" w:rsidRDefault="00E114BE" w:rsidP="00231A2B">
    <w:pPr>
      <w:pStyle w:val="Footer"/>
      <w:rPr>
        <w:b w:val="0"/>
        <w:sz w:val="20"/>
      </w:rPr>
    </w:pPr>
    <w:r>
      <w:rPr>
        <w:b w:val="0"/>
        <w:sz w:val="20"/>
      </w:rPr>
      <w:t>07-28619 (S)</w:t>
    </w:r>
  </w:p>
  <w:p w:rsidR="00E114BE" w:rsidRPr="008D0457" w:rsidRDefault="00E114BE" w:rsidP="008D0457">
    <w:pPr>
      <w:pStyle w:val="Footer"/>
      <w:spacing w:before="80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t>*0728619*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AB" w:rsidRDefault="008B4EAB" w:rsidP="00232C7A">
      <w:pPr>
        <w:ind w:left="1264" w:right="1264"/>
      </w:pPr>
      <w:r>
        <w:separator/>
      </w:r>
    </w:p>
  </w:footnote>
  <w:footnote w:type="continuationSeparator" w:id="0">
    <w:p w:rsidR="008B4EAB" w:rsidRDefault="008B4EAB" w:rsidP="00526A08">
      <w:pPr>
        <w:ind w:left="1264" w:right="1264"/>
      </w:pPr>
      <w:r>
        <w:separator/>
      </w:r>
    </w:p>
    <w:p w:rsidR="008B4EAB" w:rsidRPr="00526A08" w:rsidRDefault="008B4EAB" w:rsidP="00526A0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E" w:rsidRDefault="00E114BE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wrap-style:tight" o:allowincell="f" stroked="f">
          <v:textbox style="mso-next-textbox:#_x0000_s1026;mso-rotate-with-shape:t"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E114BE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E114BE" w:rsidRDefault="00E114BE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CEDAW/C/NOR/7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E114BE" w:rsidRDefault="00E114BE">
                      <w:pPr>
                        <w:pStyle w:val="Header"/>
                      </w:pPr>
                    </w:p>
                  </w:tc>
                </w:tr>
              </w:tbl>
              <w:p w:rsidR="00E114BE" w:rsidRDefault="00E114BE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E" w:rsidRDefault="00E114BE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wrap-style:tight" o:allowincell="f" stroked="f">
          <v:textbox style="mso-next-textbox:#_x0000_s1025;mso-rotate-with-shape:t"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E114BE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E114BE" w:rsidRDefault="00E114BE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E114BE" w:rsidRDefault="00E114BE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CEDAW/C/NOR/7</w:t>
                      </w:r>
                    </w:p>
                  </w:tc>
                </w:tr>
              </w:tbl>
              <w:p w:rsidR="00E114BE" w:rsidRDefault="00E114BE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E114B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114BE" w:rsidRDefault="00E114BE">
          <w:pPr>
            <w:pStyle w:val="Header"/>
            <w:spacing w:after="120"/>
          </w:pPr>
        </w:p>
      </w:tc>
      <w:tc>
        <w:tcPr>
          <w:tcW w:w="20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114BE" w:rsidRDefault="00E114B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114BE" w:rsidRDefault="00E114BE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E114BE" w:rsidRDefault="00E114B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/C/NOR/7</w:t>
          </w:r>
        </w:p>
      </w:tc>
    </w:tr>
    <w:tr w:rsidR="00E114B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E114BE" w:rsidRDefault="00E114B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E114BE" w:rsidRDefault="00E114B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E114BE" w:rsidRDefault="00E114B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Convención sobre la eliminación</w:t>
          </w:r>
          <w:r>
            <w:rPr>
              <w:sz w:val="34"/>
            </w:rPr>
            <w:br/>
            <w:t>de todas las formas de discriminación</w:t>
          </w:r>
          <w:r>
            <w:rPr>
              <w:sz w:val="34"/>
            </w:rPr>
            <w:br/>
            <w:t>contra la mujer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E114BE" w:rsidRPr="00231A2B" w:rsidRDefault="00E114BE">
          <w:pPr>
            <w:pStyle w:val="Header"/>
            <w:spacing w:before="109"/>
            <w:rPr>
              <w:lang w:val="es-UY"/>
            </w:rPr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E114BE" w:rsidRDefault="00E114BE">
          <w:pPr>
            <w:spacing w:before="240"/>
          </w:pPr>
          <w:r>
            <w:t>Distr. general</w:t>
          </w:r>
        </w:p>
        <w:p w:rsidR="00E114BE" w:rsidRDefault="00E114BE">
          <w:r>
            <w:t>26 de marzo de 2007</w:t>
          </w:r>
        </w:p>
        <w:p w:rsidR="00E114BE" w:rsidRDefault="00E114BE">
          <w:r>
            <w:t>Español</w:t>
          </w:r>
        </w:p>
        <w:p w:rsidR="00E114BE" w:rsidRDefault="00E114BE">
          <w:r>
            <w:t>Original: inglés</w:t>
          </w:r>
        </w:p>
      </w:tc>
    </w:tr>
  </w:tbl>
  <w:p w:rsidR="00E114BE" w:rsidRPr="00231A2B" w:rsidRDefault="00E114BE">
    <w:pPr>
      <w:pStyle w:val="Header"/>
      <w:rPr>
        <w:sz w:val="2"/>
        <w:lang w:val="es-U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B6"/>
    <w:multiLevelType w:val="hybridMultilevel"/>
    <w:tmpl w:val="96F4A370"/>
    <w:lvl w:ilvl="0" w:tplc="040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">
    <w:nsid w:val="018D1FA7"/>
    <w:multiLevelType w:val="hybridMultilevel"/>
    <w:tmpl w:val="16D44BDC"/>
    <w:lvl w:ilvl="0" w:tplc="1DCEE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72B49"/>
    <w:multiLevelType w:val="hybridMultilevel"/>
    <w:tmpl w:val="AC06DFBC"/>
    <w:lvl w:ilvl="0" w:tplc="D8105F6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772315"/>
    <w:multiLevelType w:val="hybridMultilevel"/>
    <w:tmpl w:val="3CB8C21E"/>
    <w:lvl w:ilvl="0" w:tplc="040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4">
    <w:nsid w:val="06900115"/>
    <w:multiLevelType w:val="multilevel"/>
    <w:tmpl w:val="2C42555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5">
    <w:nsid w:val="07F73581"/>
    <w:multiLevelType w:val="hybridMultilevel"/>
    <w:tmpl w:val="23421582"/>
    <w:lvl w:ilvl="0" w:tplc="040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6">
    <w:nsid w:val="09F409BB"/>
    <w:multiLevelType w:val="hybridMultilevel"/>
    <w:tmpl w:val="E02223C4"/>
    <w:lvl w:ilvl="0" w:tplc="0409000F">
      <w:start w:val="1"/>
      <w:numFmt w:val="decimal"/>
      <w:lvlText w:val="%1.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7">
    <w:nsid w:val="0A366A73"/>
    <w:multiLevelType w:val="hybridMultilevel"/>
    <w:tmpl w:val="2A961862"/>
    <w:lvl w:ilvl="0" w:tplc="040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8">
    <w:nsid w:val="0C170C4E"/>
    <w:multiLevelType w:val="hybridMultilevel"/>
    <w:tmpl w:val="9DA40632"/>
    <w:lvl w:ilvl="0" w:tplc="D8105F6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997F78"/>
    <w:multiLevelType w:val="hybridMultilevel"/>
    <w:tmpl w:val="FE06C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F861D7"/>
    <w:multiLevelType w:val="multilevel"/>
    <w:tmpl w:val="7C08A00A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05" w:hanging="124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E25EF8"/>
    <w:multiLevelType w:val="hybridMultilevel"/>
    <w:tmpl w:val="2E8C14B6"/>
    <w:lvl w:ilvl="0" w:tplc="040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2">
    <w:nsid w:val="18A17BBE"/>
    <w:multiLevelType w:val="hybridMultilevel"/>
    <w:tmpl w:val="EF0C204A"/>
    <w:lvl w:ilvl="0" w:tplc="04090005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3">
    <w:nsid w:val="18F7607F"/>
    <w:multiLevelType w:val="hybridMultilevel"/>
    <w:tmpl w:val="6EAC3320"/>
    <w:lvl w:ilvl="0" w:tplc="040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4">
    <w:nsid w:val="194531FF"/>
    <w:multiLevelType w:val="hybridMultilevel"/>
    <w:tmpl w:val="0428E496"/>
    <w:lvl w:ilvl="0" w:tplc="D8105F6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7631F5"/>
    <w:multiLevelType w:val="hybridMultilevel"/>
    <w:tmpl w:val="FAF2D5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2E6198"/>
    <w:multiLevelType w:val="hybridMultilevel"/>
    <w:tmpl w:val="92845790"/>
    <w:lvl w:ilvl="0" w:tplc="D8105F6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8DF3585"/>
    <w:multiLevelType w:val="hybridMultilevel"/>
    <w:tmpl w:val="CDB64F8A"/>
    <w:lvl w:ilvl="0" w:tplc="0409000F">
      <w:start w:val="1"/>
      <w:numFmt w:val="decimal"/>
      <w:lvlText w:val="%1."/>
      <w:lvlJc w:val="left"/>
      <w:pPr>
        <w:tabs>
          <w:tab w:val="num" w:pos="2102"/>
        </w:tabs>
        <w:ind w:left="21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>
    <w:nsid w:val="29945A99"/>
    <w:multiLevelType w:val="multilevel"/>
    <w:tmpl w:val="57C0C22A"/>
    <w:lvl w:ilvl="0">
      <w:start w:val="1"/>
      <w:numFmt w:val="decimal"/>
      <w:lvlText w:val="%1."/>
      <w:lvlJc w:val="left"/>
      <w:pPr>
        <w:tabs>
          <w:tab w:val="num" w:pos="567"/>
        </w:tabs>
        <w:ind w:left="1264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64"/>
        </w:tabs>
        <w:ind w:left="1264" w:firstLine="721"/>
      </w:pPr>
      <w:rPr>
        <w:rFonts w:ascii="Times New Roman" w:hAnsi="Times New Roman" w:hint="default"/>
        <w:b w:val="0"/>
        <w:i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05" w:hanging="124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AE1425E"/>
    <w:multiLevelType w:val="multilevel"/>
    <w:tmpl w:val="479A6488"/>
    <w:lvl w:ilvl="0">
      <w:start w:val="1"/>
      <w:numFmt w:val="decimal"/>
      <w:lvlText w:val="%1."/>
      <w:lvlJc w:val="left"/>
      <w:pPr>
        <w:tabs>
          <w:tab w:val="num" w:pos="567"/>
        </w:tabs>
        <w:ind w:left="1264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05" w:hanging="124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1AC5A11"/>
    <w:multiLevelType w:val="hybridMultilevel"/>
    <w:tmpl w:val="2F8A4854"/>
    <w:lvl w:ilvl="0" w:tplc="D8105F66"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eastAsia="Times New Roman" w:hAnsi="Symbol" w:cs="Times New Roman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</w:abstractNum>
  <w:abstractNum w:abstractNumId="21">
    <w:nsid w:val="31C05955"/>
    <w:multiLevelType w:val="hybridMultilevel"/>
    <w:tmpl w:val="AB845934"/>
    <w:lvl w:ilvl="0" w:tplc="D8105F6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29117C1"/>
    <w:multiLevelType w:val="hybridMultilevel"/>
    <w:tmpl w:val="FFE48E12"/>
    <w:lvl w:ilvl="0" w:tplc="0409000F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23">
    <w:nsid w:val="3C7753FF"/>
    <w:multiLevelType w:val="hybridMultilevel"/>
    <w:tmpl w:val="544A1D54"/>
    <w:lvl w:ilvl="0" w:tplc="0409000F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24">
    <w:nsid w:val="3F5304CF"/>
    <w:multiLevelType w:val="hybridMultilevel"/>
    <w:tmpl w:val="69B2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03B75"/>
    <w:multiLevelType w:val="hybridMultilevel"/>
    <w:tmpl w:val="7578135C"/>
    <w:lvl w:ilvl="0" w:tplc="1DCEE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2D4690"/>
    <w:multiLevelType w:val="hybridMultilevel"/>
    <w:tmpl w:val="8F08B2F6"/>
    <w:lvl w:ilvl="0" w:tplc="D8105F6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56D2C03"/>
    <w:multiLevelType w:val="hybridMultilevel"/>
    <w:tmpl w:val="B28638D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A7773"/>
    <w:multiLevelType w:val="hybridMultilevel"/>
    <w:tmpl w:val="8522CD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B77F2"/>
    <w:multiLevelType w:val="hybridMultilevel"/>
    <w:tmpl w:val="A77A6B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84708"/>
    <w:multiLevelType w:val="multilevel"/>
    <w:tmpl w:val="1172CA24"/>
    <w:lvl w:ilvl="0">
      <w:start w:val="1"/>
      <w:numFmt w:val="decimal"/>
      <w:lvlText w:val="%1."/>
      <w:lvlJc w:val="left"/>
      <w:pPr>
        <w:tabs>
          <w:tab w:val="num" w:pos="567"/>
        </w:tabs>
        <w:ind w:left="1264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05" w:hanging="124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B095765"/>
    <w:multiLevelType w:val="hybridMultilevel"/>
    <w:tmpl w:val="845E9004"/>
    <w:lvl w:ilvl="0" w:tplc="A63CFC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C60E38"/>
    <w:multiLevelType w:val="hybridMultilevel"/>
    <w:tmpl w:val="771E30E6"/>
    <w:lvl w:ilvl="0" w:tplc="D8105F66"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eastAsia="Times New Roman" w:hAnsi="Symbol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33">
    <w:nsid w:val="52710897"/>
    <w:multiLevelType w:val="hybridMultilevel"/>
    <w:tmpl w:val="722EB1BE"/>
    <w:lvl w:ilvl="0" w:tplc="040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34">
    <w:nsid w:val="55CB11F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63271D3"/>
    <w:multiLevelType w:val="hybridMultilevel"/>
    <w:tmpl w:val="0046CA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D96F0D"/>
    <w:multiLevelType w:val="singleLevel"/>
    <w:tmpl w:val="478AE634"/>
    <w:lvl w:ilvl="0">
      <w:start w:val="21"/>
      <w:numFmt w:val="decimal"/>
      <w:lvlText w:val="4.%1"/>
      <w:lvlJc w:val="left"/>
      <w:pPr>
        <w:tabs>
          <w:tab w:val="num" w:pos="360"/>
        </w:tabs>
      </w:pPr>
      <w:rPr>
        <w:b w:val="0"/>
        <w:i w:val="0"/>
      </w:rPr>
    </w:lvl>
  </w:abstractNum>
  <w:abstractNum w:abstractNumId="37">
    <w:nsid w:val="5C28341D"/>
    <w:multiLevelType w:val="hybridMultilevel"/>
    <w:tmpl w:val="E8301146"/>
    <w:lvl w:ilvl="0" w:tplc="D8105F6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E250B26"/>
    <w:multiLevelType w:val="multilevel"/>
    <w:tmpl w:val="479A6488"/>
    <w:lvl w:ilvl="0">
      <w:start w:val="1"/>
      <w:numFmt w:val="decimal"/>
      <w:lvlText w:val="%1."/>
      <w:lvlJc w:val="left"/>
      <w:pPr>
        <w:tabs>
          <w:tab w:val="num" w:pos="567"/>
        </w:tabs>
        <w:ind w:left="1264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05" w:hanging="124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2B336EA"/>
    <w:multiLevelType w:val="multilevel"/>
    <w:tmpl w:val="0409001F"/>
    <w:numStyleLink w:val="111111"/>
  </w:abstractNum>
  <w:abstractNum w:abstractNumId="40">
    <w:nsid w:val="62F635F5"/>
    <w:multiLevelType w:val="hybridMultilevel"/>
    <w:tmpl w:val="5428EFFC"/>
    <w:lvl w:ilvl="0" w:tplc="040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41">
    <w:nsid w:val="63E50303"/>
    <w:multiLevelType w:val="hybridMultilevel"/>
    <w:tmpl w:val="67348DEC"/>
    <w:lvl w:ilvl="0" w:tplc="D8105F66"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2"/>
        </w:tabs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2"/>
        </w:tabs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2"/>
        </w:tabs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2"/>
        </w:tabs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2"/>
        </w:tabs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2"/>
        </w:tabs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2"/>
        </w:tabs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2"/>
        </w:tabs>
        <w:ind w:left="7502" w:hanging="360"/>
      </w:pPr>
      <w:rPr>
        <w:rFonts w:ascii="Wingdings" w:hAnsi="Wingdings" w:hint="default"/>
      </w:rPr>
    </w:lvl>
  </w:abstractNum>
  <w:abstractNum w:abstractNumId="42">
    <w:nsid w:val="649D35E9"/>
    <w:multiLevelType w:val="hybridMultilevel"/>
    <w:tmpl w:val="CE74C386"/>
    <w:lvl w:ilvl="0" w:tplc="D8105F6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A1E3E81"/>
    <w:multiLevelType w:val="multilevel"/>
    <w:tmpl w:val="479A6488"/>
    <w:lvl w:ilvl="0">
      <w:start w:val="1"/>
      <w:numFmt w:val="decimal"/>
      <w:lvlText w:val="%1."/>
      <w:lvlJc w:val="left"/>
      <w:pPr>
        <w:tabs>
          <w:tab w:val="num" w:pos="567"/>
        </w:tabs>
        <w:ind w:left="1264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05" w:hanging="124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6DA34E2D"/>
    <w:multiLevelType w:val="hybridMultilevel"/>
    <w:tmpl w:val="AB789372"/>
    <w:lvl w:ilvl="0" w:tplc="040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45">
    <w:nsid w:val="6DB876CC"/>
    <w:multiLevelType w:val="hybridMultilevel"/>
    <w:tmpl w:val="3BDA9D38"/>
    <w:lvl w:ilvl="0" w:tplc="170EC9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F1C1B"/>
    <w:multiLevelType w:val="hybridMultilevel"/>
    <w:tmpl w:val="955C842E"/>
    <w:lvl w:ilvl="0" w:tplc="1DCEE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DA6D7F"/>
    <w:multiLevelType w:val="hybridMultilevel"/>
    <w:tmpl w:val="CD5CE1CA"/>
    <w:lvl w:ilvl="0" w:tplc="D8105F66"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2"/>
        </w:tabs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2"/>
        </w:tabs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2"/>
        </w:tabs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2"/>
        </w:tabs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2"/>
        </w:tabs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2"/>
        </w:tabs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2"/>
        </w:tabs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2"/>
        </w:tabs>
        <w:ind w:left="75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8"/>
  </w:num>
  <w:num w:numId="4">
    <w:abstractNumId w:val="12"/>
  </w:num>
  <w:num w:numId="5">
    <w:abstractNumId w:val="32"/>
  </w:num>
  <w:num w:numId="6">
    <w:abstractNumId w:val="30"/>
  </w:num>
  <w:num w:numId="7">
    <w:abstractNumId w:val="21"/>
  </w:num>
  <w:num w:numId="8">
    <w:abstractNumId w:val="37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26"/>
  </w:num>
  <w:num w:numId="14">
    <w:abstractNumId w:val="2"/>
  </w:num>
  <w:num w:numId="15">
    <w:abstractNumId w:val="42"/>
  </w:num>
  <w:num w:numId="16">
    <w:abstractNumId w:val="20"/>
  </w:num>
  <w:num w:numId="17">
    <w:abstractNumId w:val="43"/>
  </w:num>
  <w:num w:numId="18">
    <w:abstractNumId w:val="47"/>
  </w:num>
  <w:num w:numId="19">
    <w:abstractNumId w:val="41"/>
  </w:num>
  <w:num w:numId="20">
    <w:abstractNumId w:val="19"/>
  </w:num>
  <w:num w:numId="21">
    <w:abstractNumId w:val="38"/>
  </w:num>
  <w:num w:numId="22">
    <w:abstractNumId w:val="15"/>
  </w:num>
  <w:num w:numId="23">
    <w:abstractNumId w:val="31"/>
  </w:num>
  <w:num w:numId="24">
    <w:abstractNumId w:val="45"/>
  </w:num>
  <w:num w:numId="25">
    <w:abstractNumId w:val="35"/>
  </w:num>
  <w:num w:numId="26">
    <w:abstractNumId w:val="28"/>
  </w:num>
  <w:num w:numId="27">
    <w:abstractNumId w:val="27"/>
  </w:num>
  <w:num w:numId="28">
    <w:abstractNumId w:val="24"/>
  </w:num>
  <w:num w:numId="29">
    <w:abstractNumId w:val="29"/>
  </w:num>
  <w:num w:numId="30">
    <w:abstractNumId w:val="1"/>
  </w:num>
  <w:num w:numId="31">
    <w:abstractNumId w:val="46"/>
  </w:num>
  <w:num w:numId="32">
    <w:abstractNumId w:val="25"/>
  </w:num>
  <w:num w:numId="33">
    <w:abstractNumId w:val="34"/>
  </w:num>
  <w:num w:numId="34">
    <w:abstractNumId w:val="39"/>
  </w:num>
  <w:num w:numId="35">
    <w:abstractNumId w:val="9"/>
  </w:num>
  <w:num w:numId="36">
    <w:abstractNumId w:val="44"/>
  </w:num>
  <w:num w:numId="37">
    <w:abstractNumId w:val="40"/>
  </w:num>
  <w:num w:numId="38">
    <w:abstractNumId w:val="0"/>
  </w:num>
  <w:num w:numId="39">
    <w:abstractNumId w:val="3"/>
  </w:num>
  <w:num w:numId="40">
    <w:abstractNumId w:val="7"/>
  </w:num>
  <w:num w:numId="41">
    <w:abstractNumId w:val="11"/>
  </w:num>
  <w:num w:numId="42">
    <w:abstractNumId w:val="5"/>
  </w:num>
  <w:num w:numId="43">
    <w:abstractNumId w:val="13"/>
  </w:num>
  <w:num w:numId="44">
    <w:abstractNumId w:val="33"/>
  </w:num>
  <w:num w:numId="45">
    <w:abstractNumId w:val="17"/>
  </w:num>
  <w:num w:numId="46">
    <w:abstractNumId w:val="6"/>
  </w:num>
  <w:num w:numId="47">
    <w:abstractNumId w:val="22"/>
  </w:num>
  <w:num w:numId="4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activeWritingStyle w:appName="MSWord" w:lang="es-ES" w:vendorID="64" w:dllVersion="131078" w:nlCheck="1" w:checkStyle="1"/>
  <w:activeWritingStyle w:appName="MSWord" w:lang="es-UY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o:allowoverlap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8619*"/>
    <w:docVar w:name="CreationDt" w:val="10/25/2004 4:44: PM"/>
    <w:docVar w:name="DocCategory" w:val="Doc"/>
    <w:docVar w:name="DocType" w:val="Final"/>
    <w:docVar w:name="jobn" w:val="07-28619 (S)"/>
    <w:docVar w:name="JobNo" w:val="0450262S"/>
    <w:docVar w:name="OandT" w:val=" "/>
    <w:docVar w:name="sss1" w:val="CEDAW/C/NOR/7"/>
    <w:docVar w:name="sss2" w:val="-"/>
    <w:docVar w:name="Symbol1" w:val="CEDAW/C/LBN/1"/>
    <w:docVar w:name="Symbol2" w:val="-"/>
  </w:docVars>
  <w:rsids>
    <w:rsidRoot w:val="001C6272"/>
    <w:rsid w:val="00000110"/>
    <w:rsid w:val="00001543"/>
    <w:rsid w:val="00001B03"/>
    <w:rsid w:val="00003DEF"/>
    <w:rsid w:val="000042B6"/>
    <w:rsid w:val="0000674F"/>
    <w:rsid w:val="00006CBA"/>
    <w:rsid w:val="000070C9"/>
    <w:rsid w:val="000070FE"/>
    <w:rsid w:val="00007350"/>
    <w:rsid w:val="000078CE"/>
    <w:rsid w:val="00010464"/>
    <w:rsid w:val="00011821"/>
    <w:rsid w:val="00011B41"/>
    <w:rsid w:val="00014F5E"/>
    <w:rsid w:val="00015338"/>
    <w:rsid w:val="000163A3"/>
    <w:rsid w:val="00016FD4"/>
    <w:rsid w:val="0001728E"/>
    <w:rsid w:val="000218A4"/>
    <w:rsid w:val="00021DB5"/>
    <w:rsid w:val="000220D6"/>
    <w:rsid w:val="000227FA"/>
    <w:rsid w:val="0002308A"/>
    <w:rsid w:val="00023596"/>
    <w:rsid w:val="00024062"/>
    <w:rsid w:val="000248A9"/>
    <w:rsid w:val="00024DBC"/>
    <w:rsid w:val="00024F61"/>
    <w:rsid w:val="000251DB"/>
    <w:rsid w:val="00025317"/>
    <w:rsid w:val="00025490"/>
    <w:rsid w:val="00025B70"/>
    <w:rsid w:val="00027A64"/>
    <w:rsid w:val="0003082F"/>
    <w:rsid w:val="0003183A"/>
    <w:rsid w:val="00031851"/>
    <w:rsid w:val="00031F1C"/>
    <w:rsid w:val="00032136"/>
    <w:rsid w:val="000327E0"/>
    <w:rsid w:val="00032AA7"/>
    <w:rsid w:val="00032F7B"/>
    <w:rsid w:val="000333C1"/>
    <w:rsid w:val="0003376E"/>
    <w:rsid w:val="00034908"/>
    <w:rsid w:val="00034B30"/>
    <w:rsid w:val="00034D3B"/>
    <w:rsid w:val="00034EE3"/>
    <w:rsid w:val="00035181"/>
    <w:rsid w:val="0003673E"/>
    <w:rsid w:val="00036F1B"/>
    <w:rsid w:val="00037009"/>
    <w:rsid w:val="000370B5"/>
    <w:rsid w:val="000402C6"/>
    <w:rsid w:val="00040B78"/>
    <w:rsid w:val="00040E24"/>
    <w:rsid w:val="000419E6"/>
    <w:rsid w:val="00041D7E"/>
    <w:rsid w:val="00041F07"/>
    <w:rsid w:val="00041F24"/>
    <w:rsid w:val="00042364"/>
    <w:rsid w:val="000428A0"/>
    <w:rsid w:val="00044234"/>
    <w:rsid w:val="00044C16"/>
    <w:rsid w:val="00044DC8"/>
    <w:rsid w:val="00046A11"/>
    <w:rsid w:val="000472FC"/>
    <w:rsid w:val="000478F3"/>
    <w:rsid w:val="0005008A"/>
    <w:rsid w:val="00050294"/>
    <w:rsid w:val="0005098D"/>
    <w:rsid w:val="00051704"/>
    <w:rsid w:val="00051741"/>
    <w:rsid w:val="0005208A"/>
    <w:rsid w:val="0005259F"/>
    <w:rsid w:val="00053031"/>
    <w:rsid w:val="00053530"/>
    <w:rsid w:val="00053E81"/>
    <w:rsid w:val="00054391"/>
    <w:rsid w:val="0005493B"/>
    <w:rsid w:val="00054A8D"/>
    <w:rsid w:val="0005536D"/>
    <w:rsid w:val="00055DFE"/>
    <w:rsid w:val="0005652E"/>
    <w:rsid w:val="000565BC"/>
    <w:rsid w:val="00056688"/>
    <w:rsid w:val="00056903"/>
    <w:rsid w:val="00056EF1"/>
    <w:rsid w:val="00057206"/>
    <w:rsid w:val="000573EC"/>
    <w:rsid w:val="00060A3A"/>
    <w:rsid w:val="00061577"/>
    <w:rsid w:val="00061699"/>
    <w:rsid w:val="000619A1"/>
    <w:rsid w:val="00062271"/>
    <w:rsid w:val="00062725"/>
    <w:rsid w:val="0006370E"/>
    <w:rsid w:val="000647AC"/>
    <w:rsid w:val="00064906"/>
    <w:rsid w:val="000657D3"/>
    <w:rsid w:val="00065E4B"/>
    <w:rsid w:val="00065E60"/>
    <w:rsid w:val="00067454"/>
    <w:rsid w:val="0006770F"/>
    <w:rsid w:val="00070142"/>
    <w:rsid w:val="0007126B"/>
    <w:rsid w:val="00071E7A"/>
    <w:rsid w:val="00072261"/>
    <w:rsid w:val="00072891"/>
    <w:rsid w:val="00072AD7"/>
    <w:rsid w:val="00072AF9"/>
    <w:rsid w:val="00072B58"/>
    <w:rsid w:val="000742A9"/>
    <w:rsid w:val="000747FD"/>
    <w:rsid w:val="00074F33"/>
    <w:rsid w:val="00074F90"/>
    <w:rsid w:val="000758E9"/>
    <w:rsid w:val="00075987"/>
    <w:rsid w:val="00075A95"/>
    <w:rsid w:val="00076735"/>
    <w:rsid w:val="00080A74"/>
    <w:rsid w:val="00083484"/>
    <w:rsid w:val="00083666"/>
    <w:rsid w:val="00083C71"/>
    <w:rsid w:val="0008561D"/>
    <w:rsid w:val="000857B7"/>
    <w:rsid w:val="00085821"/>
    <w:rsid w:val="00085A20"/>
    <w:rsid w:val="000868A2"/>
    <w:rsid w:val="00086975"/>
    <w:rsid w:val="00090DDB"/>
    <w:rsid w:val="0009228D"/>
    <w:rsid w:val="00092ED2"/>
    <w:rsid w:val="000931A1"/>
    <w:rsid w:val="0009334D"/>
    <w:rsid w:val="00093E25"/>
    <w:rsid w:val="0009462F"/>
    <w:rsid w:val="0009507A"/>
    <w:rsid w:val="000950BA"/>
    <w:rsid w:val="00096F3E"/>
    <w:rsid w:val="000971E8"/>
    <w:rsid w:val="00097AF3"/>
    <w:rsid w:val="000A08D8"/>
    <w:rsid w:val="000A110A"/>
    <w:rsid w:val="000A1286"/>
    <w:rsid w:val="000A179C"/>
    <w:rsid w:val="000A30ED"/>
    <w:rsid w:val="000A3A79"/>
    <w:rsid w:val="000A3DA9"/>
    <w:rsid w:val="000A4C77"/>
    <w:rsid w:val="000A5430"/>
    <w:rsid w:val="000A5A32"/>
    <w:rsid w:val="000A63C9"/>
    <w:rsid w:val="000A6CC2"/>
    <w:rsid w:val="000A7BE7"/>
    <w:rsid w:val="000B035B"/>
    <w:rsid w:val="000B0CAE"/>
    <w:rsid w:val="000B0E93"/>
    <w:rsid w:val="000B1956"/>
    <w:rsid w:val="000B1D12"/>
    <w:rsid w:val="000B3177"/>
    <w:rsid w:val="000B41AF"/>
    <w:rsid w:val="000B4574"/>
    <w:rsid w:val="000B48A7"/>
    <w:rsid w:val="000B4C2D"/>
    <w:rsid w:val="000B50FC"/>
    <w:rsid w:val="000B5C21"/>
    <w:rsid w:val="000B60DC"/>
    <w:rsid w:val="000B71AA"/>
    <w:rsid w:val="000B7317"/>
    <w:rsid w:val="000C1BC1"/>
    <w:rsid w:val="000C24E8"/>
    <w:rsid w:val="000C4AF2"/>
    <w:rsid w:val="000C61F3"/>
    <w:rsid w:val="000C6632"/>
    <w:rsid w:val="000C68A8"/>
    <w:rsid w:val="000C6CED"/>
    <w:rsid w:val="000C6F04"/>
    <w:rsid w:val="000C721B"/>
    <w:rsid w:val="000C7E34"/>
    <w:rsid w:val="000D07C3"/>
    <w:rsid w:val="000D10CF"/>
    <w:rsid w:val="000D3120"/>
    <w:rsid w:val="000D3F7F"/>
    <w:rsid w:val="000D43D3"/>
    <w:rsid w:val="000D471A"/>
    <w:rsid w:val="000D49BF"/>
    <w:rsid w:val="000D5443"/>
    <w:rsid w:val="000D55E5"/>
    <w:rsid w:val="000D5A81"/>
    <w:rsid w:val="000D6455"/>
    <w:rsid w:val="000D70E1"/>
    <w:rsid w:val="000D71DD"/>
    <w:rsid w:val="000D723D"/>
    <w:rsid w:val="000E1461"/>
    <w:rsid w:val="000E16DE"/>
    <w:rsid w:val="000E26F1"/>
    <w:rsid w:val="000E383D"/>
    <w:rsid w:val="000E3CAC"/>
    <w:rsid w:val="000E4B06"/>
    <w:rsid w:val="000E5109"/>
    <w:rsid w:val="000E5C49"/>
    <w:rsid w:val="000E65D5"/>
    <w:rsid w:val="000E6E83"/>
    <w:rsid w:val="000E770A"/>
    <w:rsid w:val="000F0ACC"/>
    <w:rsid w:val="000F0EF5"/>
    <w:rsid w:val="000F12DE"/>
    <w:rsid w:val="000F2677"/>
    <w:rsid w:val="000F29BB"/>
    <w:rsid w:val="000F455B"/>
    <w:rsid w:val="000F4CC3"/>
    <w:rsid w:val="000F5266"/>
    <w:rsid w:val="000F5C41"/>
    <w:rsid w:val="000F5F58"/>
    <w:rsid w:val="000F7393"/>
    <w:rsid w:val="000F76A3"/>
    <w:rsid w:val="00100227"/>
    <w:rsid w:val="00100BD0"/>
    <w:rsid w:val="001011F1"/>
    <w:rsid w:val="00101A34"/>
    <w:rsid w:val="00101B8C"/>
    <w:rsid w:val="0010274C"/>
    <w:rsid w:val="001035AC"/>
    <w:rsid w:val="00105F6D"/>
    <w:rsid w:val="00106A37"/>
    <w:rsid w:val="00111908"/>
    <w:rsid w:val="00111E2C"/>
    <w:rsid w:val="0011257E"/>
    <w:rsid w:val="00112A79"/>
    <w:rsid w:val="00112ACF"/>
    <w:rsid w:val="001139B2"/>
    <w:rsid w:val="00113BE8"/>
    <w:rsid w:val="00114EE1"/>
    <w:rsid w:val="001167D2"/>
    <w:rsid w:val="00116976"/>
    <w:rsid w:val="00116A89"/>
    <w:rsid w:val="00117CFF"/>
    <w:rsid w:val="00117F04"/>
    <w:rsid w:val="00120380"/>
    <w:rsid w:val="00120AA8"/>
    <w:rsid w:val="00120B1D"/>
    <w:rsid w:val="00121DBC"/>
    <w:rsid w:val="00123100"/>
    <w:rsid w:val="0012381F"/>
    <w:rsid w:val="00123F21"/>
    <w:rsid w:val="00124BCE"/>
    <w:rsid w:val="00125FF5"/>
    <w:rsid w:val="00126609"/>
    <w:rsid w:val="001267A3"/>
    <w:rsid w:val="001277AD"/>
    <w:rsid w:val="00130A95"/>
    <w:rsid w:val="00130F7F"/>
    <w:rsid w:val="001316B2"/>
    <w:rsid w:val="001318EC"/>
    <w:rsid w:val="00132AAA"/>
    <w:rsid w:val="001331D9"/>
    <w:rsid w:val="001337CF"/>
    <w:rsid w:val="001339AF"/>
    <w:rsid w:val="00133C7C"/>
    <w:rsid w:val="00133FE4"/>
    <w:rsid w:val="001347A7"/>
    <w:rsid w:val="00134C37"/>
    <w:rsid w:val="00135DB0"/>
    <w:rsid w:val="00135FFA"/>
    <w:rsid w:val="00137A0E"/>
    <w:rsid w:val="00140D51"/>
    <w:rsid w:val="0014175D"/>
    <w:rsid w:val="00141CF5"/>
    <w:rsid w:val="001423AE"/>
    <w:rsid w:val="00142D83"/>
    <w:rsid w:val="00143D41"/>
    <w:rsid w:val="00143E00"/>
    <w:rsid w:val="00144605"/>
    <w:rsid w:val="00144B46"/>
    <w:rsid w:val="00145BA3"/>
    <w:rsid w:val="001462B1"/>
    <w:rsid w:val="00146B1A"/>
    <w:rsid w:val="00146C41"/>
    <w:rsid w:val="00146C42"/>
    <w:rsid w:val="00150A63"/>
    <w:rsid w:val="00151175"/>
    <w:rsid w:val="00151949"/>
    <w:rsid w:val="0015240E"/>
    <w:rsid w:val="001528AE"/>
    <w:rsid w:val="00152C19"/>
    <w:rsid w:val="00152DC4"/>
    <w:rsid w:val="00154695"/>
    <w:rsid w:val="00154AD2"/>
    <w:rsid w:val="00154D29"/>
    <w:rsid w:val="00154FBB"/>
    <w:rsid w:val="00155516"/>
    <w:rsid w:val="00155545"/>
    <w:rsid w:val="0015695D"/>
    <w:rsid w:val="00156EFB"/>
    <w:rsid w:val="0015768D"/>
    <w:rsid w:val="001577C7"/>
    <w:rsid w:val="001579D6"/>
    <w:rsid w:val="00157D41"/>
    <w:rsid w:val="00161886"/>
    <w:rsid w:val="0016198E"/>
    <w:rsid w:val="00161EA1"/>
    <w:rsid w:val="00162347"/>
    <w:rsid w:val="00162B2F"/>
    <w:rsid w:val="001633BE"/>
    <w:rsid w:val="001633F4"/>
    <w:rsid w:val="00163BE3"/>
    <w:rsid w:val="00163E66"/>
    <w:rsid w:val="00164152"/>
    <w:rsid w:val="0016529C"/>
    <w:rsid w:val="00165357"/>
    <w:rsid w:val="00165E04"/>
    <w:rsid w:val="00166831"/>
    <w:rsid w:val="00166C9E"/>
    <w:rsid w:val="00166EBE"/>
    <w:rsid w:val="0017038C"/>
    <w:rsid w:val="001708E4"/>
    <w:rsid w:val="00170E24"/>
    <w:rsid w:val="00171641"/>
    <w:rsid w:val="00171C93"/>
    <w:rsid w:val="0017236C"/>
    <w:rsid w:val="001725A9"/>
    <w:rsid w:val="00172658"/>
    <w:rsid w:val="0017374A"/>
    <w:rsid w:val="00174005"/>
    <w:rsid w:val="00174C00"/>
    <w:rsid w:val="00175D5B"/>
    <w:rsid w:val="00175EC5"/>
    <w:rsid w:val="001763BF"/>
    <w:rsid w:val="001766D3"/>
    <w:rsid w:val="0017687C"/>
    <w:rsid w:val="00176976"/>
    <w:rsid w:val="00177E2E"/>
    <w:rsid w:val="00181716"/>
    <w:rsid w:val="001837FA"/>
    <w:rsid w:val="00183B33"/>
    <w:rsid w:val="0018407E"/>
    <w:rsid w:val="00184F40"/>
    <w:rsid w:val="00185316"/>
    <w:rsid w:val="00186381"/>
    <w:rsid w:val="001872C6"/>
    <w:rsid w:val="00187D9F"/>
    <w:rsid w:val="001902F8"/>
    <w:rsid w:val="001904D3"/>
    <w:rsid w:val="00191077"/>
    <w:rsid w:val="001916A6"/>
    <w:rsid w:val="0019232D"/>
    <w:rsid w:val="00192AC5"/>
    <w:rsid w:val="00192F55"/>
    <w:rsid w:val="00193162"/>
    <w:rsid w:val="00193E66"/>
    <w:rsid w:val="00194401"/>
    <w:rsid w:val="00194AB3"/>
    <w:rsid w:val="00194BCE"/>
    <w:rsid w:val="001958DC"/>
    <w:rsid w:val="00195B9C"/>
    <w:rsid w:val="00195BD5"/>
    <w:rsid w:val="00196542"/>
    <w:rsid w:val="00197F2D"/>
    <w:rsid w:val="001A10CC"/>
    <w:rsid w:val="001A1368"/>
    <w:rsid w:val="001A14DB"/>
    <w:rsid w:val="001A1CB5"/>
    <w:rsid w:val="001A1D2E"/>
    <w:rsid w:val="001A2831"/>
    <w:rsid w:val="001A2997"/>
    <w:rsid w:val="001A2C83"/>
    <w:rsid w:val="001A31C0"/>
    <w:rsid w:val="001A32F4"/>
    <w:rsid w:val="001A38AE"/>
    <w:rsid w:val="001A3DD6"/>
    <w:rsid w:val="001A3EBF"/>
    <w:rsid w:val="001A3FE2"/>
    <w:rsid w:val="001A4D9C"/>
    <w:rsid w:val="001A529F"/>
    <w:rsid w:val="001A579C"/>
    <w:rsid w:val="001A5A9D"/>
    <w:rsid w:val="001A6042"/>
    <w:rsid w:val="001B0753"/>
    <w:rsid w:val="001B0C93"/>
    <w:rsid w:val="001B18DE"/>
    <w:rsid w:val="001B2AB3"/>
    <w:rsid w:val="001B2AFD"/>
    <w:rsid w:val="001B2C9D"/>
    <w:rsid w:val="001B31BD"/>
    <w:rsid w:val="001B33EF"/>
    <w:rsid w:val="001B4F21"/>
    <w:rsid w:val="001B5CC1"/>
    <w:rsid w:val="001B5F42"/>
    <w:rsid w:val="001B6244"/>
    <w:rsid w:val="001B6C7A"/>
    <w:rsid w:val="001B725E"/>
    <w:rsid w:val="001B7C2E"/>
    <w:rsid w:val="001C0056"/>
    <w:rsid w:val="001C0C03"/>
    <w:rsid w:val="001C0F42"/>
    <w:rsid w:val="001C1C37"/>
    <w:rsid w:val="001C29C0"/>
    <w:rsid w:val="001C2B51"/>
    <w:rsid w:val="001C2E0D"/>
    <w:rsid w:val="001C3E40"/>
    <w:rsid w:val="001C473F"/>
    <w:rsid w:val="001C54BB"/>
    <w:rsid w:val="001C6272"/>
    <w:rsid w:val="001C62F9"/>
    <w:rsid w:val="001C6426"/>
    <w:rsid w:val="001C6742"/>
    <w:rsid w:val="001C6943"/>
    <w:rsid w:val="001C6F5E"/>
    <w:rsid w:val="001C7414"/>
    <w:rsid w:val="001C747D"/>
    <w:rsid w:val="001C7DEC"/>
    <w:rsid w:val="001D0C89"/>
    <w:rsid w:val="001D0FB3"/>
    <w:rsid w:val="001D178B"/>
    <w:rsid w:val="001D1889"/>
    <w:rsid w:val="001D1B41"/>
    <w:rsid w:val="001D2217"/>
    <w:rsid w:val="001D22E8"/>
    <w:rsid w:val="001D2E5B"/>
    <w:rsid w:val="001D3D3B"/>
    <w:rsid w:val="001D5054"/>
    <w:rsid w:val="001D532F"/>
    <w:rsid w:val="001D73AD"/>
    <w:rsid w:val="001E0AA0"/>
    <w:rsid w:val="001E0D17"/>
    <w:rsid w:val="001E18B5"/>
    <w:rsid w:val="001E2690"/>
    <w:rsid w:val="001E27D0"/>
    <w:rsid w:val="001E30D6"/>
    <w:rsid w:val="001E3D7C"/>
    <w:rsid w:val="001E4E66"/>
    <w:rsid w:val="001E52D1"/>
    <w:rsid w:val="001E5A87"/>
    <w:rsid w:val="001E5F85"/>
    <w:rsid w:val="001F15C2"/>
    <w:rsid w:val="001F219D"/>
    <w:rsid w:val="001F255C"/>
    <w:rsid w:val="001F2BE6"/>
    <w:rsid w:val="001F5714"/>
    <w:rsid w:val="001F58E9"/>
    <w:rsid w:val="001F6F1A"/>
    <w:rsid w:val="001F71B0"/>
    <w:rsid w:val="0020067C"/>
    <w:rsid w:val="00201579"/>
    <w:rsid w:val="00201E69"/>
    <w:rsid w:val="00201EFA"/>
    <w:rsid w:val="0020276A"/>
    <w:rsid w:val="002028E6"/>
    <w:rsid w:val="00202B78"/>
    <w:rsid w:val="0020347A"/>
    <w:rsid w:val="0020405D"/>
    <w:rsid w:val="0020526A"/>
    <w:rsid w:val="00205426"/>
    <w:rsid w:val="00205435"/>
    <w:rsid w:val="00205538"/>
    <w:rsid w:val="00205E1E"/>
    <w:rsid w:val="00205FEA"/>
    <w:rsid w:val="00206563"/>
    <w:rsid w:val="0020656D"/>
    <w:rsid w:val="002075CD"/>
    <w:rsid w:val="00210DB1"/>
    <w:rsid w:val="002127DC"/>
    <w:rsid w:val="00213850"/>
    <w:rsid w:val="00214075"/>
    <w:rsid w:val="00214B94"/>
    <w:rsid w:val="002152EC"/>
    <w:rsid w:val="002153A0"/>
    <w:rsid w:val="002154C4"/>
    <w:rsid w:val="002159AB"/>
    <w:rsid w:val="00216129"/>
    <w:rsid w:val="0021736D"/>
    <w:rsid w:val="00217429"/>
    <w:rsid w:val="00220CD3"/>
    <w:rsid w:val="002213CF"/>
    <w:rsid w:val="00221F05"/>
    <w:rsid w:val="002232C2"/>
    <w:rsid w:val="00223A5E"/>
    <w:rsid w:val="002247A6"/>
    <w:rsid w:val="0022503D"/>
    <w:rsid w:val="00226D54"/>
    <w:rsid w:val="0022768B"/>
    <w:rsid w:val="00230861"/>
    <w:rsid w:val="00230F13"/>
    <w:rsid w:val="00231205"/>
    <w:rsid w:val="002314C7"/>
    <w:rsid w:val="00231A2B"/>
    <w:rsid w:val="002325C4"/>
    <w:rsid w:val="00232C7A"/>
    <w:rsid w:val="00232DF9"/>
    <w:rsid w:val="00232FAC"/>
    <w:rsid w:val="00233883"/>
    <w:rsid w:val="0023473E"/>
    <w:rsid w:val="00234740"/>
    <w:rsid w:val="0023569C"/>
    <w:rsid w:val="002357B0"/>
    <w:rsid w:val="002358F9"/>
    <w:rsid w:val="00235EE0"/>
    <w:rsid w:val="002361C3"/>
    <w:rsid w:val="00236716"/>
    <w:rsid w:val="0023681E"/>
    <w:rsid w:val="002370FA"/>
    <w:rsid w:val="00237E6F"/>
    <w:rsid w:val="00240468"/>
    <w:rsid w:val="00241CED"/>
    <w:rsid w:val="00242371"/>
    <w:rsid w:val="002435A5"/>
    <w:rsid w:val="002439C0"/>
    <w:rsid w:val="00243AFD"/>
    <w:rsid w:val="00244079"/>
    <w:rsid w:val="0024613E"/>
    <w:rsid w:val="0024635D"/>
    <w:rsid w:val="00246CC1"/>
    <w:rsid w:val="00247A2D"/>
    <w:rsid w:val="00247C32"/>
    <w:rsid w:val="00247D14"/>
    <w:rsid w:val="00250328"/>
    <w:rsid w:val="00250673"/>
    <w:rsid w:val="002512F5"/>
    <w:rsid w:val="00251C6F"/>
    <w:rsid w:val="002524F5"/>
    <w:rsid w:val="00252EDB"/>
    <w:rsid w:val="00253543"/>
    <w:rsid w:val="00253E4E"/>
    <w:rsid w:val="00253FAE"/>
    <w:rsid w:val="00254144"/>
    <w:rsid w:val="002542AB"/>
    <w:rsid w:val="002551DC"/>
    <w:rsid w:val="00255282"/>
    <w:rsid w:val="002552AE"/>
    <w:rsid w:val="00255820"/>
    <w:rsid w:val="00255E77"/>
    <w:rsid w:val="00256979"/>
    <w:rsid w:val="00256CBB"/>
    <w:rsid w:val="00257BAE"/>
    <w:rsid w:val="0026040E"/>
    <w:rsid w:val="00261954"/>
    <w:rsid w:val="00261E6C"/>
    <w:rsid w:val="0026210D"/>
    <w:rsid w:val="00262192"/>
    <w:rsid w:val="00263399"/>
    <w:rsid w:val="00263801"/>
    <w:rsid w:val="00263AB2"/>
    <w:rsid w:val="002641F7"/>
    <w:rsid w:val="00264955"/>
    <w:rsid w:val="002672C0"/>
    <w:rsid w:val="00270205"/>
    <w:rsid w:val="002709CA"/>
    <w:rsid w:val="00270B51"/>
    <w:rsid w:val="00271925"/>
    <w:rsid w:val="00272391"/>
    <w:rsid w:val="00272D31"/>
    <w:rsid w:val="00273664"/>
    <w:rsid w:val="002751DD"/>
    <w:rsid w:val="0027520F"/>
    <w:rsid w:val="0027525A"/>
    <w:rsid w:val="00276309"/>
    <w:rsid w:val="002771D6"/>
    <w:rsid w:val="0028087B"/>
    <w:rsid w:val="002823CF"/>
    <w:rsid w:val="00282B18"/>
    <w:rsid w:val="00283337"/>
    <w:rsid w:val="0028385C"/>
    <w:rsid w:val="00284CEF"/>
    <w:rsid w:val="00285DCE"/>
    <w:rsid w:val="00286CD9"/>
    <w:rsid w:val="00287571"/>
    <w:rsid w:val="00287891"/>
    <w:rsid w:val="00287CE4"/>
    <w:rsid w:val="0029019C"/>
    <w:rsid w:val="0029145B"/>
    <w:rsid w:val="00292C49"/>
    <w:rsid w:val="002931E7"/>
    <w:rsid w:val="00293A4A"/>
    <w:rsid w:val="00294FA1"/>
    <w:rsid w:val="0029680C"/>
    <w:rsid w:val="0029712C"/>
    <w:rsid w:val="002972F6"/>
    <w:rsid w:val="002A075F"/>
    <w:rsid w:val="002A0807"/>
    <w:rsid w:val="002A211A"/>
    <w:rsid w:val="002A4469"/>
    <w:rsid w:val="002A458D"/>
    <w:rsid w:val="002A5C0F"/>
    <w:rsid w:val="002A5C5C"/>
    <w:rsid w:val="002A64B2"/>
    <w:rsid w:val="002A76D1"/>
    <w:rsid w:val="002A7CCF"/>
    <w:rsid w:val="002B035F"/>
    <w:rsid w:val="002B0BE3"/>
    <w:rsid w:val="002B1146"/>
    <w:rsid w:val="002B1AB5"/>
    <w:rsid w:val="002B1E05"/>
    <w:rsid w:val="002B3209"/>
    <w:rsid w:val="002B4BCD"/>
    <w:rsid w:val="002B54E1"/>
    <w:rsid w:val="002B723B"/>
    <w:rsid w:val="002B77F8"/>
    <w:rsid w:val="002B7C3F"/>
    <w:rsid w:val="002C0100"/>
    <w:rsid w:val="002C0690"/>
    <w:rsid w:val="002C093B"/>
    <w:rsid w:val="002C189D"/>
    <w:rsid w:val="002C1FDC"/>
    <w:rsid w:val="002C22B9"/>
    <w:rsid w:val="002C2884"/>
    <w:rsid w:val="002C2973"/>
    <w:rsid w:val="002C2F98"/>
    <w:rsid w:val="002C3E74"/>
    <w:rsid w:val="002C4922"/>
    <w:rsid w:val="002C4974"/>
    <w:rsid w:val="002C51F9"/>
    <w:rsid w:val="002C523F"/>
    <w:rsid w:val="002C5E06"/>
    <w:rsid w:val="002C6218"/>
    <w:rsid w:val="002C6EFA"/>
    <w:rsid w:val="002C704E"/>
    <w:rsid w:val="002C7A9F"/>
    <w:rsid w:val="002D0EF4"/>
    <w:rsid w:val="002D0F07"/>
    <w:rsid w:val="002D182E"/>
    <w:rsid w:val="002D1B69"/>
    <w:rsid w:val="002D2B6F"/>
    <w:rsid w:val="002D2F66"/>
    <w:rsid w:val="002D3256"/>
    <w:rsid w:val="002D3541"/>
    <w:rsid w:val="002D4C99"/>
    <w:rsid w:val="002D5B66"/>
    <w:rsid w:val="002D6A59"/>
    <w:rsid w:val="002E021A"/>
    <w:rsid w:val="002E0F5F"/>
    <w:rsid w:val="002E1561"/>
    <w:rsid w:val="002E1E69"/>
    <w:rsid w:val="002E2431"/>
    <w:rsid w:val="002E2883"/>
    <w:rsid w:val="002E3C8B"/>
    <w:rsid w:val="002E41F3"/>
    <w:rsid w:val="002E4C4F"/>
    <w:rsid w:val="002E4D12"/>
    <w:rsid w:val="002E5047"/>
    <w:rsid w:val="002E6332"/>
    <w:rsid w:val="002E6AB2"/>
    <w:rsid w:val="002F036B"/>
    <w:rsid w:val="002F0417"/>
    <w:rsid w:val="002F0916"/>
    <w:rsid w:val="002F0DC7"/>
    <w:rsid w:val="002F10C2"/>
    <w:rsid w:val="002F139F"/>
    <w:rsid w:val="002F19D5"/>
    <w:rsid w:val="002F1FD8"/>
    <w:rsid w:val="002F2995"/>
    <w:rsid w:val="002F3238"/>
    <w:rsid w:val="002F5077"/>
    <w:rsid w:val="002F52DC"/>
    <w:rsid w:val="002F5D1F"/>
    <w:rsid w:val="002F64CE"/>
    <w:rsid w:val="002F66AE"/>
    <w:rsid w:val="002F7C38"/>
    <w:rsid w:val="002F7FE4"/>
    <w:rsid w:val="00300205"/>
    <w:rsid w:val="00300623"/>
    <w:rsid w:val="00300D6A"/>
    <w:rsid w:val="00301830"/>
    <w:rsid w:val="00301B67"/>
    <w:rsid w:val="00302FBA"/>
    <w:rsid w:val="0030350D"/>
    <w:rsid w:val="003052C9"/>
    <w:rsid w:val="003057FC"/>
    <w:rsid w:val="00305DA8"/>
    <w:rsid w:val="00305ED9"/>
    <w:rsid w:val="0030626A"/>
    <w:rsid w:val="00306464"/>
    <w:rsid w:val="0030689C"/>
    <w:rsid w:val="00307179"/>
    <w:rsid w:val="003074D2"/>
    <w:rsid w:val="00310049"/>
    <w:rsid w:val="0031026D"/>
    <w:rsid w:val="0031065F"/>
    <w:rsid w:val="003107A2"/>
    <w:rsid w:val="00310894"/>
    <w:rsid w:val="00310E39"/>
    <w:rsid w:val="00311327"/>
    <w:rsid w:val="00311510"/>
    <w:rsid w:val="003129E2"/>
    <w:rsid w:val="00313439"/>
    <w:rsid w:val="003139BA"/>
    <w:rsid w:val="003139CD"/>
    <w:rsid w:val="00314DA7"/>
    <w:rsid w:val="00315AD4"/>
    <w:rsid w:val="00317A65"/>
    <w:rsid w:val="00321E54"/>
    <w:rsid w:val="003226C9"/>
    <w:rsid w:val="00322D0E"/>
    <w:rsid w:val="0032303B"/>
    <w:rsid w:val="00323431"/>
    <w:rsid w:val="00323487"/>
    <w:rsid w:val="003237E8"/>
    <w:rsid w:val="00324730"/>
    <w:rsid w:val="00325AAA"/>
    <w:rsid w:val="00326185"/>
    <w:rsid w:val="00326443"/>
    <w:rsid w:val="00327115"/>
    <w:rsid w:val="0033138B"/>
    <w:rsid w:val="003315C7"/>
    <w:rsid w:val="003316C1"/>
    <w:rsid w:val="00332A99"/>
    <w:rsid w:val="003343DF"/>
    <w:rsid w:val="003353C0"/>
    <w:rsid w:val="00335AF4"/>
    <w:rsid w:val="00335B0A"/>
    <w:rsid w:val="00335EF3"/>
    <w:rsid w:val="00336A2D"/>
    <w:rsid w:val="003375CC"/>
    <w:rsid w:val="00340815"/>
    <w:rsid w:val="00340D1C"/>
    <w:rsid w:val="00341AEE"/>
    <w:rsid w:val="00342C9A"/>
    <w:rsid w:val="0034344B"/>
    <w:rsid w:val="00344056"/>
    <w:rsid w:val="00344258"/>
    <w:rsid w:val="00344DC1"/>
    <w:rsid w:val="00345102"/>
    <w:rsid w:val="003457FD"/>
    <w:rsid w:val="00345E1B"/>
    <w:rsid w:val="00346339"/>
    <w:rsid w:val="0034727A"/>
    <w:rsid w:val="00347B69"/>
    <w:rsid w:val="0035074A"/>
    <w:rsid w:val="00350E03"/>
    <w:rsid w:val="00350FC3"/>
    <w:rsid w:val="00351B2E"/>
    <w:rsid w:val="00351D57"/>
    <w:rsid w:val="00352982"/>
    <w:rsid w:val="00352986"/>
    <w:rsid w:val="0035570E"/>
    <w:rsid w:val="00355BCE"/>
    <w:rsid w:val="00355EC3"/>
    <w:rsid w:val="00356229"/>
    <w:rsid w:val="00357066"/>
    <w:rsid w:val="00357761"/>
    <w:rsid w:val="00360340"/>
    <w:rsid w:val="003616EB"/>
    <w:rsid w:val="0036260D"/>
    <w:rsid w:val="003633F7"/>
    <w:rsid w:val="003637F5"/>
    <w:rsid w:val="0036497E"/>
    <w:rsid w:val="00364A80"/>
    <w:rsid w:val="00364E27"/>
    <w:rsid w:val="0036678F"/>
    <w:rsid w:val="003673DD"/>
    <w:rsid w:val="00367760"/>
    <w:rsid w:val="00367D9D"/>
    <w:rsid w:val="00370A58"/>
    <w:rsid w:val="00371384"/>
    <w:rsid w:val="00371529"/>
    <w:rsid w:val="00373928"/>
    <w:rsid w:val="00373AA0"/>
    <w:rsid w:val="00374A1A"/>
    <w:rsid w:val="00375D06"/>
    <w:rsid w:val="00377944"/>
    <w:rsid w:val="00377E1A"/>
    <w:rsid w:val="0038081E"/>
    <w:rsid w:val="00380AC9"/>
    <w:rsid w:val="003818B9"/>
    <w:rsid w:val="003819A0"/>
    <w:rsid w:val="00381B36"/>
    <w:rsid w:val="00381EAA"/>
    <w:rsid w:val="00382900"/>
    <w:rsid w:val="00382D9E"/>
    <w:rsid w:val="00383793"/>
    <w:rsid w:val="003843BF"/>
    <w:rsid w:val="003846CB"/>
    <w:rsid w:val="003850D0"/>
    <w:rsid w:val="00387168"/>
    <w:rsid w:val="0038744B"/>
    <w:rsid w:val="00387A6F"/>
    <w:rsid w:val="00387E72"/>
    <w:rsid w:val="00391221"/>
    <w:rsid w:val="003917AF"/>
    <w:rsid w:val="003922FC"/>
    <w:rsid w:val="00393926"/>
    <w:rsid w:val="00393DB1"/>
    <w:rsid w:val="00394872"/>
    <w:rsid w:val="00394F2F"/>
    <w:rsid w:val="00395179"/>
    <w:rsid w:val="0039517D"/>
    <w:rsid w:val="0039635D"/>
    <w:rsid w:val="00396E06"/>
    <w:rsid w:val="00397281"/>
    <w:rsid w:val="00397A73"/>
    <w:rsid w:val="003A0C0B"/>
    <w:rsid w:val="003A1A83"/>
    <w:rsid w:val="003A2139"/>
    <w:rsid w:val="003A290E"/>
    <w:rsid w:val="003A355B"/>
    <w:rsid w:val="003A3604"/>
    <w:rsid w:val="003A3A08"/>
    <w:rsid w:val="003A41A0"/>
    <w:rsid w:val="003A496F"/>
    <w:rsid w:val="003A4B7A"/>
    <w:rsid w:val="003A4F33"/>
    <w:rsid w:val="003A5475"/>
    <w:rsid w:val="003A5633"/>
    <w:rsid w:val="003A6384"/>
    <w:rsid w:val="003A669C"/>
    <w:rsid w:val="003A7DED"/>
    <w:rsid w:val="003B0A50"/>
    <w:rsid w:val="003B0BF2"/>
    <w:rsid w:val="003B1457"/>
    <w:rsid w:val="003B1E02"/>
    <w:rsid w:val="003B1FCF"/>
    <w:rsid w:val="003B3046"/>
    <w:rsid w:val="003B3BF0"/>
    <w:rsid w:val="003B42B1"/>
    <w:rsid w:val="003B48D9"/>
    <w:rsid w:val="003B4E2B"/>
    <w:rsid w:val="003B6D24"/>
    <w:rsid w:val="003B7957"/>
    <w:rsid w:val="003C0B47"/>
    <w:rsid w:val="003C0D26"/>
    <w:rsid w:val="003C0D60"/>
    <w:rsid w:val="003C0E77"/>
    <w:rsid w:val="003C218E"/>
    <w:rsid w:val="003C23BA"/>
    <w:rsid w:val="003C25BF"/>
    <w:rsid w:val="003C5357"/>
    <w:rsid w:val="003C5A2B"/>
    <w:rsid w:val="003C5AD4"/>
    <w:rsid w:val="003C5F8B"/>
    <w:rsid w:val="003C607E"/>
    <w:rsid w:val="003C6BAC"/>
    <w:rsid w:val="003D01C6"/>
    <w:rsid w:val="003D07B5"/>
    <w:rsid w:val="003D37DC"/>
    <w:rsid w:val="003D465F"/>
    <w:rsid w:val="003D4FD1"/>
    <w:rsid w:val="003D5C4A"/>
    <w:rsid w:val="003D6667"/>
    <w:rsid w:val="003D6F23"/>
    <w:rsid w:val="003D75B9"/>
    <w:rsid w:val="003D75F0"/>
    <w:rsid w:val="003D7C2C"/>
    <w:rsid w:val="003E02CF"/>
    <w:rsid w:val="003E0512"/>
    <w:rsid w:val="003E0DF9"/>
    <w:rsid w:val="003E0FFB"/>
    <w:rsid w:val="003E1370"/>
    <w:rsid w:val="003E153A"/>
    <w:rsid w:val="003E19B8"/>
    <w:rsid w:val="003E29C1"/>
    <w:rsid w:val="003E2AF9"/>
    <w:rsid w:val="003E30FC"/>
    <w:rsid w:val="003E3CD7"/>
    <w:rsid w:val="003E445B"/>
    <w:rsid w:val="003E4840"/>
    <w:rsid w:val="003E5219"/>
    <w:rsid w:val="003E5438"/>
    <w:rsid w:val="003E5775"/>
    <w:rsid w:val="003E6FC1"/>
    <w:rsid w:val="003E73A5"/>
    <w:rsid w:val="003F1341"/>
    <w:rsid w:val="003F2775"/>
    <w:rsid w:val="003F3835"/>
    <w:rsid w:val="003F4069"/>
    <w:rsid w:val="003F41CA"/>
    <w:rsid w:val="003F4852"/>
    <w:rsid w:val="003F4D1A"/>
    <w:rsid w:val="003F5492"/>
    <w:rsid w:val="003F5E43"/>
    <w:rsid w:val="003F660E"/>
    <w:rsid w:val="003F6E87"/>
    <w:rsid w:val="003F70B3"/>
    <w:rsid w:val="003F7371"/>
    <w:rsid w:val="0040001C"/>
    <w:rsid w:val="004001FF"/>
    <w:rsid w:val="004004FA"/>
    <w:rsid w:val="00400791"/>
    <w:rsid w:val="00400BD8"/>
    <w:rsid w:val="00400C8A"/>
    <w:rsid w:val="00400D4F"/>
    <w:rsid w:val="00401488"/>
    <w:rsid w:val="004020E8"/>
    <w:rsid w:val="00402170"/>
    <w:rsid w:val="00402640"/>
    <w:rsid w:val="00402661"/>
    <w:rsid w:val="00402A6F"/>
    <w:rsid w:val="00403211"/>
    <w:rsid w:val="004036A1"/>
    <w:rsid w:val="00403DAB"/>
    <w:rsid w:val="00404DCC"/>
    <w:rsid w:val="004050FD"/>
    <w:rsid w:val="0040593D"/>
    <w:rsid w:val="00406F8C"/>
    <w:rsid w:val="004071E6"/>
    <w:rsid w:val="0041033B"/>
    <w:rsid w:val="00410D68"/>
    <w:rsid w:val="004118CA"/>
    <w:rsid w:val="00412175"/>
    <w:rsid w:val="004127E1"/>
    <w:rsid w:val="00412894"/>
    <w:rsid w:val="004141D2"/>
    <w:rsid w:val="00415FF1"/>
    <w:rsid w:val="00417276"/>
    <w:rsid w:val="004173B8"/>
    <w:rsid w:val="004177BA"/>
    <w:rsid w:val="00417824"/>
    <w:rsid w:val="00423012"/>
    <w:rsid w:val="004232A4"/>
    <w:rsid w:val="004234AA"/>
    <w:rsid w:val="00423F97"/>
    <w:rsid w:val="0042468B"/>
    <w:rsid w:val="0042470A"/>
    <w:rsid w:val="00424A77"/>
    <w:rsid w:val="00425371"/>
    <w:rsid w:val="00426228"/>
    <w:rsid w:val="00427697"/>
    <w:rsid w:val="004278FF"/>
    <w:rsid w:val="004303B9"/>
    <w:rsid w:val="004309EF"/>
    <w:rsid w:val="00431F1D"/>
    <w:rsid w:val="004330EE"/>
    <w:rsid w:val="00433D1F"/>
    <w:rsid w:val="00434891"/>
    <w:rsid w:val="004351A4"/>
    <w:rsid w:val="00435C6F"/>
    <w:rsid w:val="00436CEE"/>
    <w:rsid w:val="00437149"/>
    <w:rsid w:val="00440C34"/>
    <w:rsid w:val="00442433"/>
    <w:rsid w:val="004436AD"/>
    <w:rsid w:val="00443B76"/>
    <w:rsid w:val="004450BA"/>
    <w:rsid w:val="00445441"/>
    <w:rsid w:val="0044570D"/>
    <w:rsid w:val="00446C03"/>
    <w:rsid w:val="00447E34"/>
    <w:rsid w:val="0045297B"/>
    <w:rsid w:val="004536E9"/>
    <w:rsid w:val="00454114"/>
    <w:rsid w:val="0045417C"/>
    <w:rsid w:val="004549CE"/>
    <w:rsid w:val="00454A77"/>
    <w:rsid w:val="0045581D"/>
    <w:rsid w:val="004559A5"/>
    <w:rsid w:val="00455A73"/>
    <w:rsid w:val="00460CB4"/>
    <w:rsid w:val="0046110E"/>
    <w:rsid w:val="00461620"/>
    <w:rsid w:val="00462F01"/>
    <w:rsid w:val="004637DD"/>
    <w:rsid w:val="004639EB"/>
    <w:rsid w:val="00463C07"/>
    <w:rsid w:val="00463E0B"/>
    <w:rsid w:val="004651E8"/>
    <w:rsid w:val="00466626"/>
    <w:rsid w:val="0046662A"/>
    <w:rsid w:val="00466934"/>
    <w:rsid w:val="0046758F"/>
    <w:rsid w:val="00467CF6"/>
    <w:rsid w:val="004709F6"/>
    <w:rsid w:val="00470D84"/>
    <w:rsid w:val="00470DAE"/>
    <w:rsid w:val="00470E93"/>
    <w:rsid w:val="004714BF"/>
    <w:rsid w:val="004714E6"/>
    <w:rsid w:val="00471613"/>
    <w:rsid w:val="00471984"/>
    <w:rsid w:val="004720E6"/>
    <w:rsid w:val="0047258E"/>
    <w:rsid w:val="00474488"/>
    <w:rsid w:val="00474966"/>
    <w:rsid w:val="00474E2F"/>
    <w:rsid w:val="0047590C"/>
    <w:rsid w:val="00475B68"/>
    <w:rsid w:val="00476E6C"/>
    <w:rsid w:val="00477ECA"/>
    <w:rsid w:val="004803DB"/>
    <w:rsid w:val="0048189F"/>
    <w:rsid w:val="00481A1E"/>
    <w:rsid w:val="004835B7"/>
    <w:rsid w:val="00484F0B"/>
    <w:rsid w:val="0048526D"/>
    <w:rsid w:val="00486535"/>
    <w:rsid w:val="0048672C"/>
    <w:rsid w:val="004867E5"/>
    <w:rsid w:val="00486850"/>
    <w:rsid w:val="004874B0"/>
    <w:rsid w:val="00487EBA"/>
    <w:rsid w:val="00487F4A"/>
    <w:rsid w:val="0049148A"/>
    <w:rsid w:val="00491694"/>
    <w:rsid w:val="00492B26"/>
    <w:rsid w:val="00492C77"/>
    <w:rsid w:val="0049305B"/>
    <w:rsid w:val="00493EAF"/>
    <w:rsid w:val="00494AF1"/>
    <w:rsid w:val="00494E2D"/>
    <w:rsid w:val="00494EA8"/>
    <w:rsid w:val="004958FE"/>
    <w:rsid w:val="00495A4E"/>
    <w:rsid w:val="00495D7B"/>
    <w:rsid w:val="0049635F"/>
    <w:rsid w:val="00496A4A"/>
    <w:rsid w:val="00497660"/>
    <w:rsid w:val="004977B2"/>
    <w:rsid w:val="00497FAB"/>
    <w:rsid w:val="004A0730"/>
    <w:rsid w:val="004A10CB"/>
    <w:rsid w:val="004A1665"/>
    <w:rsid w:val="004A1A99"/>
    <w:rsid w:val="004A1C92"/>
    <w:rsid w:val="004A34B7"/>
    <w:rsid w:val="004A3D74"/>
    <w:rsid w:val="004A3F50"/>
    <w:rsid w:val="004A4047"/>
    <w:rsid w:val="004A6192"/>
    <w:rsid w:val="004A64C6"/>
    <w:rsid w:val="004A6E80"/>
    <w:rsid w:val="004A701A"/>
    <w:rsid w:val="004A710A"/>
    <w:rsid w:val="004A787E"/>
    <w:rsid w:val="004B0EC3"/>
    <w:rsid w:val="004B0ED1"/>
    <w:rsid w:val="004B144D"/>
    <w:rsid w:val="004B1620"/>
    <w:rsid w:val="004B1D0C"/>
    <w:rsid w:val="004B2138"/>
    <w:rsid w:val="004B2709"/>
    <w:rsid w:val="004B2748"/>
    <w:rsid w:val="004B3C04"/>
    <w:rsid w:val="004B3DB9"/>
    <w:rsid w:val="004B469C"/>
    <w:rsid w:val="004B5558"/>
    <w:rsid w:val="004B580D"/>
    <w:rsid w:val="004B58E9"/>
    <w:rsid w:val="004B5CED"/>
    <w:rsid w:val="004B6C2C"/>
    <w:rsid w:val="004C0514"/>
    <w:rsid w:val="004C0D0F"/>
    <w:rsid w:val="004C1417"/>
    <w:rsid w:val="004C18D9"/>
    <w:rsid w:val="004C247A"/>
    <w:rsid w:val="004C3EA4"/>
    <w:rsid w:val="004C42C4"/>
    <w:rsid w:val="004C57E4"/>
    <w:rsid w:val="004C5CBF"/>
    <w:rsid w:val="004C6E95"/>
    <w:rsid w:val="004C7AE3"/>
    <w:rsid w:val="004C7C49"/>
    <w:rsid w:val="004C7F5B"/>
    <w:rsid w:val="004D03B0"/>
    <w:rsid w:val="004D1381"/>
    <w:rsid w:val="004D24A6"/>
    <w:rsid w:val="004D2A67"/>
    <w:rsid w:val="004D313C"/>
    <w:rsid w:val="004D32DB"/>
    <w:rsid w:val="004D3C92"/>
    <w:rsid w:val="004D4C2E"/>
    <w:rsid w:val="004D4CB7"/>
    <w:rsid w:val="004D4D6B"/>
    <w:rsid w:val="004D4D96"/>
    <w:rsid w:val="004D6341"/>
    <w:rsid w:val="004D7FEA"/>
    <w:rsid w:val="004E3CF4"/>
    <w:rsid w:val="004E4DAB"/>
    <w:rsid w:val="004E53C1"/>
    <w:rsid w:val="004E5572"/>
    <w:rsid w:val="004E7305"/>
    <w:rsid w:val="004E75DE"/>
    <w:rsid w:val="004F07A7"/>
    <w:rsid w:val="004F15BB"/>
    <w:rsid w:val="004F165A"/>
    <w:rsid w:val="004F25C3"/>
    <w:rsid w:val="004F2690"/>
    <w:rsid w:val="004F2F8A"/>
    <w:rsid w:val="004F44F0"/>
    <w:rsid w:val="004F5F36"/>
    <w:rsid w:val="004F6173"/>
    <w:rsid w:val="004F6CD6"/>
    <w:rsid w:val="004F7682"/>
    <w:rsid w:val="004F79D4"/>
    <w:rsid w:val="00500033"/>
    <w:rsid w:val="00500B26"/>
    <w:rsid w:val="00501A3C"/>
    <w:rsid w:val="00501E95"/>
    <w:rsid w:val="00501EE5"/>
    <w:rsid w:val="00502088"/>
    <w:rsid w:val="00502E16"/>
    <w:rsid w:val="00503432"/>
    <w:rsid w:val="00503AF3"/>
    <w:rsid w:val="00503AF8"/>
    <w:rsid w:val="00504105"/>
    <w:rsid w:val="00504591"/>
    <w:rsid w:val="00504D2E"/>
    <w:rsid w:val="005065A3"/>
    <w:rsid w:val="00506F25"/>
    <w:rsid w:val="00506FC2"/>
    <w:rsid w:val="0050709D"/>
    <w:rsid w:val="00507A11"/>
    <w:rsid w:val="00510322"/>
    <w:rsid w:val="00510DE2"/>
    <w:rsid w:val="00512FB6"/>
    <w:rsid w:val="00512FC3"/>
    <w:rsid w:val="0051344E"/>
    <w:rsid w:val="00514A7F"/>
    <w:rsid w:val="00514C3D"/>
    <w:rsid w:val="00514D4A"/>
    <w:rsid w:val="0051501C"/>
    <w:rsid w:val="0051514E"/>
    <w:rsid w:val="00515CB4"/>
    <w:rsid w:val="00515FD6"/>
    <w:rsid w:val="00516D81"/>
    <w:rsid w:val="005176A8"/>
    <w:rsid w:val="0052028D"/>
    <w:rsid w:val="005206AC"/>
    <w:rsid w:val="00520E4B"/>
    <w:rsid w:val="00521F2B"/>
    <w:rsid w:val="00522A02"/>
    <w:rsid w:val="00522E27"/>
    <w:rsid w:val="00523641"/>
    <w:rsid w:val="00523D64"/>
    <w:rsid w:val="005244DB"/>
    <w:rsid w:val="00524DB6"/>
    <w:rsid w:val="005257F4"/>
    <w:rsid w:val="00525C59"/>
    <w:rsid w:val="00525C9A"/>
    <w:rsid w:val="005261D6"/>
    <w:rsid w:val="00526A08"/>
    <w:rsid w:val="0052773D"/>
    <w:rsid w:val="005314ED"/>
    <w:rsid w:val="00531702"/>
    <w:rsid w:val="005319F1"/>
    <w:rsid w:val="005322C1"/>
    <w:rsid w:val="0053403A"/>
    <w:rsid w:val="005347C0"/>
    <w:rsid w:val="005356A3"/>
    <w:rsid w:val="00535E1C"/>
    <w:rsid w:val="00536725"/>
    <w:rsid w:val="005371A0"/>
    <w:rsid w:val="00537384"/>
    <w:rsid w:val="00537A70"/>
    <w:rsid w:val="00541257"/>
    <w:rsid w:val="00541317"/>
    <w:rsid w:val="0054170B"/>
    <w:rsid w:val="005424D6"/>
    <w:rsid w:val="00543D37"/>
    <w:rsid w:val="00544244"/>
    <w:rsid w:val="005448DD"/>
    <w:rsid w:val="00544B38"/>
    <w:rsid w:val="0054583E"/>
    <w:rsid w:val="00545D1B"/>
    <w:rsid w:val="00545E7E"/>
    <w:rsid w:val="0054656C"/>
    <w:rsid w:val="00546D36"/>
    <w:rsid w:val="00546F86"/>
    <w:rsid w:val="00547349"/>
    <w:rsid w:val="005479FB"/>
    <w:rsid w:val="00550546"/>
    <w:rsid w:val="00550986"/>
    <w:rsid w:val="00550A51"/>
    <w:rsid w:val="00552048"/>
    <w:rsid w:val="005523D8"/>
    <w:rsid w:val="005526ED"/>
    <w:rsid w:val="00552CFE"/>
    <w:rsid w:val="00552D31"/>
    <w:rsid w:val="005532F5"/>
    <w:rsid w:val="00553491"/>
    <w:rsid w:val="00553F3D"/>
    <w:rsid w:val="00555507"/>
    <w:rsid w:val="00560202"/>
    <w:rsid w:val="0056061E"/>
    <w:rsid w:val="005607F6"/>
    <w:rsid w:val="00560ED6"/>
    <w:rsid w:val="005611C5"/>
    <w:rsid w:val="005613A7"/>
    <w:rsid w:val="00561C84"/>
    <w:rsid w:val="00561CAA"/>
    <w:rsid w:val="00562478"/>
    <w:rsid w:val="00563175"/>
    <w:rsid w:val="00563C8F"/>
    <w:rsid w:val="0056679F"/>
    <w:rsid w:val="0056688F"/>
    <w:rsid w:val="005675C6"/>
    <w:rsid w:val="00571E1B"/>
    <w:rsid w:val="005724B0"/>
    <w:rsid w:val="00572CB9"/>
    <w:rsid w:val="00572D83"/>
    <w:rsid w:val="00572E42"/>
    <w:rsid w:val="005749C3"/>
    <w:rsid w:val="00574E01"/>
    <w:rsid w:val="005757ED"/>
    <w:rsid w:val="00575A42"/>
    <w:rsid w:val="00576391"/>
    <w:rsid w:val="00576B2E"/>
    <w:rsid w:val="005774E8"/>
    <w:rsid w:val="0058094F"/>
    <w:rsid w:val="0058149A"/>
    <w:rsid w:val="00581775"/>
    <w:rsid w:val="0058366D"/>
    <w:rsid w:val="005836C9"/>
    <w:rsid w:val="00583E35"/>
    <w:rsid w:val="00583FA4"/>
    <w:rsid w:val="005842FF"/>
    <w:rsid w:val="00584903"/>
    <w:rsid w:val="0058540F"/>
    <w:rsid w:val="00585CD4"/>
    <w:rsid w:val="00585E84"/>
    <w:rsid w:val="00585EF6"/>
    <w:rsid w:val="00586B79"/>
    <w:rsid w:val="00586E91"/>
    <w:rsid w:val="005870BD"/>
    <w:rsid w:val="00587443"/>
    <w:rsid w:val="005909B9"/>
    <w:rsid w:val="005909BC"/>
    <w:rsid w:val="00593176"/>
    <w:rsid w:val="0059357E"/>
    <w:rsid w:val="0059383C"/>
    <w:rsid w:val="00595055"/>
    <w:rsid w:val="0059507F"/>
    <w:rsid w:val="005963CA"/>
    <w:rsid w:val="005969E1"/>
    <w:rsid w:val="005973AE"/>
    <w:rsid w:val="005A1B3A"/>
    <w:rsid w:val="005A2639"/>
    <w:rsid w:val="005A26A6"/>
    <w:rsid w:val="005A36E1"/>
    <w:rsid w:val="005A38AE"/>
    <w:rsid w:val="005A3EE9"/>
    <w:rsid w:val="005A4995"/>
    <w:rsid w:val="005A531E"/>
    <w:rsid w:val="005A632E"/>
    <w:rsid w:val="005A71D9"/>
    <w:rsid w:val="005A7728"/>
    <w:rsid w:val="005A7825"/>
    <w:rsid w:val="005B2756"/>
    <w:rsid w:val="005B2FE4"/>
    <w:rsid w:val="005B437D"/>
    <w:rsid w:val="005B4BBD"/>
    <w:rsid w:val="005B6853"/>
    <w:rsid w:val="005C00BE"/>
    <w:rsid w:val="005C04DA"/>
    <w:rsid w:val="005C05F7"/>
    <w:rsid w:val="005C18AA"/>
    <w:rsid w:val="005C19C7"/>
    <w:rsid w:val="005C1B00"/>
    <w:rsid w:val="005C1FFD"/>
    <w:rsid w:val="005C2142"/>
    <w:rsid w:val="005C2C2F"/>
    <w:rsid w:val="005C39D4"/>
    <w:rsid w:val="005C4184"/>
    <w:rsid w:val="005C569E"/>
    <w:rsid w:val="005C5C84"/>
    <w:rsid w:val="005C6AAF"/>
    <w:rsid w:val="005C6D40"/>
    <w:rsid w:val="005C7228"/>
    <w:rsid w:val="005D0A9C"/>
    <w:rsid w:val="005D0AB0"/>
    <w:rsid w:val="005D181F"/>
    <w:rsid w:val="005D1B40"/>
    <w:rsid w:val="005D2D07"/>
    <w:rsid w:val="005D3776"/>
    <w:rsid w:val="005D3841"/>
    <w:rsid w:val="005D5004"/>
    <w:rsid w:val="005D5043"/>
    <w:rsid w:val="005D6569"/>
    <w:rsid w:val="005D67C6"/>
    <w:rsid w:val="005D6D85"/>
    <w:rsid w:val="005E08DF"/>
    <w:rsid w:val="005E0B86"/>
    <w:rsid w:val="005E0C11"/>
    <w:rsid w:val="005E1E10"/>
    <w:rsid w:val="005E2400"/>
    <w:rsid w:val="005E2D7A"/>
    <w:rsid w:val="005E3095"/>
    <w:rsid w:val="005E3714"/>
    <w:rsid w:val="005E3A56"/>
    <w:rsid w:val="005E4703"/>
    <w:rsid w:val="005E4B79"/>
    <w:rsid w:val="005E5833"/>
    <w:rsid w:val="005E5857"/>
    <w:rsid w:val="005E603B"/>
    <w:rsid w:val="005E60A2"/>
    <w:rsid w:val="005E6919"/>
    <w:rsid w:val="005E6948"/>
    <w:rsid w:val="005E70F8"/>
    <w:rsid w:val="005E71FE"/>
    <w:rsid w:val="005E7E3B"/>
    <w:rsid w:val="005F0C23"/>
    <w:rsid w:val="005F1097"/>
    <w:rsid w:val="005F2315"/>
    <w:rsid w:val="005F25AA"/>
    <w:rsid w:val="005F3E99"/>
    <w:rsid w:val="005F4425"/>
    <w:rsid w:val="005F4894"/>
    <w:rsid w:val="005F546C"/>
    <w:rsid w:val="005F547C"/>
    <w:rsid w:val="005F54EF"/>
    <w:rsid w:val="005F6012"/>
    <w:rsid w:val="005F6769"/>
    <w:rsid w:val="005F7B32"/>
    <w:rsid w:val="00600888"/>
    <w:rsid w:val="00600894"/>
    <w:rsid w:val="00601B5C"/>
    <w:rsid w:val="00601E60"/>
    <w:rsid w:val="00602A4E"/>
    <w:rsid w:val="00603042"/>
    <w:rsid w:val="00603216"/>
    <w:rsid w:val="00604011"/>
    <w:rsid w:val="00604B3A"/>
    <w:rsid w:val="00604F07"/>
    <w:rsid w:val="0060506D"/>
    <w:rsid w:val="00605079"/>
    <w:rsid w:val="006059CB"/>
    <w:rsid w:val="00605A38"/>
    <w:rsid w:val="006063E7"/>
    <w:rsid w:val="006073DC"/>
    <w:rsid w:val="00610003"/>
    <w:rsid w:val="0061141C"/>
    <w:rsid w:val="0061142F"/>
    <w:rsid w:val="00612828"/>
    <w:rsid w:val="00612D90"/>
    <w:rsid w:val="00612FD5"/>
    <w:rsid w:val="00613374"/>
    <w:rsid w:val="006135F1"/>
    <w:rsid w:val="006137EC"/>
    <w:rsid w:val="00614097"/>
    <w:rsid w:val="006147FC"/>
    <w:rsid w:val="00614C7D"/>
    <w:rsid w:val="006151F9"/>
    <w:rsid w:val="00615664"/>
    <w:rsid w:val="00616561"/>
    <w:rsid w:val="0061754D"/>
    <w:rsid w:val="0061771B"/>
    <w:rsid w:val="0062001A"/>
    <w:rsid w:val="00621355"/>
    <w:rsid w:val="006215D0"/>
    <w:rsid w:val="0062665F"/>
    <w:rsid w:val="00626964"/>
    <w:rsid w:val="00627322"/>
    <w:rsid w:val="0063079C"/>
    <w:rsid w:val="00631355"/>
    <w:rsid w:val="0063164E"/>
    <w:rsid w:val="006317BB"/>
    <w:rsid w:val="006325F6"/>
    <w:rsid w:val="0063400A"/>
    <w:rsid w:val="00635568"/>
    <w:rsid w:val="00635F99"/>
    <w:rsid w:val="00636335"/>
    <w:rsid w:val="00636591"/>
    <w:rsid w:val="00637644"/>
    <w:rsid w:val="0063775F"/>
    <w:rsid w:val="00637871"/>
    <w:rsid w:val="00637DE9"/>
    <w:rsid w:val="00640C6D"/>
    <w:rsid w:val="00641009"/>
    <w:rsid w:val="00641362"/>
    <w:rsid w:val="006413C3"/>
    <w:rsid w:val="006413D4"/>
    <w:rsid w:val="00641464"/>
    <w:rsid w:val="00641A70"/>
    <w:rsid w:val="00642E17"/>
    <w:rsid w:val="00644B76"/>
    <w:rsid w:val="00644C8F"/>
    <w:rsid w:val="0064513F"/>
    <w:rsid w:val="00645EA3"/>
    <w:rsid w:val="00646658"/>
    <w:rsid w:val="006472CB"/>
    <w:rsid w:val="006477C5"/>
    <w:rsid w:val="00650144"/>
    <w:rsid w:val="00650243"/>
    <w:rsid w:val="00650EB3"/>
    <w:rsid w:val="006514FD"/>
    <w:rsid w:val="006518E3"/>
    <w:rsid w:val="00651DEE"/>
    <w:rsid w:val="0065203A"/>
    <w:rsid w:val="0065223B"/>
    <w:rsid w:val="006525C0"/>
    <w:rsid w:val="006534CA"/>
    <w:rsid w:val="00653858"/>
    <w:rsid w:val="00654F3C"/>
    <w:rsid w:val="00655DF7"/>
    <w:rsid w:val="006562C4"/>
    <w:rsid w:val="00657260"/>
    <w:rsid w:val="00657BFC"/>
    <w:rsid w:val="00660C59"/>
    <w:rsid w:val="00661331"/>
    <w:rsid w:val="00661557"/>
    <w:rsid w:val="00661A45"/>
    <w:rsid w:val="00661A47"/>
    <w:rsid w:val="00661A73"/>
    <w:rsid w:val="00662D3D"/>
    <w:rsid w:val="006634DA"/>
    <w:rsid w:val="00663D29"/>
    <w:rsid w:val="00666F6D"/>
    <w:rsid w:val="006672E0"/>
    <w:rsid w:val="0067068C"/>
    <w:rsid w:val="006728A1"/>
    <w:rsid w:val="00673B5D"/>
    <w:rsid w:val="0067405D"/>
    <w:rsid w:val="00675F62"/>
    <w:rsid w:val="00676721"/>
    <w:rsid w:val="00676ACC"/>
    <w:rsid w:val="00676F23"/>
    <w:rsid w:val="006771D4"/>
    <w:rsid w:val="00677C1A"/>
    <w:rsid w:val="0068084A"/>
    <w:rsid w:val="00680AF4"/>
    <w:rsid w:val="00680CBA"/>
    <w:rsid w:val="00682788"/>
    <w:rsid w:val="006835C6"/>
    <w:rsid w:val="00684DC9"/>
    <w:rsid w:val="00685278"/>
    <w:rsid w:val="0068554E"/>
    <w:rsid w:val="00685869"/>
    <w:rsid w:val="00685D2B"/>
    <w:rsid w:val="00686D72"/>
    <w:rsid w:val="00687D46"/>
    <w:rsid w:val="006900BA"/>
    <w:rsid w:val="00690470"/>
    <w:rsid w:val="00690BBB"/>
    <w:rsid w:val="00691636"/>
    <w:rsid w:val="00691747"/>
    <w:rsid w:val="00691BCD"/>
    <w:rsid w:val="006929F3"/>
    <w:rsid w:val="00692D6A"/>
    <w:rsid w:val="00692EA0"/>
    <w:rsid w:val="00693295"/>
    <w:rsid w:val="00693449"/>
    <w:rsid w:val="00694F2C"/>
    <w:rsid w:val="0069683A"/>
    <w:rsid w:val="00696F3B"/>
    <w:rsid w:val="00697720"/>
    <w:rsid w:val="00697C4B"/>
    <w:rsid w:val="00697D10"/>
    <w:rsid w:val="006A0A93"/>
    <w:rsid w:val="006A0E0D"/>
    <w:rsid w:val="006A0F02"/>
    <w:rsid w:val="006A1D36"/>
    <w:rsid w:val="006A26AF"/>
    <w:rsid w:val="006A357E"/>
    <w:rsid w:val="006A4308"/>
    <w:rsid w:val="006A4CEB"/>
    <w:rsid w:val="006A6599"/>
    <w:rsid w:val="006A6B9F"/>
    <w:rsid w:val="006A6D97"/>
    <w:rsid w:val="006A6E4C"/>
    <w:rsid w:val="006A7FF2"/>
    <w:rsid w:val="006B0729"/>
    <w:rsid w:val="006B1848"/>
    <w:rsid w:val="006B2221"/>
    <w:rsid w:val="006B3310"/>
    <w:rsid w:val="006B547F"/>
    <w:rsid w:val="006B5613"/>
    <w:rsid w:val="006B65CD"/>
    <w:rsid w:val="006B6BC0"/>
    <w:rsid w:val="006B7A96"/>
    <w:rsid w:val="006B7EC0"/>
    <w:rsid w:val="006C0744"/>
    <w:rsid w:val="006C1297"/>
    <w:rsid w:val="006C15F3"/>
    <w:rsid w:val="006C25E1"/>
    <w:rsid w:val="006C2DA6"/>
    <w:rsid w:val="006C2FDB"/>
    <w:rsid w:val="006C3BEE"/>
    <w:rsid w:val="006C4252"/>
    <w:rsid w:val="006C4932"/>
    <w:rsid w:val="006C55BF"/>
    <w:rsid w:val="006C59B4"/>
    <w:rsid w:val="006C5F87"/>
    <w:rsid w:val="006C724C"/>
    <w:rsid w:val="006C75BF"/>
    <w:rsid w:val="006D079E"/>
    <w:rsid w:val="006D1952"/>
    <w:rsid w:val="006D1A42"/>
    <w:rsid w:val="006D1CF5"/>
    <w:rsid w:val="006D2E30"/>
    <w:rsid w:val="006D30B5"/>
    <w:rsid w:val="006D3F3B"/>
    <w:rsid w:val="006D6D6A"/>
    <w:rsid w:val="006D7502"/>
    <w:rsid w:val="006D7D2F"/>
    <w:rsid w:val="006E06A2"/>
    <w:rsid w:val="006E0918"/>
    <w:rsid w:val="006E10CA"/>
    <w:rsid w:val="006E14AD"/>
    <w:rsid w:val="006E1838"/>
    <w:rsid w:val="006E2588"/>
    <w:rsid w:val="006E34DC"/>
    <w:rsid w:val="006E5C17"/>
    <w:rsid w:val="006E631E"/>
    <w:rsid w:val="006E7EE8"/>
    <w:rsid w:val="006F111E"/>
    <w:rsid w:val="006F2286"/>
    <w:rsid w:val="006F2E97"/>
    <w:rsid w:val="006F3818"/>
    <w:rsid w:val="006F3A50"/>
    <w:rsid w:val="006F425C"/>
    <w:rsid w:val="006F438D"/>
    <w:rsid w:val="006F4432"/>
    <w:rsid w:val="006F4765"/>
    <w:rsid w:val="006F5116"/>
    <w:rsid w:val="006F5EFD"/>
    <w:rsid w:val="006F71FA"/>
    <w:rsid w:val="006F7210"/>
    <w:rsid w:val="006F774F"/>
    <w:rsid w:val="007006E2"/>
    <w:rsid w:val="00701DC4"/>
    <w:rsid w:val="00701E43"/>
    <w:rsid w:val="0070225A"/>
    <w:rsid w:val="00702B53"/>
    <w:rsid w:val="00704D87"/>
    <w:rsid w:val="0070570D"/>
    <w:rsid w:val="007069C4"/>
    <w:rsid w:val="007123FF"/>
    <w:rsid w:val="0071284B"/>
    <w:rsid w:val="0071415C"/>
    <w:rsid w:val="00714DF0"/>
    <w:rsid w:val="007159CA"/>
    <w:rsid w:val="00715BD4"/>
    <w:rsid w:val="007169FE"/>
    <w:rsid w:val="007175DA"/>
    <w:rsid w:val="00717A0A"/>
    <w:rsid w:val="0072174F"/>
    <w:rsid w:val="00721B88"/>
    <w:rsid w:val="00721C2B"/>
    <w:rsid w:val="007220AF"/>
    <w:rsid w:val="007222E4"/>
    <w:rsid w:val="007239A9"/>
    <w:rsid w:val="00725B03"/>
    <w:rsid w:val="007262A5"/>
    <w:rsid w:val="0072676B"/>
    <w:rsid w:val="00726AD1"/>
    <w:rsid w:val="007276D6"/>
    <w:rsid w:val="00727A62"/>
    <w:rsid w:val="00730570"/>
    <w:rsid w:val="00730875"/>
    <w:rsid w:val="00731535"/>
    <w:rsid w:val="007319C2"/>
    <w:rsid w:val="00731E37"/>
    <w:rsid w:val="00733882"/>
    <w:rsid w:val="0073426C"/>
    <w:rsid w:val="0073499D"/>
    <w:rsid w:val="0073581E"/>
    <w:rsid w:val="00736739"/>
    <w:rsid w:val="007367CC"/>
    <w:rsid w:val="00736976"/>
    <w:rsid w:val="00736FAD"/>
    <w:rsid w:val="00736FD9"/>
    <w:rsid w:val="007402D8"/>
    <w:rsid w:val="0074092E"/>
    <w:rsid w:val="00740CF0"/>
    <w:rsid w:val="007411B4"/>
    <w:rsid w:val="00742A04"/>
    <w:rsid w:val="0074556E"/>
    <w:rsid w:val="00746388"/>
    <w:rsid w:val="00747228"/>
    <w:rsid w:val="00747CA8"/>
    <w:rsid w:val="0075000F"/>
    <w:rsid w:val="00750160"/>
    <w:rsid w:val="00750C89"/>
    <w:rsid w:val="00750E87"/>
    <w:rsid w:val="007520DC"/>
    <w:rsid w:val="00752235"/>
    <w:rsid w:val="00754587"/>
    <w:rsid w:val="00755C3B"/>
    <w:rsid w:val="00756C0D"/>
    <w:rsid w:val="00757327"/>
    <w:rsid w:val="00760A5E"/>
    <w:rsid w:val="00760C66"/>
    <w:rsid w:val="00762AC5"/>
    <w:rsid w:val="00762CBD"/>
    <w:rsid w:val="00764F86"/>
    <w:rsid w:val="00765BFC"/>
    <w:rsid w:val="007663AB"/>
    <w:rsid w:val="0076656E"/>
    <w:rsid w:val="0076709C"/>
    <w:rsid w:val="00767412"/>
    <w:rsid w:val="0077058E"/>
    <w:rsid w:val="00770739"/>
    <w:rsid w:val="0077099A"/>
    <w:rsid w:val="007722B4"/>
    <w:rsid w:val="00772E5A"/>
    <w:rsid w:val="007741BA"/>
    <w:rsid w:val="00775ACC"/>
    <w:rsid w:val="007768A3"/>
    <w:rsid w:val="0077692D"/>
    <w:rsid w:val="007769D1"/>
    <w:rsid w:val="007820FC"/>
    <w:rsid w:val="007825D5"/>
    <w:rsid w:val="0078417B"/>
    <w:rsid w:val="007856FB"/>
    <w:rsid w:val="00785D90"/>
    <w:rsid w:val="00787CB9"/>
    <w:rsid w:val="00787FEB"/>
    <w:rsid w:val="0079108A"/>
    <w:rsid w:val="0079120B"/>
    <w:rsid w:val="00792281"/>
    <w:rsid w:val="00793F1F"/>
    <w:rsid w:val="00793F88"/>
    <w:rsid w:val="00793FF6"/>
    <w:rsid w:val="00796B3F"/>
    <w:rsid w:val="00797BF9"/>
    <w:rsid w:val="007A04B4"/>
    <w:rsid w:val="007A2C4D"/>
    <w:rsid w:val="007A3217"/>
    <w:rsid w:val="007A345E"/>
    <w:rsid w:val="007A380A"/>
    <w:rsid w:val="007A4476"/>
    <w:rsid w:val="007A4A10"/>
    <w:rsid w:val="007A5543"/>
    <w:rsid w:val="007A5C38"/>
    <w:rsid w:val="007A6378"/>
    <w:rsid w:val="007A665B"/>
    <w:rsid w:val="007A76EC"/>
    <w:rsid w:val="007A778F"/>
    <w:rsid w:val="007B15D1"/>
    <w:rsid w:val="007B1F83"/>
    <w:rsid w:val="007B2649"/>
    <w:rsid w:val="007B2BA0"/>
    <w:rsid w:val="007B3403"/>
    <w:rsid w:val="007B379E"/>
    <w:rsid w:val="007B3E5A"/>
    <w:rsid w:val="007B45F5"/>
    <w:rsid w:val="007B48D0"/>
    <w:rsid w:val="007B4AA2"/>
    <w:rsid w:val="007B4D72"/>
    <w:rsid w:val="007B4D77"/>
    <w:rsid w:val="007B5464"/>
    <w:rsid w:val="007B5B9E"/>
    <w:rsid w:val="007B795F"/>
    <w:rsid w:val="007C01E6"/>
    <w:rsid w:val="007C0228"/>
    <w:rsid w:val="007C022D"/>
    <w:rsid w:val="007C0934"/>
    <w:rsid w:val="007C268A"/>
    <w:rsid w:val="007C341F"/>
    <w:rsid w:val="007C3483"/>
    <w:rsid w:val="007C3856"/>
    <w:rsid w:val="007C3952"/>
    <w:rsid w:val="007C50F3"/>
    <w:rsid w:val="007C54CC"/>
    <w:rsid w:val="007C5872"/>
    <w:rsid w:val="007C5F2E"/>
    <w:rsid w:val="007C65B3"/>
    <w:rsid w:val="007C6A27"/>
    <w:rsid w:val="007C7860"/>
    <w:rsid w:val="007C78B3"/>
    <w:rsid w:val="007C7D59"/>
    <w:rsid w:val="007D04DA"/>
    <w:rsid w:val="007D1192"/>
    <w:rsid w:val="007D12A3"/>
    <w:rsid w:val="007D2E34"/>
    <w:rsid w:val="007D36C8"/>
    <w:rsid w:val="007D3FA5"/>
    <w:rsid w:val="007D406D"/>
    <w:rsid w:val="007D4688"/>
    <w:rsid w:val="007D486A"/>
    <w:rsid w:val="007D4E1D"/>
    <w:rsid w:val="007D512D"/>
    <w:rsid w:val="007D5312"/>
    <w:rsid w:val="007D63A0"/>
    <w:rsid w:val="007D6475"/>
    <w:rsid w:val="007D653A"/>
    <w:rsid w:val="007D66F2"/>
    <w:rsid w:val="007D6B39"/>
    <w:rsid w:val="007D7029"/>
    <w:rsid w:val="007D7D86"/>
    <w:rsid w:val="007E0AFC"/>
    <w:rsid w:val="007E0DFE"/>
    <w:rsid w:val="007E12E4"/>
    <w:rsid w:val="007E2EE8"/>
    <w:rsid w:val="007E2FBA"/>
    <w:rsid w:val="007E3724"/>
    <w:rsid w:val="007E43BF"/>
    <w:rsid w:val="007E444B"/>
    <w:rsid w:val="007E44CA"/>
    <w:rsid w:val="007E475E"/>
    <w:rsid w:val="007E5B4C"/>
    <w:rsid w:val="007E7299"/>
    <w:rsid w:val="007E7E17"/>
    <w:rsid w:val="007F0502"/>
    <w:rsid w:val="007F093C"/>
    <w:rsid w:val="007F14C4"/>
    <w:rsid w:val="007F1946"/>
    <w:rsid w:val="007F203F"/>
    <w:rsid w:val="007F239D"/>
    <w:rsid w:val="007F26E9"/>
    <w:rsid w:val="007F2933"/>
    <w:rsid w:val="007F3428"/>
    <w:rsid w:val="007F344C"/>
    <w:rsid w:val="007F48DF"/>
    <w:rsid w:val="007F4AFD"/>
    <w:rsid w:val="007F4E4D"/>
    <w:rsid w:val="007F5684"/>
    <w:rsid w:val="007F6C30"/>
    <w:rsid w:val="007F6C60"/>
    <w:rsid w:val="007F746B"/>
    <w:rsid w:val="007F7507"/>
    <w:rsid w:val="008004BC"/>
    <w:rsid w:val="00800C2F"/>
    <w:rsid w:val="0080137A"/>
    <w:rsid w:val="008015F1"/>
    <w:rsid w:val="00801A54"/>
    <w:rsid w:val="00802868"/>
    <w:rsid w:val="00803672"/>
    <w:rsid w:val="00803B28"/>
    <w:rsid w:val="00803BB7"/>
    <w:rsid w:val="008050BC"/>
    <w:rsid w:val="008059AD"/>
    <w:rsid w:val="008067B7"/>
    <w:rsid w:val="0080762B"/>
    <w:rsid w:val="008107DF"/>
    <w:rsid w:val="00811678"/>
    <w:rsid w:val="0081178E"/>
    <w:rsid w:val="00811B7C"/>
    <w:rsid w:val="00811D75"/>
    <w:rsid w:val="00812255"/>
    <w:rsid w:val="008128DA"/>
    <w:rsid w:val="00814B5D"/>
    <w:rsid w:val="008154DB"/>
    <w:rsid w:val="008176B2"/>
    <w:rsid w:val="00817F10"/>
    <w:rsid w:val="00820B83"/>
    <w:rsid w:val="00820C8C"/>
    <w:rsid w:val="00821302"/>
    <w:rsid w:val="00822C8A"/>
    <w:rsid w:val="008233F1"/>
    <w:rsid w:val="008257B2"/>
    <w:rsid w:val="00825B3E"/>
    <w:rsid w:val="00825FA6"/>
    <w:rsid w:val="00826CEB"/>
    <w:rsid w:val="00827A15"/>
    <w:rsid w:val="008306B9"/>
    <w:rsid w:val="00831293"/>
    <w:rsid w:val="00831AB4"/>
    <w:rsid w:val="00831F07"/>
    <w:rsid w:val="00834309"/>
    <w:rsid w:val="008348F2"/>
    <w:rsid w:val="0083528E"/>
    <w:rsid w:val="008356CA"/>
    <w:rsid w:val="00835D56"/>
    <w:rsid w:val="00836945"/>
    <w:rsid w:val="00836B47"/>
    <w:rsid w:val="00837C89"/>
    <w:rsid w:val="00837D84"/>
    <w:rsid w:val="0084135E"/>
    <w:rsid w:val="00843D1D"/>
    <w:rsid w:val="00844FDB"/>
    <w:rsid w:val="008461E7"/>
    <w:rsid w:val="00846C2E"/>
    <w:rsid w:val="00846C74"/>
    <w:rsid w:val="008473C5"/>
    <w:rsid w:val="00847B75"/>
    <w:rsid w:val="008502F2"/>
    <w:rsid w:val="0085057A"/>
    <w:rsid w:val="0085266D"/>
    <w:rsid w:val="00852AC3"/>
    <w:rsid w:val="00853978"/>
    <w:rsid w:val="00853F03"/>
    <w:rsid w:val="00854F40"/>
    <w:rsid w:val="00855037"/>
    <w:rsid w:val="00855634"/>
    <w:rsid w:val="00855B3B"/>
    <w:rsid w:val="0086052F"/>
    <w:rsid w:val="008605ED"/>
    <w:rsid w:val="00860FBC"/>
    <w:rsid w:val="008617CC"/>
    <w:rsid w:val="008622B4"/>
    <w:rsid w:val="008622FD"/>
    <w:rsid w:val="00862509"/>
    <w:rsid w:val="00862777"/>
    <w:rsid w:val="00863DDC"/>
    <w:rsid w:val="00863DEB"/>
    <w:rsid w:val="008643C5"/>
    <w:rsid w:val="00865170"/>
    <w:rsid w:val="008651A0"/>
    <w:rsid w:val="008653AC"/>
    <w:rsid w:val="00867349"/>
    <w:rsid w:val="00870217"/>
    <w:rsid w:val="00870BCE"/>
    <w:rsid w:val="0087158A"/>
    <w:rsid w:val="008725A7"/>
    <w:rsid w:val="008728B2"/>
    <w:rsid w:val="008733E0"/>
    <w:rsid w:val="00873A9F"/>
    <w:rsid w:val="00873C5C"/>
    <w:rsid w:val="0087447F"/>
    <w:rsid w:val="0087472C"/>
    <w:rsid w:val="008755EA"/>
    <w:rsid w:val="00876130"/>
    <w:rsid w:val="00876D57"/>
    <w:rsid w:val="00877086"/>
    <w:rsid w:val="00877AA0"/>
    <w:rsid w:val="00881D64"/>
    <w:rsid w:val="008825AE"/>
    <w:rsid w:val="00883865"/>
    <w:rsid w:val="0088509B"/>
    <w:rsid w:val="0088525B"/>
    <w:rsid w:val="00886279"/>
    <w:rsid w:val="00886BC6"/>
    <w:rsid w:val="00886E97"/>
    <w:rsid w:val="008907B8"/>
    <w:rsid w:val="00890CDA"/>
    <w:rsid w:val="00891D75"/>
    <w:rsid w:val="008920C7"/>
    <w:rsid w:val="00892DDE"/>
    <w:rsid w:val="00893DBB"/>
    <w:rsid w:val="00893DF9"/>
    <w:rsid w:val="00894371"/>
    <w:rsid w:val="00894A33"/>
    <w:rsid w:val="00895A66"/>
    <w:rsid w:val="00895E6C"/>
    <w:rsid w:val="0089656D"/>
    <w:rsid w:val="00896BCB"/>
    <w:rsid w:val="008972D5"/>
    <w:rsid w:val="00897464"/>
    <w:rsid w:val="00897B82"/>
    <w:rsid w:val="00897EBD"/>
    <w:rsid w:val="008A04BD"/>
    <w:rsid w:val="008A0B66"/>
    <w:rsid w:val="008A0C75"/>
    <w:rsid w:val="008A0E19"/>
    <w:rsid w:val="008A25D7"/>
    <w:rsid w:val="008A2682"/>
    <w:rsid w:val="008A2899"/>
    <w:rsid w:val="008A3414"/>
    <w:rsid w:val="008A38B9"/>
    <w:rsid w:val="008A3B96"/>
    <w:rsid w:val="008A3C01"/>
    <w:rsid w:val="008A3CE9"/>
    <w:rsid w:val="008A46AE"/>
    <w:rsid w:val="008A4E64"/>
    <w:rsid w:val="008A4F61"/>
    <w:rsid w:val="008A611D"/>
    <w:rsid w:val="008A6237"/>
    <w:rsid w:val="008A6C01"/>
    <w:rsid w:val="008A6F03"/>
    <w:rsid w:val="008A707E"/>
    <w:rsid w:val="008A7280"/>
    <w:rsid w:val="008B00B7"/>
    <w:rsid w:val="008B0108"/>
    <w:rsid w:val="008B020C"/>
    <w:rsid w:val="008B0B1F"/>
    <w:rsid w:val="008B0D68"/>
    <w:rsid w:val="008B14BC"/>
    <w:rsid w:val="008B198F"/>
    <w:rsid w:val="008B2FCC"/>
    <w:rsid w:val="008B38D5"/>
    <w:rsid w:val="008B4024"/>
    <w:rsid w:val="008B4542"/>
    <w:rsid w:val="008B4A13"/>
    <w:rsid w:val="008B4EAB"/>
    <w:rsid w:val="008B59AA"/>
    <w:rsid w:val="008B638E"/>
    <w:rsid w:val="008B63DF"/>
    <w:rsid w:val="008B6412"/>
    <w:rsid w:val="008B6B36"/>
    <w:rsid w:val="008C067B"/>
    <w:rsid w:val="008C1A76"/>
    <w:rsid w:val="008C1F8E"/>
    <w:rsid w:val="008C23B2"/>
    <w:rsid w:val="008C23E8"/>
    <w:rsid w:val="008C24C5"/>
    <w:rsid w:val="008C4612"/>
    <w:rsid w:val="008C6468"/>
    <w:rsid w:val="008C65AF"/>
    <w:rsid w:val="008C66C2"/>
    <w:rsid w:val="008C6C74"/>
    <w:rsid w:val="008C7661"/>
    <w:rsid w:val="008D0457"/>
    <w:rsid w:val="008D0AD9"/>
    <w:rsid w:val="008D1651"/>
    <w:rsid w:val="008D19AD"/>
    <w:rsid w:val="008D24B4"/>
    <w:rsid w:val="008D28E3"/>
    <w:rsid w:val="008D312D"/>
    <w:rsid w:val="008D31AE"/>
    <w:rsid w:val="008D37F5"/>
    <w:rsid w:val="008D39F7"/>
    <w:rsid w:val="008D403F"/>
    <w:rsid w:val="008D4558"/>
    <w:rsid w:val="008D4958"/>
    <w:rsid w:val="008D51FB"/>
    <w:rsid w:val="008D5823"/>
    <w:rsid w:val="008D65BB"/>
    <w:rsid w:val="008D6B10"/>
    <w:rsid w:val="008D6EB3"/>
    <w:rsid w:val="008D7135"/>
    <w:rsid w:val="008D74DC"/>
    <w:rsid w:val="008E088C"/>
    <w:rsid w:val="008E1301"/>
    <w:rsid w:val="008E236E"/>
    <w:rsid w:val="008E346F"/>
    <w:rsid w:val="008E38BC"/>
    <w:rsid w:val="008E3D09"/>
    <w:rsid w:val="008E4C7E"/>
    <w:rsid w:val="008E5231"/>
    <w:rsid w:val="008E5834"/>
    <w:rsid w:val="008E5ADF"/>
    <w:rsid w:val="008E5EBF"/>
    <w:rsid w:val="008E652F"/>
    <w:rsid w:val="008E6CBE"/>
    <w:rsid w:val="008E6F18"/>
    <w:rsid w:val="008E709F"/>
    <w:rsid w:val="008E75F8"/>
    <w:rsid w:val="008E7E1B"/>
    <w:rsid w:val="008F0C8E"/>
    <w:rsid w:val="008F0FA4"/>
    <w:rsid w:val="008F159B"/>
    <w:rsid w:val="008F303A"/>
    <w:rsid w:val="008F32FC"/>
    <w:rsid w:val="008F3461"/>
    <w:rsid w:val="008F40B0"/>
    <w:rsid w:val="008F46A0"/>
    <w:rsid w:val="008F4DB2"/>
    <w:rsid w:val="008F644C"/>
    <w:rsid w:val="008F7F9D"/>
    <w:rsid w:val="009008F2"/>
    <w:rsid w:val="00900957"/>
    <w:rsid w:val="0090127B"/>
    <w:rsid w:val="00901C2D"/>
    <w:rsid w:val="00901C43"/>
    <w:rsid w:val="0090229A"/>
    <w:rsid w:val="0090270A"/>
    <w:rsid w:val="00902A68"/>
    <w:rsid w:val="00903956"/>
    <w:rsid w:val="0090630C"/>
    <w:rsid w:val="00910C77"/>
    <w:rsid w:val="009111AD"/>
    <w:rsid w:val="00912890"/>
    <w:rsid w:val="00914A06"/>
    <w:rsid w:val="00914AB5"/>
    <w:rsid w:val="00914F67"/>
    <w:rsid w:val="00915274"/>
    <w:rsid w:val="009152AA"/>
    <w:rsid w:val="00915A41"/>
    <w:rsid w:val="00915C52"/>
    <w:rsid w:val="00916595"/>
    <w:rsid w:val="00917E44"/>
    <w:rsid w:val="00921761"/>
    <w:rsid w:val="0092274F"/>
    <w:rsid w:val="0092280C"/>
    <w:rsid w:val="0092572F"/>
    <w:rsid w:val="00926A24"/>
    <w:rsid w:val="009275C6"/>
    <w:rsid w:val="009305EC"/>
    <w:rsid w:val="0093122B"/>
    <w:rsid w:val="00931BD8"/>
    <w:rsid w:val="00932F17"/>
    <w:rsid w:val="009333B7"/>
    <w:rsid w:val="00933571"/>
    <w:rsid w:val="0093592B"/>
    <w:rsid w:val="00935A90"/>
    <w:rsid w:val="00936BA6"/>
    <w:rsid w:val="00936E20"/>
    <w:rsid w:val="009378BD"/>
    <w:rsid w:val="00937BAA"/>
    <w:rsid w:val="0094079C"/>
    <w:rsid w:val="009408DD"/>
    <w:rsid w:val="00940B2A"/>
    <w:rsid w:val="0094104E"/>
    <w:rsid w:val="00941332"/>
    <w:rsid w:val="00941424"/>
    <w:rsid w:val="00942588"/>
    <w:rsid w:val="009429D8"/>
    <w:rsid w:val="00942B0C"/>
    <w:rsid w:val="009433F1"/>
    <w:rsid w:val="00943645"/>
    <w:rsid w:val="00944303"/>
    <w:rsid w:val="009448A2"/>
    <w:rsid w:val="009451E4"/>
    <w:rsid w:val="00945F64"/>
    <w:rsid w:val="009469D4"/>
    <w:rsid w:val="009469E9"/>
    <w:rsid w:val="0094786F"/>
    <w:rsid w:val="00947CC0"/>
    <w:rsid w:val="009505D2"/>
    <w:rsid w:val="00950754"/>
    <w:rsid w:val="009516F9"/>
    <w:rsid w:val="00951CFD"/>
    <w:rsid w:val="009521DB"/>
    <w:rsid w:val="00952329"/>
    <w:rsid w:val="00952AED"/>
    <w:rsid w:val="00952C5C"/>
    <w:rsid w:val="009531C3"/>
    <w:rsid w:val="00953BC7"/>
    <w:rsid w:val="00954904"/>
    <w:rsid w:val="009551F9"/>
    <w:rsid w:val="0095619F"/>
    <w:rsid w:val="00956662"/>
    <w:rsid w:val="0095673A"/>
    <w:rsid w:val="009570EF"/>
    <w:rsid w:val="00957191"/>
    <w:rsid w:val="00957C65"/>
    <w:rsid w:val="0096001C"/>
    <w:rsid w:val="00962B19"/>
    <w:rsid w:val="00962CBD"/>
    <w:rsid w:val="00963214"/>
    <w:rsid w:val="00964178"/>
    <w:rsid w:val="00965A2F"/>
    <w:rsid w:val="0096708C"/>
    <w:rsid w:val="009704F6"/>
    <w:rsid w:val="009718D9"/>
    <w:rsid w:val="00971C8E"/>
    <w:rsid w:val="00972302"/>
    <w:rsid w:val="009739AE"/>
    <w:rsid w:val="009745CE"/>
    <w:rsid w:val="009748FA"/>
    <w:rsid w:val="00974F47"/>
    <w:rsid w:val="00975A9E"/>
    <w:rsid w:val="00975FBB"/>
    <w:rsid w:val="00977453"/>
    <w:rsid w:val="00980220"/>
    <w:rsid w:val="00980475"/>
    <w:rsid w:val="00980D1B"/>
    <w:rsid w:val="009815FF"/>
    <w:rsid w:val="00981890"/>
    <w:rsid w:val="009819AF"/>
    <w:rsid w:val="00981D91"/>
    <w:rsid w:val="00982243"/>
    <w:rsid w:val="00982B5D"/>
    <w:rsid w:val="009848B5"/>
    <w:rsid w:val="009854B7"/>
    <w:rsid w:val="00985725"/>
    <w:rsid w:val="00985D03"/>
    <w:rsid w:val="00986489"/>
    <w:rsid w:val="009879DF"/>
    <w:rsid w:val="00990FC2"/>
    <w:rsid w:val="00991BAA"/>
    <w:rsid w:val="00992121"/>
    <w:rsid w:val="00995D97"/>
    <w:rsid w:val="00995F3E"/>
    <w:rsid w:val="00996203"/>
    <w:rsid w:val="0099669B"/>
    <w:rsid w:val="00997361"/>
    <w:rsid w:val="009975F9"/>
    <w:rsid w:val="00997ABC"/>
    <w:rsid w:val="00997BB8"/>
    <w:rsid w:val="00997F00"/>
    <w:rsid w:val="009A0050"/>
    <w:rsid w:val="009A0524"/>
    <w:rsid w:val="009A09A9"/>
    <w:rsid w:val="009A0FB2"/>
    <w:rsid w:val="009A12C2"/>
    <w:rsid w:val="009A1B99"/>
    <w:rsid w:val="009A1CE7"/>
    <w:rsid w:val="009A209E"/>
    <w:rsid w:val="009A2320"/>
    <w:rsid w:val="009A272A"/>
    <w:rsid w:val="009A2991"/>
    <w:rsid w:val="009A30E5"/>
    <w:rsid w:val="009A36B1"/>
    <w:rsid w:val="009A36F8"/>
    <w:rsid w:val="009A397B"/>
    <w:rsid w:val="009A46D0"/>
    <w:rsid w:val="009A48C1"/>
    <w:rsid w:val="009A5135"/>
    <w:rsid w:val="009A533C"/>
    <w:rsid w:val="009A67A2"/>
    <w:rsid w:val="009A6E42"/>
    <w:rsid w:val="009A6FCD"/>
    <w:rsid w:val="009B0704"/>
    <w:rsid w:val="009B122F"/>
    <w:rsid w:val="009B1250"/>
    <w:rsid w:val="009B1B93"/>
    <w:rsid w:val="009B24F7"/>
    <w:rsid w:val="009B2A2B"/>
    <w:rsid w:val="009B2B30"/>
    <w:rsid w:val="009B32EC"/>
    <w:rsid w:val="009B3BF1"/>
    <w:rsid w:val="009B57BD"/>
    <w:rsid w:val="009B5DA3"/>
    <w:rsid w:val="009B69A5"/>
    <w:rsid w:val="009C0433"/>
    <w:rsid w:val="009C06CC"/>
    <w:rsid w:val="009C08FB"/>
    <w:rsid w:val="009C0CF8"/>
    <w:rsid w:val="009C0FEF"/>
    <w:rsid w:val="009C25C8"/>
    <w:rsid w:val="009C352C"/>
    <w:rsid w:val="009C3F83"/>
    <w:rsid w:val="009C4605"/>
    <w:rsid w:val="009C52F3"/>
    <w:rsid w:val="009C6667"/>
    <w:rsid w:val="009C6E57"/>
    <w:rsid w:val="009C6F8C"/>
    <w:rsid w:val="009C766C"/>
    <w:rsid w:val="009C7F27"/>
    <w:rsid w:val="009D0E47"/>
    <w:rsid w:val="009D173E"/>
    <w:rsid w:val="009D1A12"/>
    <w:rsid w:val="009D30DE"/>
    <w:rsid w:val="009D36D1"/>
    <w:rsid w:val="009D3ACA"/>
    <w:rsid w:val="009D3BD8"/>
    <w:rsid w:val="009D4482"/>
    <w:rsid w:val="009D5C97"/>
    <w:rsid w:val="009D5D64"/>
    <w:rsid w:val="009D600B"/>
    <w:rsid w:val="009D65E7"/>
    <w:rsid w:val="009D6E39"/>
    <w:rsid w:val="009E0453"/>
    <w:rsid w:val="009E05B2"/>
    <w:rsid w:val="009E06C5"/>
    <w:rsid w:val="009E14FF"/>
    <w:rsid w:val="009E1970"/>
    <w:rsid w:val="009E23D2"/>
    <w:rsid w:val="009E28E0"/>
    <w:rsid w:val="009E2F15"/>
    <w:rsid w:val="009E3199"/>
    <w:rsid w:val="009E392E"/>
    <w:rsid w:val="009E3B46"/>
    <w:rsid w:val="009E3FA8"/>
    <w:rsid w:val="009E6FA2"/>
    <w:rsid w:val="009F065A"/>
    <w:rsid w:val="009F0CAF"/>
    <w:rsid w:val="009F24E6"/>
    <w:rsid w:val="009F3123"/>
    <w:rsid w:val="009F34B6"/>
    <w:rsid w:val="009F350A"/>
    <w:rsid w:val="009F37AE"/>
    <w:rsid w:val="009F3D69"/>
    <w:rsid w:val="009F417E"/>
    <w:rsid w:val="009F49B2"/>
    <w:rsid w:val="009F4D9D"/>
    <w:rsid w:val="009F5E59"/>
    <w:rsid w:val="00A005AD"/>
    <w:rsid w:val="00A0168C"/>
    <w:rsid w:val="00A02745"/>
    <w:rsid w:val="00A027C7"/>
    <w:rsid w:val="00A0281F"/>
    <w:rsid w:val="00A046CC"/>
    <w:rsid w:val="00A05545"/>
    <w:rsid w:val="00A05847"/>
    <w:rsid w:val="00A05A9F"/>
    <w:rsid w:val="00A05EFB"/>
    <w:rsid w:val="00A06E80"/>
    <w:rsid w:val="00A0758D"/>
    <w:rsid w:val="00A075CF"/>
    <w:rsid w:val="00A07D75"/>
    <w:rsid w:val="00A102AC"/>
    <w:rsid w:val="00A10FF0"/>
    <w:rsid w:val="00A12CD8"/>
    <w:rsid w:val="00A13598"/>
    <w:rsid w:val="00A13970"/>
    <w:rsid w:val="00A148F7"/>
    <w:rsid w:val="00A1644D"/>
    <w:rsid w:val="00A1720B"/>
    <w:rsid w:val="00A1797E"/>
    <w:rsid w:val="00A2169C"/>
    <w:rsid w:val="00A21D7D"/>
    <w:rsid w:val="00A22210"/>
    <w:rsid w:val="00A22276"/>
    <w:rsid w:val="00A223F4"/>
    <w:rsid w:val="00A24287"/>
    <w:rsid w:val="00A24BD5"/>
    <w:rsid w:val="00A24E13"/>
    <w:rsid w:val="00A250DF"/>
    <w:rsid w:val="00A26768"/>
    <w:rsid w:val="00A27D14"/>
    <w:rsid w:val="00A303AC"/>
    <w:rsid w:val="00A30B35"/>
    <w:rsid w:val="00A3198B"/>
    <w:rsid w:val="00A31B0D"/>
    <w:rsid w:val="00A31FF2"/>
    <w:rsid w:val="00A3213C"/>
    <w:rsid w:val="00A323E2"/>
    <w:rsid w:val="00A33710"/>
    <w:rsid w:val="00A338F6"/>
    <w:rsid w:val="00A33B4B"/>
    <w:rsid w:val="00A35213"/>
    <w:rsid w:val="00A36C81"/>
    <w:rsid w:val="00A370AF"/>
    <w:rsid w:val="00A37DA6"/>
    <w:rsid w:val="00A4069B"/>
    <w:rsid w:val="00A41200"/>
    <w:rsid w:val="00A4355F"/>
    <w:rsid w:val="00A4392A"/>
    <w:rsid w:val="00A4419A"/>
    <w:rsid w:val="00A4446F"/>
    <w:rsid w:val="00A44C63"/>
    <w:rsid w:val="00A45C39"/>
    <w:rsid w:val="00A46C55"/>
    <w:rsid w:val="00A47022"/>
    <w:rsid w:val="00A47257"/>
    <w:rsid w:val="00A47430"/>
    <w:rsid w:val="00A474E2"/>
    <w:rsid w:val="00A47F6C"/>
    <w:rsid w:val="00A47FFD"/>
    <w:rsid w:val="00A51F60"/>
    <w:rsid w:val="00A521B8"/>
    <w:rsid w:val="00A524FA"/>
    <w:rsid w:val="00A52840"/>
    <w:rsid w:val="00A53501"/>
    <w:rsid w:val="00A5364F"/>
    <w:rsid w:val="00A53E95"/>
    <w:rsid w:val="00A5492A"/>
    <w:rsid w:val="00A5604E"/>
    <w:rsid w:val="00A56D62"/>
    <w:rsid w:val="00A60159"/>
    <w:rsid w:val="00A60436"/>
    <w:rsid w:val="00A608BE"/>
    <w:rsid w:val="00A60AC5"/>
    <w:rsid w:val="00A61028"/>
    <w:rsid w:val="00A6261B"/>
    <w:rsid w:val="00A653AB"/>
    <w:rsid w:val="00A65F05"/>
    <w:rsid w:val="00A66214"/>
    <w:rsid w:val="00A67F99"/>
    <w:rsid w:val="00A71D42"/>
    <w:rsid w:val="00A730A4"/>
    <w:rsid w:val="00A73E7D"/>
    <w:rsid w:val="00A742D4"/>
    <w:rsid w:val="00A74BF4"/>
    <w:rsid w:val="00A7546F"/>
    <w:rsid w:val="00A764C2"/>
    <w:rsid w:val="00A770D6"/>
    <w:rsid w:val="00A77A08"/>
    <w:rsid w:val="00A80751"/>
    <w:rsid w:val="00A80E11"/>
    <w:rsid w:val="00A80F26"/>
    <w:rsid w:val="00A826CB"/>
    <w:rsid w:val="00A8288F"/>
    <w:rsid w:val="00A82F50"/>
    <w:rsid w:val="00A835F7"/>
    <w:rsid w:val="00A835F8"/>
    <w:rsid w:val="00A83674"/>
    <w:rsid w:val="00A836A1"/>
    <w:rsid w:val="00A8570F"/>
    <w:rsid w:val="00A8580D"/>
    <w:rsid w:val="00A8633B"/>
    <w:rsid w:val="00A8681A"/>
    <w:rsid w:val="00A86A3D"/>
    <w:rsid w:val="00A87636"/>
    <w:rsid w:val="00A87CEC"/>
    <w:rsid w:val="00A903CA"/>
    <w:rsid w:val="00A91943"/>
    <w:rsid w:val="00A93B9E"/>
    <w:rsid w:val="00A940F3"/>
    <w:rsid w:val="00A96D46"/>
    <w:rsid w:val="00AA09F0"/>
    <w:rsid w:val="00AA0A1C"/>
    <w:rsid w:val="00AA1185"/>
    <w:rsid w:val="00AA16E7"/>
    <w:rsid w:val="00AA3CAA"/>
    <w:rsid w:val="00AA4BF1"/>
    <w:rsid w:val="00AA5278"/>
    <w:rsid w:val="00AA607E"/>
    <w:rsid w:val="00AA64F7"/>
    <w:rsid w:val="00AA7823"/>
    <w:rsid w:val="00AB00D3"/>
    <w:rsid w:val="00AB093E"/>
    <w:rsid w:val="00AB11C3"/>
    <w:rsid w:val="00AB330A"/>
    <w:rsid w:val="00AB3372"/>
    <w:rsid w:val="00AB463F"/>
    <w:rsid w:val="00AB52D9"/>
    <w:rsid w:val="00AB55A4"/>
    <w:rsid w:val="00AB5D49"/>
    <w:rsid w:val="00AB6594"/>
    <w:rsid w:val="00AB7044"/>
    <w:rsid w:val="00AC025C"/>
    <w:rsid w:val="00AC15E3"/>
    <w:rsid w:val="00AC1BF5"/>
    <w:rsid w:val="00AC2465"/>
    <w:rsid w:val="00AC2AA5"/>
    <w:rsid w:val="00AC3238"/>
    <w:rsid w:val="00AC3B07"/>
    <w:rsid w:val="00AC3EFA"/>
    <w:rsid w:val="00AC4F79"/>
    <w:rsid w:val="00AC5D28"/>
    <w:rsid w:val="00AC620E"/>
    <w:rsid w:val="00AC6C7B"/>
    <w:rsid w:val="00AD0155"/>
    <w:rsid w:val="00AD0883"/>
    <w:rsid w:val="00AD08DB"/>
    <w:rsid w:val="00AD0D7B"/>
    <w:rsid w:val="00AD1234"/>
    <w:rsid w:val="00AD20FC"/>
    <w:rsid w:val="00AD2157"/>
    <w:rsid w:val="00AD2489"/>
    <w:rsid w:val="00AD333C"/>
    <w:rsid w:val="00AD47E8"/>
    <w:rsid w:val="00AD5309"/>
    <w:rsid w:val="00AD5494"/>
    <w:rsid w:val="00AD5A5B"/>
    <w:rsid w:val="00AD5A98"/>
    <w:rsid w:val="00AD7C64"/>
    <w:rsid w:val="00AE0831"/>
    <w:rsid w:val="00AE1351"/>
    <w:rsid w:val="00AE14C6"/>
    <w:rsid w:val="00AE1A0E"/>
    <w:rsid w:val="00AE2810"/>
    <w:rsid w:val="00AE2953"/>
    <w:rsid w:val="00AE29D3"/>
    <w:rsid w:val="00AE3BE4"/>
    <w:rsid w:val="00AE3EEC"/>
    <w:rsid w:val="00AE4452"/>
    <w:rsid w:val="00AE4459"/>
    <w:rsid w:val="00AE4B65"/>
    <w:rsid w:val="00AE5318"/>
    <w:rsid w:val="00AE552C"/>
    <w:rsid w:val="00AE655D"/>
    <w:rsid w:val="00AE6649"/>
    <w:rsid w:val="00AE6904"/>
    <w:rsid w:val="00AE763B"/>
    <w:rsid w:val="00AE7B93"/>
    <w:rsid w:val="00AF01A9"/>
    <w:rsid w:val="00AF0A15"/>
    <w:rsid w:val="00AF201B"/>
    <w:rsid w:val="00AF226C"/>
    <w:rsid w:val="00AF366B"/>
    <w:rsid w:val="00AF398C"/>
    <w:rsid w:val="00AF443A"/>
    <w:rsid w:val="00AF637C"/>
    <w:rsid w:val="00AF63E6"/>
    <w:rsid w:val="00AF6A61"/>
    <w:rsid w:val="00AF7B8A"/>
    <w:rsid w:val="00AF7C8F"/>
    <w:rsid w:val="00B00CBD"/>
    <w:rsid w:val="00B0197C"/>
    <w:rsid w:val="00B01BC9"/>
    <w:rsid w:val="00B01FE8"/>
    <w:rsid w:val="00B0265E"/>
    <w:rsid w:val="00B02D5C"/>
    <w:rsid w:val="00B04C8F"/>
    <w:rsid w:val="00B05741"/>
    <w:rsid w:val="00B05988"/>
    <w:rsid w:val="00B0690A"/>
    <w:rsid w:val="00B06AB6"/>
    <w:rsid w:val="00B06F34"/>
    <w:rsid w:val="00B10F36"/>
    <w:rsid w:val="00B117F2"/>
    <w:rsid w:val="00B11C93"/>
    <w:rsid w:val="00B12A8D"/>
    <w:rsid w:val="00B133E6"/>
    <w:rsid w:val="00B13684"/>
    <w:rsid w:val="00B13783"/>
    <w:rsid w:val="00B14198"/>
    <w:rsid w:val="00B146CA"/>
    <w:rsid w:val="00B151F7"/>
    <w:rsid w:val="00B15810"/>
    <w:rsid w:val="00B15A0C"/>
    <w:rsid w:val="00B1686F"/>
    <w:rsid w:val="00B174B8"/>
    <w:rsid w:val="00B1752B"/>
    <w:rsid w:val="00B17BD7"/>
    <w:rsid w:val="00B2025A"/>
    <w:rsid w:val="00B2051E"/>
    <w:rsid w:val="00B221AE"/>
    <w:rsid w:val="00B22409"/>
    <w:rsid w:val="00B224E6"/>
    <w:rsid w:val="00B226AB"/>
    <w:rsid w:val="00B229D2"/>
    <w:rsid w:val="00B22D79"/>
    <w:rsid w:val="00B230DD"/>
    <w:rsid w:val="00B231C3"/>
    <w:rsid w:val="00B2334F"/>
    <w:rsid w:val="00B23A6D"/>
    <w:rsid w:val="00B245A3"/>
    <w:rsid w:val="00B245EB"/>
    <w:rsid w:val="00B25D64"/>
    <w:rsid w:val="00B2600A"/>
    <w:rsid w:val="00B2659F"/>
    <w:rsid w:val="00B2734A"/>
    <w:rsid w:val="00B306AA"/>
    <w:rsid w:val="00B306B8"/>
    <w:rsid w:val="00B30B86"/>
    <w:rsid w:val="00B31AE8"/>
    <w:rsid w:val="00B31D97"/>
    <w:rsid w:val="00B32021"/>
    <w:rsid w:val="00B32133"/>
    <w:rsid w:val="00B32B39"/>
    <w:rsid w:val="00B34971"/>
    <w:rsid w:val="00B37B73"/>
    <w:rsid w:val="00B413BA"/>
    <w:rsid w:val="00B41B9E"/>
    <w:rsid w:val="00B4269E"/>
    <w:rsid w:val="00B44A60"/>
    <w:rsid w:val="00B457D4"/>
    <w:rsid w:val="00B457DB"/>
    <w:rsid w:val="00B45CD3"/>
    <w:rsid w:val="00B4666F"/>
    <w:rsid w:val="00B5188E"/>
    <w:rsid w:val="00B525EF"/>
    <w:rsid w:val="00B527A6"/>
    <w:rsid w:val="00B528D8"/>
    <w:rsid w:val="00B52EAF"/>
    <w:rsid w:val="00B53467"/>
    <w:rsid w:val="00B53532"/>
    <w:rsid w:val="00B53811"/>
    <w:rsid w:val="00B53ADF"/>
    <w:rsid w:val="00B542AD"/>
    <w:rsid w:val="00B543D1"/>
    <w:rsid w:val="00B54A0D"/>
    <w:rsid w:val="00B562D4"/>
    <w:rsid w:val="00B570E4"/>
    <w:rsid w:val="00B5723A"/>
    <w:rsid w:val="00B621FB"/>
    <w:rsid w:val="00B62650"/>
    <w:rsid w:val="00B62ED2"/>
    <w:rsid w:val="00B638BB"/>
    <w:rsid w:val="00B65075"/>
    <w:rsid w:val="00B6666B"/>
    <w:rsid w:val="00B7105C"/>
    <w:rsid w:val="00B7191C"/>
    <w:rsid w:val="00B72406"/>
    <w:rsid w:val="00B72A1A"/>
    <w:rsid w:val="00B73629"/>
    <w:rsid w:val="00B73E07"/>
    <w:rsid w:val="00B741AF"/>
    <w:rsid w:val="00B74755"/>
    <w:rsid w:val="00B7598A"/>
    <w:rsid w:val="00B75B05"/>
    <w:rsid w:val="00B75D1B"/>
    <w:rsid w:val="00B7617E"/>
    <w:rsid w:val="00B766C9"/>
    <w:rsid w:val="00B76C53"/>
    <w:rsid w:val="00B770A5"/>
    <w:rsid w:val="00B77469"/>
    <w:rsid w:val="00B77758"/>
    <w:rsid w:val="00B77BC4"/>
    <w:rsid w:val="00B80D3F"/>
    <w:rsid w:val="00B81187"/>
    <w:rsid w:val="00B815B8"/>
    <w:rsid w:val="00B82116"/>
    <w:rsid w:val="00B82387"/>
    <w:rsid w:val="00B82A08"/>
    <w:rsid w:val="00B83ABC"/>
    <w:rsid w:val="00B83FEB"/>
    <w:rsid w:val="00B84531"/>
    <w:rsid w:val="00B84A94"/>
    <w:rsid w:val="00B8520A"/>
    <w:rsid w:val="00B85404"/>
    <w:rsid w:val="00B8584B"/>
    <w:rsid w:val="00B85C95"/>
    <w:rsid w:val="00B86412"/>
    <w:rsid w:val="00B90613"/>
    <w:rsid w:val="00B91851"/>
    <w:rsid w:val="00B92550"/>
    <w:rsid w:val="00B93211"/>
    <w:rsid w:val="00B93C4F"/>
    <w:rsid w:val="00B94FAC"/>
    <w:rsid w:val="00B952A0"/>
    <w:rsid w:val="00B95F91"/>
    <w:rsid w:val="00B96C92"/>
    <w:rsid w:val="00B97AC0"/>
    <w:rsid w:val="00BA01E4"/>
    <w:rsid w:val="00BA02FF"/>
    <w:rsid w:val="00BA0349"/>
    <w:rsid w:val="00BA055D"/>
    <w:rsid w:val="00BA1560"/>
    <w:rsid w:val="00BA1C36"/>
    <w:rsid w:val="00BA247F"/>
    <w:rsid w:val="00BA374C"/>
    <w:rsid w:val="00BA37E6"/>
    <w:rsid w:val="00BA5ABE"/>
    <w:rsid w:val="00BA70D3"/>
    <w:rsid w:val="00BA731A"/>
    <w:rsid w:val="00BA7839"/>
    <w:rsid w:val="00BB175E"/>
    <w:rsid w:val="00BB1C73"/>
    <w:rsid w:val="00BB1CDE"/>
    <w:rsid w:val="00BB2191"/>
    <w:rsid w:val="00BB27AD"/>
    <w:rsid w:val="00BB2C8F"/>
    <w:rsid w:val="00BB2CB9"/>
    <w:rsid w:val="00BB350B"/>
    <w:rsid w:val="00BB39E9"/>
    <w:rsid w:val="00BB4134"/>
    <w:rsid w:val="00BB461D"/>
    <w:rsid w:val="00BB4DB1"/>
    <w:rsid w:val="00BB574B"/>
    <w:rsid w:val="00BB5ACC"/>
    <w:rsid w:val="00BB6D58"/>
    <w:rsid w:val="00BC00DF"/>
    <w:rsid w:val="00BC0187"/>
    <w:rsid w:val="00BC11AD"/>
    <w:rsid w:val="00BC1D22"/>
    <w:rsid w:val="00BC2EB7"/>
    <w:rsid w:val="00BC2FBE"/>
    <w:rsid w:val="00BC4332"/>
    <w:rsid w:val="00BC43EC"/>
    <w:rsid w:val="00BC7247"/>
    <w:rsid w:val="00BC7B4D"/>
    <w:rsid w:val="00BC7C66"/>
    <w:rsid w:val="00BD0BBE"/>
    <w:rsid w:val="00BD0F63"/>
    <w:rsid w:val="00BD25DB"/>
    <w:rsid w:val="00BD2982"/>
    <w:rsid w:val="00BD2E81"/>
    <w:rsid w:val="00BD344E"/>
    <w:rsid w:val="00BD39FE"/>
    <w:rsid w:val="00BD3C28"/>
    <w:rsid w:val="00BD47D3"/>
    <w:rsid w:val="00BD6990"/>
    <w:rsid w:val="00BD6BCA"/>
    <w:rsid w:val="00BD7410"/>
    <w:rsid w:val="00BD78AB"/>
    <w:rsid w:val="00BD7DD0"/>
    <w:rsid w:val="00BE0087"/>
    <w:rsid w:val="00BE033C"/>
    <w:rsid w:val="00BE05F7"/>
    <w:rsid w:val="00BE0A20"/>
    <w:rsid w:val="00BE0FF5"/>
    <w:rsid w:val="00BE1768"/>
    <w:rsid w:val="00BE1CD8"/>
    <w:rsid w:val="00BE1EB8"/>
    <w:rsid w:val="00BE226C"/>
    <w:rsid w:val="00BE3BCD"/>
    <w:rsid w:val="00BE3C6F"/>
    <w:rsid w:val="00BE48B7"/>
    <w:rsid w:val="00BE4997"/>
    <w:rsid w:val="00BE521A"/>
    <w:rsid w:val="00BE6708"/>
    <w:rsid w:val="00BE6C6A"/>
    <w:rsid w:val="00BE6D1A"/>
    <w:rsid w:val="00BE7BDF"/>
    <w:rsid w:val="00BF2D4A"/>
    <w:rsid w:val="00BF2D62"/>
    <w:rsid w:val="00BF2E45"/>
    <w:rsid w:val="00BF3E69"/>
    <w:rsid w:val="00BF47A2"/>
    <w:rsid w:val="00BF54D0"/>
    <w:rsid w:val="00BF5516"/>
    <w:rsid w:val="00BF5C39"/>
    <w:rsid w:val="00BF5E7B"/>
    <w:rsid w:val="00BF6BE9"/>
    <w:rsid w:val="00BF7359"/>
    <w:rsid w:val="00BF7831"/>
    <w:rsid w:val="00C002C4"/>
    <w:rsid w:val="00C01272"/>
    <w:rsid w:val="00C01C28"/>
    <w:rsid w:val="00C03025"/>
    <w:rsid w:val="00C04623"/>
    <w:rsid w:val="00C05B34"/>
    <w:rsid w:val="00C05C8A"/>
    <w:rsid w:val="00C06409"/>
    <w:rsid w:val="00C06570"/>
    <w:rsid w:val="00C07379"/>
    <w:rsid w:val="00C07382"/>
    <w:rsid w:val="00C076F2"/>
    <w:rsid w:val="00C07C5C"/>
    <w:rsid w:val="00C07ED9"/>
    <w:rsid w:val="00C11D0F"/>
    <w:rsid w:val="00C12769"/>
    <w:rsid w:val="00C12877"/>
    <w:rsid w:val="00C13FE0"/>
    <w:rsid w:val="00C14BFF"/>
    <w:rsid w:val="00C14CF8"/>
    <w:rsid w:val="00C151F0"/>
    <w:rsid w:val="00C1618A"/>
    <w:rsid w:val="00C16CB4"/>
    <w:rsid w:val="00C16EF4"/>
    <w:rsid w:val="00C16F29"/>
    <w:rsid w:val="00C203D3"/>
    <w:rsid w:val="00C20994"/>
    <w:rsid w:val="00C20FC1"/>
    <w:rsid w:val="00C2174E"/>
    <w:rsid w:val="00C22C9A"/>
    <w:rsid w:val="00C234BA"/>
    <w:rsid w:val="00C239A5"/>
    <w:rsid w:val="00C23B5D"/>
    <w:rsid w:val="00C246A1"/>
    <w:rsid w:val="00C26A9C"/>
    <w:rsid w:val="00C2718E"/>
    <w:rsid w:val="00C27C42"/>
    <w:rsid w:val="00C31027"/>
    <w:rsid w:val="00C310DB"/>
    <w:rsid w:val="00C314B6"/>
    <w:rsid w:val="00C31D87"/>
    <w:rsid w:val="00C31DB8"/>
    <w:rsid w:val="00C31E33"/>
    <w:rsid w:val="00C32150"/>
    <w:rsid w:val="00C32858"/>
    <w:rsid w:val="00C32A63"/>
    <w:rsid w:val="00C33022"/>
    <w:rsid w:val="00C33200"/>
    <w:rsid w:val="00C339D4"/>
    <w:rsid w:val="00C33C47"/>
    <w:rsid w:val="00C353EC"/>
    <w:rsid w:val="00C36A57"/>
    <w:rsid w:val="00C36FB7"/>
    <w:rsid w:val="00C37B96"/>
    <w:rsid w:val="00C37DE3"/>
    <w:rsid w:val="00C40B55"/>
    <w:rsid w:val="00C41B68"/>
    <w:rsid w:val="00C4220D"/>
    <w:rsid w:val="00C426F1"/>
    <w:rsid w:val="00C42BED"/>
    <w:rsid w:val="00C42DB4"/>
    <w:rsid w:val="00C43439"/>
    <w:rsid w:val="00C4349E"/>
    <w:rsid w:val="00C44190"/>
    <w:rsid w:val="00C442BA"/>
    <w:rsid w:val="00C44705"/>
    <w:rsid w:val="00C4506B"/>
    <w:rsid w:val="00C451B6"/>
    <w:rsid w:val="00C457A4"/>
    <w:rsid w:val="00C462F8"/>
    <w:rsid w:val="00C47B2F"/>
    <w:rsid w:val="00C47DA5"/>
    <w:rsid w:val="00C50388"/>
    <w:rsid w:val="00C507CD"/>
    <w:rsid w:val="00C50A5D"/>
    <w:rsid w:val="00C50E7F"/>
    <w:rsid w:val="00C512C9"/>
    <w:rsid w:val="00C51346"/>
    <w:rsid w:val="00C52942"/>
    <w:rsid w:val="00C52FF7"/>
    <w:rsid w:val="00C5300D"/>
    <w:rsid w:val="00C5301F"/>
    <w:rsid w:val="00C534EA"/>
    <w:rsid w:val="00C53E32"/>
    <w:rsid w:val="00C54D70"/>
    <w:rsid w:val="00C5518A"/>
    <w:rsid w:val="00C55A52"/>
    <w:rsid w:val="00C55B39"/>
    <w:rsid w:val="00C57472"/>
    <w:rsid w:val="00C57670"/>
    <w:rsid w:val="00C603A4"/>
    <w:rsid w:val="00C60722"/>
    <w:rsid w:val="00C60E8E"/>
    <w:rsid w:val="00C6109A"/>
    <w:rsid w:val="00C61ABD"/>
    <w:rsid w:val="00C62127"/>
    <w:rsid w:val="00C62437"/>
    <w:rsid w:val="00C62D9B"/>
    <w:rsid w:val="00C62E42"/>
    <w:rsid w:val="00C6395A"/>
    <w:rsid w:val="00C64097"/>
    <w:rsid w:val="00C6714D"/>
    <w:rsid w:val="00C67383"/>
    <w:rsid w:val="00C67E3D"/>
    <w:rsid w:val="00C717B5"/>
    <w:rsid w:val="00C71F61"/>
    <w:rsid w:val="00C7508A"/>
    <w:rsid w:val="00C75491"/>
    <w:rsid w:val="00C75E4F"/>
    <w:rsid w:val="00C763D9"/>
    <w:rsid w:val="00C76940"/>
    <w:rsid w:val="00C77FF4"/>
    <w:rsid w:val="00C802FC"/>
    <w:rsid w:val="00C81658"/>
    <w:rsid w:val="00C821DA"/>
    <w:rsid w:val="00C82671"/>
    <w:rsid w:val="00C83354"/>
    <w:rsid w:val="00C855EC"/>
    <w:rsid w:val="00C85D82"/>
    <w:rsid w:val="00C85DB1"/>
    <w:rsid w:val="00C869B2"/>
    <w:rsid w:val="00C877FA"/>
    <w:rsid w:val="00C87E14"/>
    <w:rsid w:val="00C9063B"/>
    <w:rsid w:val="00C90771"/>
    <w:rsid w:val="00C90C52"/>
    <w:rsid w:val="00C90DEA"/>
    <w:rsid w:val="00C91923"/>
    <w:rsid w:val="00C91F6B"/>
    <w:rsid w:val="00C9237C"/>
    <w:rsid w:val="00C923A8"/>
    <w:rsid w:val="00C9263E"/>
    <w:rsid w:val="00C92DC4"/>
    <w:rsid w:val="00C93381"/>
    <w:rsid w:val="00C938AE"/>
    <w:rsid w:val="00C94194"/>
    <w:rsid w:val="00C96054"/>
    <w:rsid w:val="00C96909"/>
    <w:rsid w:val="00CA313E"/>
    <w:rsid w:val="00CA3C92"/>
    <w:rsid w:val="00CA4254"/>
    <w:rsid w:val="00CA4B5C"/>
    <w:rsid w:val="00CA4D30"/>
    <w:rsid w:val="00CA4D3B"/>
    <w:rsid w:val="00CA4ED0"/>
    <w:rsid w:val="00CA55DC"/>
    <w:rsid w:val="00CA5DCC"/>
    <w:rsid w:val="00CA646D"/>
    <w:rsid w:val="00CA7249"/>
    <w:rsid w:val="00CA7A1C"/>
    <w:rsid w:val="00CA7FD1"/>
    <w:rsid w:val="00CB0483"/>
    <w:rsid w:val="00CB0748"/>
    <w:rsid w:val="00CB0CAC"/>
    <w:rsid w:val="00CB0DC8"/>
    <w:rsid w:val="00CB10E8"/>
    <w:rsid w:val="00CB2022"/>
    <w:rsid w:val="00CB2DDC"/>
    <w:rsid w:val="00CB32F4"/>
    <w:rsid w:val="00CB4019"/>
    <w:rsid w:val="00CB461E"/>
    <w:rsid w:val="00CB4BD4"/>
    <w:rsid w:val="00CB4CDB"/>
    <w:rsid w:val="00CB530B"/>
    <w:rsid w:val="00CB544A"/>
    <w:rsid w:val="00CB556A"/>
    <w:rsid w:val="00CB6776"/>
    <w:rsid w:val="00CC072B"/>
    <w:rsid w:val="00CC07C5"/>
    <w:rsid w:val="00CC1064"/>
    <w:rsid w:val="00CC2059"/>
    <w:rsid w:val="00CC2602"/>
    <w:rsid w:val="00CC2FD3"/>
    <w:rsid w:val="00CC361E"/>
    <w:rsid w:val="00CC41FC"/>
    <w:rsid w:val="00CC421A"/>
    <w:rsid w:val="00CC448A"/>
    <w:rsid w:val="00CC4794"/>
    <w:rsid w:val="00CC496D"/>
    <w:rsid w:val="00CC561E"/>
    <w:rsid w:val="00CC5B3D"/>
    <w:rsid w:val="00CC5E66"/>
    <w:rsid w:val="00CC6353"/>
    <w:rsid w:val="00CC70FB"/>
    <w:rsid w:val="00CC7203"/>
    <w:rsid w:val="00CC73CF"/>
    <w:rsid w:val="00CD075A"/>
    <w:rsid w:val="00CD1860"/>
    <w:rsid w:val="00CD1B3A"/>
    <w:rsid w:val="00CD1CD3"/>
    <w:rsid w:val="00CD223F"/>
    <w:rsid w:val="00CD2FF0"/>
    <w:rsid w:val="00CD3AA6"/>
    <w:rsid w:val="00CD3BDF"/>
    <w:rsid w:val="00CD3CA0"/>
    <w:rsid w:val="00CD5E8F"/>
    <w:rsid w:val="00CD63E0"/>
    <w:rsid w:val="00CD7AC7"/>
    <w:rsid w:val="00CE0828"/>
    <w:rsid w:val="00CE0E5C"/>
    <w:rsid w:val="00CE1CFC"/>
    <w:rsid w:val="00CE2DAD"/>
    <w:rsid w:val="00CE4385"/>
    <w:rsid w:val="00CE48B6"/>
    <w:rsid w:val="00CE4B86"/>
    <w:rsid w:val="00CE5A7F"/>
    <w:rsid w:val="00CE5FA4"/>
    <w:rsid w:val="00CE6866"/>
    <w:rsid w:val="00CE7870"/>
    <w:rsid w:val="00CE7C23"/>
    <w:rsid w:val="00CF10BB"/>
    <w:rsid w:val="00CF1246"/>
    <w:rsid w:val="00CF2784"/>
    <w:rsid w:val="00CF2C0C"/>
    <w:rsid w:val="00CF2F77"/>
    <w:rsid w:val="00CF3562"/>
    <w:rsid w:val="00CF38FD"/>
    <w:rsid w:val="00CF4A85"/>
    <w:rsid w:val="00CF5A05"/>
    <w:rsid w:val="00CF5ABE"/>
    <w:rsid w:val="00D0107A"/>
    <w:rsid w:val="00D01E3D"/>
    <w:rsid w:val="00D02606"/>
    <w:rsid w:val="00D02CFD"/>
    <w:rsid w:val="00D02D21"/>
    <w:rsid w:val="00D02ECC"/>
    <w:rsid w:val="00D03759"/>
    <w:rsid w:val="00D05A91"/>
    <w:rsid w:val="00D0640E"/>
    <w:rsid w:val="00D065F5"/>
    <w:rsid w:val="00D077E8"/>
    <w:rsid w:val="00D1067E"/>
    <w:rsid w:val="00D11B2E"/>
    <w:rsid w:val="00D120BB"/>
    <w:rsid w:val="00D12AED"/>
    <w:rsid w:val="00D13ACA"/>
    <w:rsid w:val="00D15C9C"/>
    <w:rsid w:val="00D1622E"/>
    <w:rsid w:val="00D165B5"/>
    <w:rsid w:val="00D173AC"/>
    <w:rsid w:val="00D174CB"/>
    <w:rsid w:val="00D17616"/>
    <w:rsid w:val="00D21D27"/>
    <w:rsid w:val="00D22733"/>
    <w:rsid w:val="00D228A7"/>
    <w:rsid w:val="00D2363C"/>
    <w:rsid w:val="00D238A4"/>
    <w:rsid w:val="00D25BA3"/>
    <w:rsid w:val="00D25BE3"/>
    <w:rsid w:val="00D25E3F"/>
    <w:rsid w:val="00D25E90"/>
    <w:rsid w:val="00D26F19"/>
    <w:rsid w:val="00D27BE1"/>
    <w:rsid w:val="00D3165A"/>
    <w:rsid w:val="00D31966"/>
    <w:rsid w:val="00D331B8"/>
    <w:rsid w:val="00D3378F"/>
    <w:rsid w:val="00D33B12"/>
    <w:rsid w:val="00D33C7D"/>
    <w:rsid w:val="00D35225"/>
    <w:rsid w:val="00D358A2"/>
    <w:rsid w:val="00D36A03"/>
    <w:rsid w:val="00D402CF"/>
    <w:rsid w:val="00D42604"/>
    <w:rsid w:val="00D42876"/>
    <w:rsid w:val="00D4373A"/>
    <w:rsid w:val="00D43897"/>
    <w:rsid w:val="00D44733"/>
    <w:rsid w:val="00D44BD7"/>
    <w:rsid w:val="00D450CA"/>
    <w:rsid w:val="00D46C81"/>
    <w:rsid w:val="00D479CA"/>
    <w:rsid w:val="00D515FC"/>
    <w:rsid w:val="00D51F43"/>
    <w:rsid w:val="00D52339"/>
    <w:rsid w:val="00D523BA"/>
    <w:rsid w:val="00D53D79"/>
    <w:rsid w:val="00D5425F"/>
    <w:rsid w:val="00D549E8"/>
    <w:rsid w:val="00D55F42"/>
    <w:rsid w:val="00D56791"/>
    <w:rsid w:val="00D56E92"/>
    <w:rsid w:val="00D574C4"/>
    <w:rsid w:val="00D616C6"/>
    <w:rsid w:val="00D620D0"/>
    <w:rsid w:val="00D62786"/>
    <w:rsid w:val="00D6366C"/>
    <w:rsid w:val="00D63E50"/>
    <w:rsid w:val="00D646B1"/>
    <w:rsid w:val="00D64A40"/>
    <w:rsid w:val="00D661B4"/>
    <w:rsid w:val="00D667F2"/>
    <w:rsid w:val="00D66FC2"/>
    <w:rsid w:val="00D67231"/>
    <w:rsid w:val="00D677B0"/>
    <w:rsid w:val="00D67972"/>
    <w:rsid w:val="00D67ECB"/>
    <w:rsid w:val="00D73796"/>
    <w:rsid w:val="00D73DD2"/>
    <w:rsid w:val="00D75341"/>
    <w:rsid w:val="00D755A4"/>
    <w:rsid w:val="00D76357"/>
    <w:rsid w:val="00D76655"/>
    <w:rsid w:val="00D76B3E"/>
    <w:rsid w:val="00D81031"/>
    <w:rsid w:val="00D81087"/>
    <w:rsid w:val="00D816F6"/>
    <w:rsid w:val="00D81D19"/>
    <w:rsid w:val="00D81F4C"/>
    <w:rsid w:val="00D82E9E"/>
    <w:rsid w:val="00D83DD8"/>
    <w:rsid w:val="00D849F9"/>
    <w:rsid w:val="00D85D61"/>
    <w:rsid w:val="00D85DC9"/>
    <w:rsid w:val="00D86B7E"/>
    <w:rsid w:val="00D87228"/>
    <w:rsid w:val="00D873A0"/>
    <w:rsid w:val="00D874E2"/>
    <w:rsid w:val="00D876C2"/>
    <w:rsid w:val="00D90290"/>
    <w:rsid w:val="00D906E1"/>
    <w:rsid w:val="00D9082E"/>
    <w:rsid w:val="00D9197F"/>
    <w:rsid w:val="00D92707"/>
    <w:rsid w:val="00D929DE"/>
    <w:rsid w:val="00D93180"/>
    <w:rsid w:val="00D93823"/>
    <w:rsid w:val="00D93BB4"/>
    <w:rsid w:val="00D940C7"/>
    <w:rsid w:val="00D941F5"/>
    <w:rsid w:val="00D96619"/>
    <w:rsid w:val="00D96A0D"/>
    <w:rsid w:val="00D96AD9"/>
    <w:rsid w:val="00D97ADA"/>
    <w:rsid w:val="00D97D18"/>
    <w:rsid w:val="00DA03F4"/>
    <w:rsid w:val="00DA084B"/>
    <w:rsid w:val="00DA1A88"/>
    <w:rsid w:val="00DA28CE"/>
    <w:rsid w:val="00DA307B"/>
    <w:rsid w:val="00DA3DE0"/>
    <w:rsid w:val="00DA4510"/>
    <w:rsid w:val="00DA461E"/>
    <w:rsid w:val="00DA59C5"/>
    <w:rsid w:val="00DA5FE8"/>
    <w:rsid w:val="00DA6B7C"/>
    <w:rsid w:val="00DA753B"/>
    <w:rsid w:val="00DB26E3"/>
    <w:rsid w:val="00DB2F4E"/>
    <w:rsid w:val="00DB3F0C"/>
    <w:rsid w:val="00DB4D9A"/>
    <w:rsid w:val="00DB5648"/>
    <w:rsid w:val="00DB5EE6"/>
    <w:rsid w:val="00DB7C73"/>
    <w:rsid w:val="00DC03BA"/>
    <w:rsid w:val="00DC0781"/>
    <w:rsid w:val="00DC0927"/>
    <w:rsid w:val="00DC0DB8"/>
    <w:rsid w:val="00DC110D"/>
    <w:rsid w:val="00DC17ED"/>
    <w:rsid w:val="00DC1F79"/>
    <w:rsid w:val="00DC3673"/>
    <w:rsid w:val="00DC4099"/>
    <w:rsid w:val="00DC4190"/>
    <w:rsid w:val="00DC4D09"/>
    <w:rsid w:val="00DC4FE7"/>
    <w:rsid w:val="00DC57D3"/>
    <w:rsid w:val="00DC57F7"/>
    <w:rsid w:val="00DC7875"/>
    <w:rsid w:val="00DC7B70"/>
    <w:rsid w:val="00DD1439"/>
    <w:rsid w:val="00DD40C1"/>
    <w:rsid w:val="00DD41C2"/>
    <w:rsid w:val="00DD5321"/>
    <w:rsid w:val="00DD5E1A"/>
    <w:rsid w:val="00DD710E"/>
    <w:rsid w:val="00DD7371"/>
    <w:rsid w:val="00DD7460"/>
    <w:rsid w:val="00DE1881"/>
    <w:rsid w:val="00DE2863"/>
    <w:rsid w:val="00DE2BEF"/>
    <w:rsid w:val="00DE2C41"/>
    <w:rsid w:val="00DE3377"/>
    <w:rsid w:val="00DE34FA"/>
    <w:rsid w:val="00DE35E0"/>
    <w:rsid w:val="00DE4617"/>
    <w:rsid w:val="00DE5FE4"/>
    <w:rsid w:val="00DE6BCB"/>
    <w:rsid w:val="00DE741C"/>
    <w:rsid w:val="00DE744D"/>
    <w:rsid w:val="00DE74E8"/>
    <w:rsid w:val="00DE7E8C"/>
    <w:rsid w:val="00DF189C"/>
    <w:rsid w:val="00DF2A96"/>
    <w:rsid w:val="00DF2D9C"/>
    <w:rsid w:val="00DF3490"/>
    <w:rsid w:val="00DF3728"/>
    <w:rsid w:val="00DF5072"/>
    <w:rsid w:val="00DF57A6"/>
    <w:rsid w:val="00DF69BE"/>
    <w:rsid w:val="00DF77B3"/>
    <w:rsid w:val="00DF79E5"/>
    <w:rsid w:val="00E000CC"/>
    <w:rsid w:val="00E006DC"/>
    <w:rsid w:val="00E00BCE"/>
    <w:rsid w:val="00E01460"/>
    <w:rsid w:val="00E01B87"/>
    <w:rsid w:val="00E02FE1"/>
    <w:rsid w:val="00E033E5"/>
    <w:rsid w:val="00E0359D"/>
    <w:rsid w:val="00E040B6"/>
    <w:rsid w:val="00E04ADC"/>
    <w:rsid w:val="00E05D83"/>
    <w:rsid w:val="00E060D6"/>
    <w:rsid w:val="00E06311"/>
    <w:rsid w:val="00E114BE"/>
    <w:rsid w:val="00E11B9C"/>
    <w:rsid w:val="00E11C6C"/>
    <w:rsid w:val="00E126E5"/>
    <w:rsid w:val="00E12F8A"/>
    <w:rsid w:val="00E13070"/>
    <w:rsid w:val="00E1308B"/>
    <w:rsid w:val="00E141D3"/>
    <w:rsid w:val="00E1420E"/>
    <w:rsid w:val="00E15DAF"/>
    <w:rsid w:val="00E15EB5"/>
    <w:rsid w:val="00E16584"/>
    <w:rsid w:val="00E206DF"/>
    <w:rsid w:val="00E20733"/>
    <w:rsid w:val="00E21D02"/>
    <w:rsid w:val="00E22E0C"/>
    <w:rsid w:val="00E23F1A"/>
    <w:rsid w:val="00E2548E"/>
    <w:rsid w:val="00E25E7B"/>
    <w:rsid w:val="00E263A5"/>
    <w:rsid w:val="00E26542"/>
    <w:rsid w:val="00E2662E"/>
    <w:rsid w:val="00E26C62"/>
    <w:rsid w:val="00E270D5"/>
    <w:rsid w:val="00E308CF"/>
    <w:rsid w:val="00E30B1A"/>
    <w:rsid w:val="00E3122A"/>
    <w:rsid w:val="00E3132C"/>
    <w:rsid w:val="00E315DA"/>
    <w:rsid w:val="00E31743"/>
    <w:rsid w:val="00E32558"/>
    <w:rsid w:val="00E32F2A"/>
    <w:rsid w:val="00E32F34"/>
    <w:rsid w:val="00E33EBE"/>
    <w:rsid w:val="00E34307"/>
    <w:rsid w:val="00E34391"/>
    <w:rsid w:val="00E34648"/>
    <w:rsid w:val="00E34B40"/>
    <w:rsid w:val="00E34BB9"/>
    <w:rsid w:val="00E372FD"/>
    <w:rsid w:val="00E37CA3"/>
    <w:rsid w:val="00E41DB9"/>
    <w:rsid w:val="00E42208"/>
    <w:rsid w:val="00E4243D"/>
    <w:rsid w:val="00E43BBE"/>
    <w:rsid w:val="00E43D1C"/>
    <w:rsid w:val="00E44A9D"/>
    <w:rsid w:val="00E45A38"/>
    <w:rsid w:val="00E473D4"/>
    <w:rsid w:val="00E506B8"/>
    <w:rsid w:val="00E51793"/>
    <w:rsid w:val="00E5258E"/>
    <w:rsid w:val="00E52A6C"/>
    <w:rsid w:val="00E542AA"/>
    <w:rsid w:val="00E5489E"/>
    <w:rsid w:val="00E54D05"/>
    <w:rsid w:val="00E5589E"/>
    <w:rsid w:val="00E5611D"/>
    <w:rsid w:val="00E573DD"/>
    <w:rsid w:val="00E574AD"/>
    <w:rsid w:val="00E575DB"/>
    <w:rsid w:val="00E578AF"/>
    <w:rsid w:val="00E600F2"/>
    <w:rsid w:val="00E610E3"/>
    <w:rsid w:val="00E61520"/>
    <w:rsid w:val="00E62063"/>
    <w:rsid w:val="00E62098"/>
    <w:rsid w:val="00E62BE4"/>
    <w:rsid w:val="00E631CE"/>
    <w:rsid w:val="00E6372C"/>
    <w:rsid w:val="00E64845"/>
    <w:rsid w:val="00E65148"/>
    <w:rsid w:val="00E65D48"/>
    <w:rsid w:val="00E65F7A"/>
    <w:rsid w:val="00E66722"/>
    <w:rsid w:val="00E70B9E"/>
    <w:rsid w:val="00E7189A"/>
    <w:rsid w:val="00E72A8B"/>
    <w:rsid w:val="00E72E18"/>
    <w:rsid w:val="00E72EEF"/>
    <w:rsid w:val="00E730CD"/>
    <w:rsid w:val="00E73328"/>
    <w:rsid w:val="00E737DD"/>
    <w:rsid w:val="00E73E8E"/>
    <w:rsid w:val="00E74195"/>
    <w:rsid w:val="00E756DB"/>
    <w:rsid w:val="00E76A9A"/>
    <w:rsid w:val="00E76FCE"/>
    <w:rsid w:val="00E772A6"/>
    <w:rsid w:val="00E77CF5"/>
    <w:rsid w:val="00E77E20"/>
    <w:rsid w:val="00E80148"/>
    <w:rsid w:val="00E80722"/>
    <w:rsid w:val="00E8085E"/>
    <w:rsid w:val="00E816D5"/>
    <w:rsid w:val="00E819A1"/>
    <w:rsid w:val="00E81B08"/>
    <w:rsid w:val="00E8216E"/>
    <w:rsid w:val="00E83127"/>
    <w:rsid w:val="00E83B7A"/>
    <w:rsid w:val="00E83C71"/>
    <w:rsid w:val="00E8447F"/>
    <w:rsid w:val="00E84CD7"/>
    <w:rsid w:val="00E84E8E"/>
    <w:rsid w:val="00E84FBD"/>
    <w:rsid w:val="00E851CB"/>
    <w:rsid w:val="00E857A3"/>
    <w:rsid w:val="00E85DC1"/>
    <w:rsid w:val="00E86DBA"/>
    <w:rsid w:val="00E901CF"/>
    <w:rsid w:val="00E90329"/>
    <w:rsid w:val="00E90FA4"/>
    <w:rsid w:val="00E9149B"/>
    <w:rsid w:val="00E930A0"/>
    <w:rsid w:val="00E9353D"/>
    <w:rsid w:val="00E9471E"/>
    <w:rsid w:val="00E94AE2"/>
    <w:rsid w:val="00E950AB"/>
    <w:rsid w:val="00E95D7F"/>
    <w:rsid w:val="00E96B61"/>
    <w:rsid w:val="00E972B2"/>
    <w:rsid w:val="00EA0094"/>
    <w:rsid w:val="00EA13A5"/>
    <w:rsid w:val="00EA1805"/>
    <w:rsid w:val="00EA1A2D"/>
    <w:rsid w:val="00EA23B9"/>
    <w:rsid w:val="00EA26AB"/>
    <w:rsid w:val="00EA2833"/>
    <w:rsid w:val="00EA2C7D"/>
    <w:rsid w:val="00EA2D6D"/>
    <w:rsid w:val="00EA462A"/>
    <w:rsid w:val="00EA55C4"/>
    <w:rsid w:val="00EA6AC2"/>
    <w:rsid w:val="00EA6EF9"/>
    <w:rsid w:val="00EA776F"/>
    <w:rsid w:val="00EA7B40"/>
    <w:rsid w:val="00EB00BB"/>
    <w:rsid w:val="00EB129D"/>
    <w:rsid w:val="00EB169F"/>
    <w:rsid w:val="00EB1710"/>
    <w:rsid w:val="00EB1A5B"/>
    <w:rsid w:val="00EB2474"/>
    <w:rsid w:val="00EB2736"/>
    <w:rsid w:val="00EB3B91"/>
    <w:rsid w:val="00EB3DEF"/>
    <w:rsid w:val="00EB4598"/>
    <w:rsid w:val="00EB47EC"/>
    <w:rsid w:val="00EB5596"/>
    <w:rsid w:val="00EB5C40"/>
    <w:rsid w:val="00EB62D7"/>
    <w:rsid w:val="00EB67BB"/>
    <w:rsid w:val="00EB68A3"/>
    <w:rsid w:val="00EB69AE"/>
    <w:rsid w:val="00EB6B14"/>
    <w:rsid w:val="00EB7165"/>
    <w:rsid w:val="00EC08E8"/>
    <w:rsid w:val="00EC0EEA"/>
    <w:rsid w:val="00EC1B22"/>
    <w:rsid w:val="00EC3FF7"/>
    <w:rsid w:val="00EC4637"/>
    <w:rsid w:val="00EC5FA6"/>
    <w:rsid w:val="00EC640E"/>
    <w:rsid w:val="00EC6FDC"/>
    <w:rsid w:val="00EC711A"/>
    <w:rsid w:val="00EC784E"/>
    <w:rsid w:val="00ED0692"/>
    <w:rsid w:val="00ED0F68"/>
    <w:rsid w:val="00ED182B"/>
    <w:rsid w:val="00ED2206"/>
    <w:rsid w:val="00ED34DF"/>
    <w:rsid w:val="00ED38D4"/>
    <w:rsid w:val="00ED3D87"/>
    <w:rsid w:val="00ED4DF1"/>
    <w:rsid w:val="00ED52A3"/>
    <w:rsid w:val="00ED673E"/>
    <w:rsid w:val="00ED6A69"/>
    <w:rsid w:val="00ED6ACB"/>
    <w:rsid w:val="00EE162D"/>
    <w:rsid w:val="00EE16A2"/>
    <w:rsid w:val="00EE207E"/>
    <w:rsid w:val="00EE22AA"/>
    <w:rsid w:val="00EE31D6"/>
    <w:rsid w:val="00EE348E"/>
    <w:rsid w:val="00EE4563"/>
    <w:rsid w:val="00EE46E5"/>
    <w:rsid w:val="00EE4D52"/>
    <w:rsid w:val="00EE59BD"/>
    <w:rsid w:val="00EE747F"/>
    <w:rsid w:val="00EE759D"/>
    <w:rsid w:val="00EF0F07"/>
    <w:rsid w:val="00EF1816"/>
    <w:rsid w:val="00EF18D9"/>
    <w:rsid w:val="00EF18F5"/>
    <w:rsid w:val="00EF220A"/>
    <w:rsid w:val="00EF2288"/>
    <w:rsid w:val="00EF339E"/>
    <w:rsid w:val="00EF33D3"/>
    <w:rsid w:val="00EF349B"/>
    <w:rsid w:val="00EF40DE"/>
    <w:rsid w:val="00EF4350"/>
    <w:rsid w:val="00EF4F49"/>
    <w:rsid w:val="00EF53FD"/>
    <w:rsid w:val="00EF5B12"/>
    <w:rsid w:val="00EF5DD0"/>
    <w:rsid w:val="00EF71C9"/>
    <w:rsid w:val="00F00261"/>
    <w:rsid w:val="00F00AF7"/>
    <w:rsid w:val="00F00CF5"/>
    <w:rsid w:val="00F00D24"/>
    <w:rsid w:val="00F00D80"/>
    <w:rsid w:val="00F015A0"/>
    <w:rsid w:val="00F0295E"/>
    <w:rsid w:val="00F02BB6"/>
    <w:rsid w:val="00F03872"/>
    <w:rsid w:val="00F03A3F"/>
    <w:rsid w:val="00F03E07"/>
    <w:rsid w:val="00F04182"/>
    <w:rsid w:val="00F04C99"/>
    <w:rsid w:val="00F05119"/>
    <w:rsid w:val="00F05FAF"/>
    <w:rsid w:val="00F06352"/>
    <w:rsid w:val="00F06472"/>
    <w:rsid w:val="00F06944"/>
    <w:rsid w:val="00F07083"/>
    <w:rsid w:val="00F07816"/>
    <w:rsid w:val="00F07AE6"/>
    <w:rsid w:val="00F112E1"/>
    <w:rsid w:val="00F11ACA"/>
    <w:rsid w:val="00F131DE"/>
    <w:rsid w:val="00F13355"/>
    <w:rsid w:val="00F14044"/>
    <w:rsid w:val="00F144C2"/>
    <w:rsid w:val="00F14767"/>
    <w:rsid w:val="00F150B8"/>
    <w:rsid w:val="00F15176"/>
    <w:rsid w:val="00F1555E"/>
    <w:rsid w:val="00F155BF"/>
    <w:rsid w:val="00F15863"/>
    <w:rsid w:val="00F15C17"/>
    <w:rsid w:val="00F16803"/>
    <w:rsid w:val="00F178DB"/>
    <w:rsid w:val="00F21760"/>
    <w:rsid w:val="00F22851"/>
    <w:rsid w:val="00F2311F"/>
    <w:rsid w:val="00F23EB0"/>
    <w:rsid w:val="00F2426B"/>
    <w:rsid w:val="00F25AE0"/>
    <w:rsid w:val="00F26727"/>
    <w:rsid w:val="00F272D3"/>
    <w:rsid w:val="00F31558"/>
    <w:rsid w:val="00F31EF4"/>
    <w:rsid w:val="00F32268"/>
    <w:rsid w:val="00F341BD"/>
    <w:rsid w:val="00F362D9"/>
    <w:rsid w:val="00F3653A"/>
    <w:rsid w:val="00F37482"/>
    <w:rsid w:val="00F404FC"/>
    <w:rsid w:val="00F41413"/>
    <w:rsid w:val="00F42533"/>
    <w:rsid w:val="00F429A4"/>
    <w:rsid w:val="00F43124"/>
    <w:rsid w:val="00F43274"/>
    <w:rsid w:val="00F4328A"/>
    <w:rsid w:val="00F43A9B"/>
    <w:rsid w:val="00F43B2B"/>
    <w:rsid w:val="00F4635B"/>
    <w:rsid w:val="00F46D06"/>
    <w:rsid w:val="00F505FD"/>
    <w:rsid w:val="00F5159C"/>
    <w:rsid w:val="00F51812"/>
    <w:rsid w:val="00F51D94"/>
    <w:rsid w:val="00F5228A"/>
    <w:rsid w:val="00F52E32"/>
    <w:rsid w:val="00F53AEF"/>
    <w:rsid w:val="00F54637"/>
    <w:rsid w:val="00F55179"/>
    <w:rsid w:val="00F55477"/>
    <w:rsid w:val="00F56CC8"/>
    <w:rsid w:val="00F56F68"/>
    <w:rsid w:val="00F574C6"/>
    <w:rsid w:val="00F5777C"/>
    <w:rsid w:val="00F61B6D"/>
    <w:rsid w:val="00F638BB"/>
    <w:rsid w:val="00F646DF"/>
    <w:rsid w:val="00F64CD9"/>
    <w:rsid w:val="00F64DA0"/>
    <w:rsid w:val="00F64FA7"/>
    <w:rsid w:val="00F650FB"/>
    <w:rsid w:val="00F6551A"/>
    <w:rsid w:val="00F66767"/>
    <w:rsid w:val="00F667BE"/>
    <w:rsid w:val="00F66D39"/>
    <w:rsid w:val="00F67208"/>
    <w:rsid w:val="00F674CD"/>
    <w:rsid w:val="00F674E6"/>
    <w:rsid w:val="00F67761"/>
    <w:rsid w:val="00F67A1B"/>
    <w:rsid w:val="00F67B53"/>
    <w:rsid w:val="00F703BD"/>
    <w:rsid w:val="00F70D96"/>
    <w:rsid w:val="00F70F82"/>
    <w:rsid w:val="00F710ED"/>
    <w:rsid w:val="00F728C1"/>
    <w:rsid w:val="00F7303A"/>
    <w:rsid w:val="00F7373A"/>
    <w:rsid w:val="00F738BA"/>
    <w:rsid w:val="00F766B9"/>
    <w:rsid w:val="00F772EA"/>
    <w:rsid w:val="00F77910"/>
    <w:rsid w:val="00F77A76"/>
    <w:rsid w:val="00F77F4C"/>
    <w:rsid w:val="00F82622"/>
    <w:rsid w:val="00F85247"/>
    <w:rsid w:val="00F85A40"/>
    <w:rsid w:val="00F8696D"/>
    <w:rsid w:val="00F87238"/>
    <w:rsid w:val="00F90855"/>
    <w:rsid w:val="00F90C9E"/>
    <w:rsid w:val="00F9306F"/>
    <w:rsid w:val="00F932D7"/>
    <w:rsid w:val="00F9344D"/>
    <w:rsid w:val="00F937AC"/>
    <w:rsid w:val="00F96BF9"/>
    <w:rsid w:val="00F97837"/>
    <w:rsid w:val="00F97F41"/>
    <w:rsid w:val="00FA1B23"/>
    <w:rsid w:val="00FA1C50"/>
    <w:rsid w:val="00FA227F"/>
    <w:rsid w:val="00FA3363"/>
    <w:rsid w:val="00FA3484"/>
    <w:rsid w:val="00FA5FCA"/>
    <w:rsid w:val="00FA7BC3"/>
    <w:rsid w:val="00FB0912"/>
    <w:rsid w:val="00FB1B32"/>
    <w:rsid w:val="00FB2004"/>
    <w:rsid w:val="00FB2B3F"/>
    <w:rsid w:val="00FB34C1"/>
    <w:rsid w:val="00FB41B0"/>
    <w:rsid w:val="00FB44A0"/>
    <w:rsid w:val="00FB52AD"/>
    <w:rsid w:val="00FB55C1"/>
    <w:rsid w:val="00FB56ED"/>
    <w:rsid w:val="00FB5EDF"/>
    <w:rsid w:val="00FB7CC8"/>
    <w:rsid w:val="00FC12A9"/>
    <w:rsid w:val="00FC1403"/>
    <w:rsid w:val="00FC1861"/>
    <w:rsid w:val="00FC1E0A"/>
    <w:rsid w:val="00FC22E4"/>
    <w:rsid w:val="00FC2F57"/>
    <w:rsid w:val="00FC4C8D"/>
    <w:rsid w:val="00FC4D9F"/>
    <w:rsid w:val="00FC522E"/>
    <w:rsid w:val="00FC5579"/>
    <w:rsid w:val="00FC59C5"/>
    <w:rsid w:val="00FC60E3"/>
    <w:rsid w:val="00FC79F5"/>
    <w:rsid w:val="00FC7A55"/>
    <w:rsid w:val="00FD0DB3"/>
    <w:rsid w:val="00FD12A1"/>
    <w:rsid w:val="00FD18E6"/>
    <w:rsid w:val="00FD1B8D"/>
    <w:rsid w:val="00FD1C0A"/>
    <w:rsid w:val="00FD3D80"/>
    <w:rsid w:val="00FD49D7"/>
    <w:rsid w:val="00FD58FD"/>
    <w:rsid w:val="00FD7371"/>
    <w:rsid w:val="00FD7BF1"/>
    <w:rsid w:val="00FD7D4E"/>
    <w:rsid w:val="00FE0B76"/>
    <w:rsid w:val="00FE17FE"/>
    <w:rsid w:val="00FE200F"/>
    <w:rsid w:val="00FE4051"/>
    <w:rsid w:val="00FE4113"/>
    <w:rsid w:val="00FE4830"/>
    <w:rsid w:val="00FE4E03"/>
    <w:rsid w:val="00FE534E"/>
    <w:rsid w:val="00FE5780"/>
    <w:rsid w:val="00FE67A3"/>
    <w:rsid w:val="00FF0ABA"/>
    <w:rsid w:val="00FF11D1"/>
    <w:rsid w:val="00FF187A"/>
    <w:rsid w:val="00FF1B5A"/>
    <w:rsid w:val="00FF2102"/>
    <w:rsid w:val="00FF24A3"/>
    <w:rsid w:val="00FF30D9"/>
    <w:rsid w:val="00FF39FE"/>
    <w:rsid w:val="00FF55CD"/>
    <w:rsid w:val="00FF575F"/>
    <w:rsid w:val="00FF5C49"/>
    <w:rsid w:val="00FF61B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 o:allowoverlap="f" fill="f" fillcolor="white" stroke="f">
      <v:fill color="white" on="f"/>
      <v:stroke on="f"/>
    </o:shapedefaults>
    <o:shapelayout v:ext="edit">
      <o:idmap v:ext="edit" data="2,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s-ES" w:eastAsia="en-US"/>
    </w:rPr>
  </w:style>
  <w:style w:type="paragraph" w:styleId="Heading1">
    <w:name w:val="heading 1"/>
    <w:basedOn w:val="Normal"/>
    <w:next w:val="Normal"/>
    <w:qFormat/>
    <w:rsid w:val="00AE3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E7E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3E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3100"/>
    <w:pPr>
      <w:keepNext/>
      <w:suppressAutoHyphens w:val="0"/>
      <w:spacing w:line="240" w:lineRule="auto"/>
      <w:jc w:val="center"/>
      <w:outlineLvl w:val="3"/>
    </w:pPr>
    <w:rPr>
      <w:rFonts w:ascii="Arial" w:hAnsi="Arial"/>
      <w:spacing w:val="0"/>
      <w:w w:val="100"/>
      <w:kern w:val="0"/>
      <w:sz w:val="24"/>
      <w:lang w:val="hr-HR"/>
    </w:rPr>
  </w:style>
  <w:style w:type="paragraph" w:styleId="Heading5">
    <w:name w:val="heading 5"/>
    <w:basedOn w:val="Normal"/>
    <w:next w:val="Normal"/>
    <w:qFormat/>
    <w:rsid w:val="00123100"/>
    <w:pPr>
      <w:keepNext/>
      <w:suppressAutoHyphens w:val="0"/>
      <w:spacing w:line="240" w:lineRule="auto"/>
      <w:jc w:val="both"/>
      <w:outlineLvl w:val="4"/>
    </w:pPr>
    <w:rPr>
      <w:rFonts w:ascii="Arial" w:hAnsi="Arial"/>
      <w:spacing w:val="0"/>
      <w:w w:val="100"/>
      <w:kern w:val="0"/>
      <w:sz w:val="24"/>
      <w:lang w:val="hr-HR"/>
    </w:rPr>
  </w:style>
  <w:style w:type="paragraph" w:styleId="Heading6">
    <w:name w:val="heading 6"/>
    <w:basedOn w:val="Normal"/>
    <w:next w:val="Normal"/>
    <w:qFormat/>
    <w:rsid w:val="00123100"/>
    <w:pPr>
      <w:keepNext/>
      <w:suppressAutoHyphens w:val="0"/>
      <w:spacing w:line="240" w:lineRule="auto"/>
      <w:jc w:val="both"/>
      <w:outlineLvl w:val="5"/>
    </w:pPr>
    <w:rPr>
      <w:rFonts w:ascii="Arial" w:hAnsi="Arial"/>
      <w:b/>
      <w:spacing w:val="0"/>
      <w:w w:val="100"/>
      <w:kern w:val="0"/>
      <w:sz w:val="24"/>
      <w:lang w:val="hr-HR"/>
    </w:rPr>
  </w:style>
  <w:style w:type="paragraph" w:styleId="Heading7">
    <w:name w:val="heading 7"/>
    <w:basedOn w:val="Normal"/>
    <w:next w:val="Normal"/>
    <w:qFormat/>
    <w:rsid w:val="00123100"/>
    <w:pPr>
      <w:keepNext/>
      <w:suppressAutoHyphens w:val="0"/>
      <w:spacing w:line="240" w:lineRule="auto"/>
      <w:jc w:val="center"/>
      <w:outlineLvl w:val="6"/>
    </w:pPr>
    <w:rPr>
      <w:rFonts w:ascii="Arial" w:hAnsi="Arial"/>
      <w:spacing w:val="0"/>
      <w:w w:val="100"/>
      <w:kern w:val="0"/>
      <w:sz w:val="28"/>
      <w:lang w:val="hr-HR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link w:val="H1Char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link w:val="HChChar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sid w:val="00BB175E"/>
    <w:rPr>
      <w:spacing w:val="-5"/>
      <w:w w:val="130"/>
      <w:position w:val="0"/>
      <w:vertAlign w:val="superscript"/>
    </w:rPr>
  </w:style>
  <w:style w:type="character" w:styleId="EndnoteReference">
    <w:name w:val="endnote reference"/>
    <w:semiHidden/>
    <w:rPr>
      <w:color w:val="FF00FF"/>
      <w:spacing w:val="-5"/>
      <w:w w:val="130"/>
      <w:position w:val="0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pPr>
      <w:spacing w:after="80"/>
    </w:p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SNAPara">
    <w:name w:val="SNAPara"/>
    <w:basedOn w:val="Normal"/>
    <w:pPr>
      <w:numPr>
        <w:numId w:val="2"/>
      </w:numPr>
      <w:tabs>
        <w:tab w:val="left" w:pos="720"/>
        <w:tab w:val="left" w:pos="1440"/>
        <w:tab w:val="left" w:pos="2160"/>
      </w:tabs>
      <w:suppressAutoHyphens w:val="0"/>
      <w:spacing w:before="240" w:line="240" w:lineRule="auto"/>
    </w:pPr>
    <w:rPr>
      <w:spacing w:val="0"/>
      <w:w w:val="100"/>
      <w:kern w:val="0"/>
      <w:sz w:val="24"/>
      <w:lang w:val="es-UY"/>
    </w:rPr>
  </w:style>
  <w:style w:type="paragraph" w:customStyle="1" w:styleId="annotationsubject">
    <w:name w:val="annotation subject"/>
    <w:basedOn w:val="CommentText"/>
    <w:next w:val="CommentText"/>
    <w:rPr>
      <w:b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">
    <w:name w:val="Body Text"/>
    <w:basedOn w:val="Normal"/>
    <w:rsid w:val="00AC4F79"/>
    <w:pPr>
      <w:spacing w:after="120"/>
    </w:pPr>
  </w:style>
  <w:style w:type="paragraph" w:styleId="BodyText2">
    <w:name w:val="Body Text 2"/>
    <w:basedOn w:val="Normal"/>
    <w:rsid w:val="00AC4F79"/>
    <w:pPr>
      <w:spacing w:after="120" w:line="480" w:lineRule="auto"/>
    </w:pPr>
  </w:style>
  <w:style w:type="table" w:styleId="TableGrid">
    <w:name w:val="Table Grid"/>
    <w:basedOn w:val="TableNormal"/>
    <w:rsid w:val="00F728C1"/>
    <w:pPr>
      <w:suppressAutoHyphens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DocumentMap">
    <w:name w:val="Document Map"/>
    <w:basedOn w:val="Normal"/>
    <w:semiHidden/>
    <w:rsid w:val="00A21D7D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23100"/>
    <w:pPr>
      <w:suppressAutoHyphens w:val="0"/>
      <w:spacing w:line="240" w:lineRule="auto"/>
      <w:jc w:val="center"/>
    </w:pPr>
    <w:rPr>
      <w:b/>
      <w:bCs/>
      <w:spacing w:val="0"/>
      <w:w w:val="100"/>
      <w:kern w:val="0"/>
      <w:sz w:val="24"/>
      <w:szCs w:val="24"/>
      <w:lang w:val="hr-HR"/>
    </w:rPr>
  </w:style>
  <w:style w:type="paragraph" w:styleId="BodyTextIndent3">
    <w:name w:val="Body Text Indent 3"/>
    <w:basedOn w:val="Normal"/>
    <w:rsid w:val="00123100"/>
    <w:pPr>
      <w:suppressAutoHyphens w:val="0"/>
      <w:spacing w:line="240" w:lineRule="auto"/>
      <w:ind w:left="360"/>
      <w:jc w:val="both"/>
    </w:pPr>
    <w:rPr>
      <w:rFonts w:ascii="Arial" w:hAnsi="Arial"/>
      <w:spacing w:val="0"/>
      <w:w w:val="100"/>
      <w:kern w:val="0"/>
      <w:sz w:val="24"/>
      <w:lang w:val="sr-Cyrl-CS"/>
    </w:rPr>
  </w:style>
  <w:style w:type="paragraph" w:customStyle="1" w:styleId="BodyText21">
    <w:name w:val="Body Text 21"/>
    <w:basedOn w:val="Normal"/>
    <w:rsid w:val="00123100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pacing w:val="0"/>
      <w:w w:val="100"/>
      <w:kern w:val="0"/>
      <w:lang w:val="hr-HR"/>
    </w:rPr>
  </w:style>
  <w:style w:type="paragraph" w:styleId="Caption">
    <w:name w:val="caption"/>
    <w:basedOn w:val="Normal"/>
    <w:next w:val="Normal"/>
    <w:qFormat/>
    <w:rsid w:val="00123100"/>
    <w:pPr>
      <w:suppressAutoHyphens w:val="0"/>
      <w:spacing w:line="240" w:lineRule="auto"/>
      <w:jc w:val="center"/>
    </w:pPr>
    <w:rPr>
      <w:rFonts w:ascii="Arial" w:hAnsi="Arial"/>
      <w:b/>
      <w:spacing w:val="0"/>
      <w:w w:val="100"/>
      <w:kern w:val="0"/>
      <w:sz w:val="24"/>
      <w:lang w:val="en-US"/>
    </w:rPr>
  </w:style>
  <w:style w:type="paragraph" w:styleId="BodyTextIndent">
    <w:name w:val="Body Text Indent"/>
    <w:basedOn w:val="Normal"/>
    <w:rsid w:val="00123100"/>
    <w:pPr>
      <w:suppressAutoHyphens w:val="0"/>
      <w:spacing w:line="240" w:lineRule="auto"/>
      <w:jc w:val="both"/>
    </w:pPr>
    <w:rPr>
      <w:rFonts w:ascii="Arial" w:hAnsi="Arial"/>
      <w:color w:val="FF0000"/>
      <w:spacing w:val="0"/>
      <w:w w:val="100"/>
      <w:kern w:val="0"/>
      <w:sz w:val="24"/>
      <w:lang w:val="sl-SI"/>
    </w:rPr>
  </w:style>
  <w:style w:type="paragraph" w:styleId="NormalWeb">
    <w:name w:val="Normal (Web)"/>
    <w:basedOn w:val="Normal"/>
    <w:link w:val="NormalWebChar"/>
    <w:rsid w:val="00123100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3"/>
      <w:spacing w:val="0"/>
      <w:w w:val="100"/>
      <w:kern w:val="0"/>
      <w:sz w:val="24"/>
      <w:szCs w:val="24"/>
      <w:lang w:val="en-GB"/>
    </w:rPr>
  </w:style>
  <w:style w:type="character" w:styleId="PageNumber">
    <w:name w:val="page number"/>
    <w:basedOn w:val="DefaultParagraphFont"/>
    <w:rsid w:val="00123100"/>
  </w:style>
  <w:style w:type="paragraph" w:styleId="TOC1">
    <w:name w:val="toc 1"/>
    <w:basedOn w:val="Normal"/>
    <w:next w:val="Normal"/>
    <w:autoRedefine/>
    <w:semiHidden/>
    <w:rsid w:val="00123100"/>
    <w:pPr>
      <w:suppressAutoHyphens w:val="0"/>
      <w:spacing w:before="120" w:after="120" w:line="240" w:lineRule="auto"/>
    </w:pPr>
    <w:rPr>
      <w:b/>
      <w:bCs/>
      <w:caps/>
      <w:spacing w:val="0"/>
      <w:w w:val="100"/>
      <w:kern w:val="0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5261D6"/>
    <w:pPr>
      <w:suppressAutoHyphens w:val="0"/>
      <w:spacing w:line="240" w:lineRule="auto"/>
      <w:ind w:left="238" w:hanging="238"/>
      <w:jc w:val="center"/>
    </w:pPr>
    <w:rPr>
      <w:i/>
      <w:spacing w:val="0"/>
      <w:w w:val="100"/>
      <w:kern w:val="0"/>
      <w:sz w:val="24"/>
      <w:szCs w:val="24"/>
      <w:lang w:val="en-US"/>
    </w:rPr>
  </w:style>
  <w:style w:type="paragraph" w:styleId="TOC2">
    <w:name w:val="toc 2"/>
    <w:basedOn w:val="Normal"/>
    <w:next w:val="Normal"/>
    <w:autoRedefine/>
    <w:semiHidden/>
    <w:rsid w:val="00123100"/>
    <w:pPr>
      <w:suppressAutoHyphens w:val="0"/>
      <w:spacing w:line="240" w:lineRule="auto"/>
      <w:ind w:left="240"/>
    </w:pPr>
    <w:rPr>
      <w:smallCaps/>
      <w:spacing w:val="0"/>
      <w:w w:val="100"/>
      <w:kern w:val="0"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rsid w:val="00123100"/>
    <w:pPr>
      <w:suppressAutoHyphens w:val="0"/>
      <w:spacing w:line="240" w:lineRule="auto"/>
      <w:ind w:left="480"/>
    </w:pPr>
    <w:rPr>
      <w:i/>
      <w:iCs/>
      <w:spacing w:val="0"/>
      <w:w w:val="100"/>
      <w:kern w:val="0"/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123100"/>
    <w:pPr>
      <w:suppressAutoHyphens w:val="0"/>
      <w:spacing w:line="240" w:lineRule="auto"/>
      <w:ind w:left="720"/>
    </w:pPr>
    <w:rPr>
      <w:spacing w:val="0"/>
      <w:w w:val="100"/>
      <w:kern w:val="0"/>
      <w:sz w:val="24"/>
      <w:szCs w:val="21"/>
      <w:lang w:val="en-US"/>
    </w:rPr>
  </w:style>
  <w:style w:type="paragraph" w:styleId="TOC5">
    <w:name w:val="toc 5"/>
    <w:basedOn w:val="Normal"/>
    <w:next w:val="Normal"/>
    <w:autoRedefine/>
    <w:semiHidden/>
    <w:rsid w:val="00123100"/>
    <w:pPr>
      <w:suppressAutoHyphens w:val="0"/>
      <w:spacing w:line="240" w:lineRule="auto"/>
      <w:ind w:left="960"/>
    </w:pPr>
    <w:rPr>
      <w:spacing w:val="0"/>
      <w:w w:val="100"/>
      <w:kern w:val="0"/>
      <w:sz w:val="24"/>
      <w:szCs w:val="21"/>
      <w:lang w:val="en-US"/>
    </w:rPr>
  </w:style>
  <w:style w:type="paragraph" w:styleId="TOC6">
    <w:name w:val="toc 6"/>
    <w:basedOn w:val="Normal"/>
    <w:next w:val="Normal"/>
    <w:autoRedefine/>
    <w:semiHidden/>
    <w:rsid w:val="00123100"/>
    <w:pPr>
      <w:suppressAutoHyphens w:val="0"/>
      <w:spacing w:line="240" w:lineRule="auto"/>
      <w:ind w:left="1200"/>
    </w:pPr>
    <w:rPr>
      <w:spacing w:val="0"/>
      <w:w w:val="100"/>
      <w:kern w:val="0"/>
      <w:sz w:val="24"/>
      <w:szCs w:val="21"/>
      <w:lang w:val="en-US"/>
    </w:rPr>
  </w:style>
  <w:style w:type="paragraph" w:styleId="TOC7">
    <w:name w:val="toc 7"/>
    <w:basedOn w:val="Normal"/>
    <w:next w:val="Normal"/>
    <w:autoRedefine/>
    <w:semiHidden/>
    <w:rsid w:val="00123100"/>
    <w:pPr>
      <w:suppressAutoHyphens w:val="0"/>
      <w:spacing w:line="240" w:lineRule="auto"/>
      <w:ind w:left="1440"/>
    </w:pPr>
    <w:rPr>
      <w:spacing w:val="0"/>
      <w:w w:val="100"/>
      <w:kern w:val="0"/>
      <w:sz w:val="24"/>
      <w:szCs w:val="21"/>
      <w:lang w:val="en-US"/>
    </w:rPr>
  </w:style>
  <w:style w:type="paragraph" w:styleId="TOC8">
    <w:name w:val="toc 8"/>
    <w:basedOn w:val="Normal"/>
    <w:next w:val="Normal"/>
    <w:autoRedefine/>
    <w:semiHidden/>
    <w:rsid w:val="00123100"/>
    <w:pPr>
      <w:suppressAutoHyphens w:val="0"/>
      <w:spacing w:line="240" w:lineRule="auto"/>
      <w:ind w:left="1680"/>
    </w:pPr>
    <w:rPr>
      <w:spacing w:val="0"/>
      <w:w w:val="100"/>
      <w:kern w:val="0"/>
      <w:sz w:val="24"/>
      <w:szCs w:val="21"/>
      <w:lang w:val="en-US"/>
    </w:rPr>
  </w:style>
  <w:style w:type="paragraph" w:styleId="TOC9">
    <w:name w:val="toc 9"/>
    <w:basedOn w:val="Normal"/>
    <w:next w:val="Normal"/>
    <w:autoRedefine/>
    <w:semiHidden/>
    <w:rsid w:val="00123100"/>
    <w:pPr>
      <w:suppressAutoHyphens w:val="0"/>
      <w:spacing w:line="240" w:lineRule="auto"/>
      <w:ind w:left="1920"/>
    </w:pPr>
    <w:rPr>
      <w:spacing w:val="0"/>
      <w:w w:val="100"/>
      <w:kern w:val="0"/>
      <w:sz w:val="24"/>
      <w:szCs w:val="21"/>
      <w:lang w:val="en-US"/>
    </w:rPr>
  </w:style>
  <w:style w:type="character" w:styleId="Hyperlink">
    <w:name w:val="Hyperlink"/>
    <w:rsid w:val="00123100"/>
    <w:rPr>
      <w:color w:val="0000FF"/>
      <w:u w:val="none"/>
    </w:rPr>
  </w:style>
  <w:style w:type="character" w:customStyle="1" w:styleId="H1Char">
    <w:name w:val="_ H_1 Char"/>
    <w:link w:val="H1"/>
    <w:rsid w:val="00721C2B"/>
    <w:rPr>
      <w:b/>
      <w:spacing w:val="4"/>
      <w:w w:val="103"/>
      <w:kern w:val="14"/>
      <w:sz w:val="24"/>
      <w:lang w:val="es-ES" w:eastAsia="en-US" w:bidi="ar-SA"/>
    </w:rPr>
  </w:style>
  <w:style w:type="character" w:customStyle="1" w:styleId="HChChar">
    <w:name w:val="_ H _Ch Char"/>
    <w:link w:val="HCh"/>
    <w:rsid w:val="00721C2B"/>
    <w:rPr>
      <w:b/>
      <w:spacing w:val="-2"/>
      <w:w w:val="103"/>
      <w:kern w:val="14"/>
      <w:sz w:val="28"/>
      <w:lang w:val="es-ES" w:eastAsia="en-US" w:bidi="ar-SA"/>
    </w:rPr>
  </w:style>
  <w:style w:type="paragraph" w:styleId="CommentSubject">
    <w:name w:val="annotation subject"/>
    <w:basedOn w:val="CommentText"/>
    <w:next w:val="CommentText"/>
    <w:semiHidden/>
    <w:rsid w:val="00BB461D"/>
    <w:rPr>
      <w:b/>
      <w:bCs/>
    </w:rPr>
  </w:style>
  <w:style w:type="character" w:customStyle="1" w:styleId="NormalWebChar">
    <w:name w:val="Normal (Web) Char"/>
    <w:link w:val="NormalWeb"/>
    <w:rsid w:val="00545D1B"/>
    <w:rPr>
      <w:rFonts w:ascii="Arial Unicode MS" w:eastAsia="Arial Unicode MS" w:hAnsi="Arial Unicode MS" w:cs="Arial Unicode MS"/>
      <w:color w:val="000033"/>
      <w:sz w:val="24"/>
      <w:szCs w:val="24"/>
      <w:lang w:val="en-GB" w:eastAsia="en-US" w:bidi="ar-SA"/>
    </w:rPr>
  </w:style>
  <w:style w:type="paragraph" w:customStyle="1" w:styleId="Pa5">
    <w:name w:val="Pa5"/>
    <w:basedOn w:val="Normal"/>
    <w:next w:val="Normal"/>
    <w:rsid w:val="00545D1B"/>
    <w:pPr>
      <w:suppressAutoHyphens w:val="0"/>
      <w:autoSpaceDE w:val="0"/>
      <w:autoSpaceDN w:val="0"/>
      <w:adjustRightInd w:val="0"/>
      <w:spacing w:line="201" w:lineRule="atLeast"/>
    </w:pPr>
    <w:rPr>
      <w:rFonts w:ascii="Warnock Pro" w:hAnsi="Warnock Pro"/>
      <w:spacing w:val="0"/>
      <w:w w:val="100"/>
      <w:kern w:val="0"/>
      <w:sz w:val="24"/>
      <w:szCs w:val="24"/>
      <w:lang w:val="nb-NO" w:eastAsia="nb-NO"/>
    </w:rPr>
  </w:style>
  <w:style w:type="numbering" w:styleId="111111">
    <w:name w:val="Outline List 2"/>
    <w:basedOn w:val="NoList"/>
    <w:rsid w:val="00C32858"/>
    <w:pPr>
      <w:numPr>
        <w:numId w:val="33"/>
      </w:numPr>
    </w:pPr>
  </w:style>
  <w:style w:type="character" w:styleId="FollowedHyperlink">
    <w:name w:val="FollowedHyperlink"/>
    <w:rsid w:val="0019232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kilden.forskningsradet.n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17" Type="http://schemas.openxmlformats.org/officeDocument/2006/relationships/hyperlink" Target="http://www.menniskolen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xhandel.no" TargetMode="External"/><Relationship Id="rId20" Type="http://schemas.openxmlformats.org/officeDocument/2006/relationships/hyperlink" Target="http://www.okprosjekt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ittvalg.net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ho.no/f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kestillingsaktiviteter.no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55404</Words>
  <Characters>315809</Characters>
  <Application>Microsoft Office Word</Application>
  <DocSecurity>4</DocSecurity>
  <Lines>2631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370473</CharactersWithSpaces>
  <SharedDoc>false</SharedDoc>
  <HLinks>
    <vt:vector size="42" baseType="variant">
      <vt:variant>
        <vt:i4>1769541</vt:i4>
      </vt:variant>
      <vt:variant>
        <vt:i4>18</vt:i4>
      </vt:variant>
      <vt:variant>
        <vt:i4>0</vt:i4>
      </vt:variant>
      <vt:variant>
        <vt:i4>5</vt:i4>
      </vt:variant>
      <vt:variant>
        <vt:lpwstr>http://www.okprosjekt.no/</vt:lpwstr>
      </vt:variant>
      <vt:variant>
        <vt:lpwstr/>
      </vt:variant>
      <vt:variant>
        <vt:i4>851999</vt:i4>
      </vt:variant>
      <vt:variant>
        <vt:i4>15</vt:i4>
      </vt:variant>
      <vt:variant>
        <vt:i4>0</vt:i4>
      </vt:variant>
      <vt:variant>
        <vt:i4>5</vt:i4>
      </vt:variant>
      <vt:variant>
        <vt:lpwstr>http://www.nho.no/ff</vt:lpwstr>
      </vt:variant>
      <vt:variant>
        <vt:lpwstr/>
      </vt:variant>
      <vt:variant>
        <vt:i4>5046295</vt:i4>
      </vt:variant>
      <vt:variant>
        <vt:i4>12</vt:i4>
      </vt:variant>
      <vt:variant>
        <vt:i4>0</vt:i4>
      </vt:variant>
      <vt:variant>
        <vt:i4>5</vt:i4>
      </vt:variant>
      <vt:variant>
        <vt:lpwstr>http://kilden.forskningsradet.no/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http://www.menniskolen.no/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http://www.sexhandel.no/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http://www.mittvalg.net/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http://www.likestillingsaktiviteter.no/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PEREZ-PEREZ</dc:creator>
  <cp:keywords/>
  <dc:description/>
  <cp:lastModifiedBy>Spanish_text_proc</cp:lastModifiedBy>
  <cp:revision>3</cp:revision>
  <cp:lastPrinted>2007-06-21T14:51:00Z</cp:lastPrinted>
  <dcterms:created xsi:type="dcterms:W3CDTF">2007-06-21T14:53:00Z</dcterms:created>
  <dcterms:modified xsi:type="dcterms:W3CDTF">2007-06-21T14:59:00Z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0728619s</vt:lpwstr>
  </property>
  <property fmtid="{D5CDD505-2E9C-101B-9397-08002B2CF9AE}" pid="3" name="Symbol1">
    <vt:lpwstr>CEDAW/C/NOR/7</vt:lpwstr>
  </property>
  <property fmtid="{D5CDD505-2E9C-101B-9397-08002B2CF9AE}" pid="4" name="Symbol2">
    <vt:lpwstr/>
  </property>
  <property fmtid="{D5CDD505-2E9C-101B-9397-08002B2CF9AE}" pid="5" name="Translator">
    <vt:lpwstr>Alberto PEREZ-PEREZ</vt:lpwstr>
  </property>
  <property fmtid="{D5CDD505-2E9C-101B-9397-08002B2CF9AE}" pid="6" name="Comment">
    <vt:lpwstr>External document for archiving</vt:lpwstr>
  </property>
  <property fmtid="{D5CDD505-2E9C-101B-9397-08002B2CF9AE}" pid="7" name="DraftPages">
    <vt:lpwstr> </vt:lpwstr>
  </property>
  <property fmtid="{D5CDD505-2E9C-101B-9397-08002B2CF9AE}" pid="8" name="Operator">
    <vt:lpwstr>bbr</vt:lpwstr>
  </property>
</Properties>
</file>