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E857EE" w14:textId="77777777" w:rsidR="00D42E8B" w:rsidRPr="00AD54FC" w:rsidRDefault="00D42E8B" w:rsidP="00D42E8B">
      <w:pPr>
        <w:spacing w:line="240" w:lineRule="auto"/>
        <w:rPr>
          <w:sz w:val="2"/>
          <w:lang w:val="es-ES_tradnl"/>
        </w:rPr>
        <w:sectPr w:rsidR="00D42E8B" w:rsidRPr="00AD54FC" w:rsidSect="00DD055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AD54FC">
        <w:rPr>
          <w:rStyle w:val="CommentReference"/>
          <w:lang w:val="es-ES_tradnl"/>
        </w:rPr>
        <w:commentReference w:id="0"/>
      </w:r>
    </w:p>
    <w:p w14:paraId="3F0B1E59" w14:textId="32AC2B43" w:rsidR="00DD0552" w:rsidRPr="00AD54FC" w:rsidRDefault="00DD0552" w:rsidP="00DD0552">
      <w:pPr>
        <w:pStyle w:val="H1"/>
        <w:ind w:left="0" w:right="3882" w:firstLine="0"/>
        <w:rPr>
          <w:lang w:val="es-ES_tradnl"/>
        </w:rPr>
      </w:pPr>
      <w:r w:rsidRPr="00AD54FC">
        <w:rPr>
          <w:bCs/>
          <w:lang w:val="es-ES_tradnl"/>
        </w:rPr>
        <w:t>Comité para la Eliminación de la Discriminación contra la Mujer</w:t>
      </w:r>
    </w:p>
    <w:p w14:paraId="28980397" w14:textId="77777777" w:rsidR="00DD0552" w:rsidRPr="00AD54FC" w:rsidRDefault="00DD0552" w:rsidP="00DD0552">
      <w:pPr>
        <w:pStyle w:val="Session"/>
        <w:rPr>
          <w:lang w:val="es-ES_tradnl"/>
        </w:rPr>
      </w:pPr>
      <w:r w:rsidRPr="00AD54FC">
        <w:rPr>
          <w:bCs/>
          <w:lang w:val="es-ES_tradnl"/>
        </w:rPr>
        <w:t>82º período de sesiones</w:t>
      </w:r>
    </w:p>
    <w:p w14:paraId="6ACE87BA" w14:textId="77777777" w:rsidR="00DD0552" w:rsidRPr="00AD54FC" w:rsidRDefault="00DD0552" w:rsidP="00DD0552">
      <w:pPr>
        <w:rPr>
          <w:lang w:val="es-ES_tradnl"/>
        </w:rPr>
      </w:pPr>
      <w:r w:rsidRPr="00AD54FC">
        <w:rPr>
          <w:lang w:val="es-ES_tradnl"/>
        </w:rPr>
        <w:t>13 de junio a 1 de julio de 2022</w:t>
      </w:r>
    </w:p>
    <w:p w14:paraId="1039DC8A" w14:textId="77777777" w:rsidR="00DD0552" w:rsidRPr="00AD54FC" w:rsidRDefault="00DD0552" w:rsidP="00DD0552">
      <w:pPr>
        <w:pStyle w:val="AgendaItemNormal"/>
        <w:rPr>
          <w:lang w:val="es-ES_tradnl"/>
        </w:rPr>
      </w:pPr>
      <w:r w:rsidRPr="00AD54FC">
        <w:rPr>
          <w:lang w:val="es-ES_tradnl"/>
        </w:rPr>
        <w:t>Tema 4 del programa provisional</w:t>
      </w:r>
    </w:p>
    <w:p w14:paraId="16CE5840" w14:textId="77777777" w:rsidR="00DD0552" w:rsidRPr="00AD54FC" w:rsidRDefault="00DD0552" w:rsidP="004127FF">
      <w:pPr>
        <w:pStyle w:val="AgendaTitleH2"/>
        <w:tabs>
          <w:tab w:val="right" w:pos="1022"/>
          <w:tab w:val="left" w:pos="1267"/>
          <w:tab w:val="left" w:pos="1742"/>
          <w:tab w:val="left" w:pos="2218"/>
          <w:tab w:val="left" w:pos="2693"/>
          <w:tab w:val="left" w:pos="3182"/>
          <w:tab w:val="left" w:pos="3658"/>
          <w:tab w:val="left" w:pos="4133"/>
          <w:tab w:val="left" w:pos="4622"/>
          <w:tab w:val="left" w:pos="5013"/>
          <w:tab w:val="left" w:pos="5157"/>
          <w:tab w:val="left" w:pos="5573"/>
          <w:tab w:val="left" w:pos="6048"/>
        </w:tabs>
        <w:ind w:right="4710"/>
        <w:rPr>
          <w:lang w:val="es-ES_tradnl"/>
        </w:rPr>
      </w:pPr>
      <w:r w:rsidRPr="00AD54FC">
        <w:rPr>
          <w:bCs/>
          <w:lang w:val="es-ES_tradnl"/>
        </w:rPr>
        <w:t>Examen de los informes presentados por los Estados partes en virtud del artículo 18 de la Convención sobre la Eliminación de Todas las Formas de Discriminación contra la Mujer</w:t>
      </w:r>
    </w:p>
    <w:p w14:paraId="051C58FC" w14:textId="64393686" w:rsidR="00DD0552" w:rsidRPr="00AD54FC" w:rsidRDefault="00DD0552" w:rsidP="00DD0552">
      <w:pPr>
        <w:pStyle w:val="SingleTxt"/>
        <w:spacing w:after="0" w:line="120" w:lineRule="exact"/>
        <w:rPr>
          <w:sz w:val="10"/>
          <w:lang w:val="es-ES_tradnl"/>
        </w:rPr>
      </w:pPr>
    </w:p>
    <w:p w14:paraId="01EDA001" w14:textId="272BA83E" w:rsidR="00DD0552" w:rsidRPr="00AD54FC" w:rsidRDefault="00DD0552" w:rsidP="00DD0552">
      <w:pPr>
        <w:pStyle w:val="SingleTxt"/>
        <w:spacing w:after="0" w:line="120" w:lineRule="exact"/>
        <w:rPr>
          <w:sz w:val="10"/>
          <w:lang w:val="es-ES_tradnl"/>
        </w:rPr>
      </w:pPr>
    </w:p>
    <w:p w14:paraId="50E227A4" w14:textId="0F17A59C" w:rsidR="00DD0552" w:rsidRPr="00AD54FC" w:rsidRDefault="00DD0552" w:rsidP="00DD0552">
      <w:pPr>
        <w:pStyle w:val="SingleTxt"/>
        <w:spacing w:after="0" w:line="120" w:lineRule="exact"/>
        <w:rPr>
          <w:sz w:val="10"/>
          <w:lang w:val="es-ES_tradnl"/>
        </w:rPr>
      </w:pPr>
    </w:p>
    <w:p w14:paraId="19A1AD78" w14:textId="308BC069" w:rsidR="00270CB6" w:rsidRPr="00AD54FC" w:rsidRDefault="00270CB6" w:rsidP="00270CB6">
      <w:pPr>
        <w:framePr w:w="9792" w:h="432" w:hSpace="180" w:wrap="notBeside" w:hAnchor="page" w:x="1210" w:yAlign="bottom"/>
        <w:spacing w:line="240" w:lineRule="auto"/>
        <w:rPr>
          <w:sz w:val="2"/>
          <w:lang w:val="es-ES_tradnl"/>
        </w:rPr>
      </w:pPr>
      <w:r w:rsidRPr="00AD54FC">
        <w:rPr>
          <w:noProof/>
          <w:w w:val="100"/>
          <w:sz w:val="2"/>
          <w:lang w:val="es-ES_tradnl"/>
        </w:rPr>
        <mc:AlternateContent>
          <mc:Choice Requires="wps">
            <w:drawing>
              <wp:anchor distT="0" distB="0" distL="114300" distR="114300" simplePos="0" relativeHeight="251659264" behindDoc="0" locked="0" layoutInCell="1" allowOverlap="1" wp14:anchorId="7C615827" wp14:editId="6BBA1AA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A165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0DD55DC9" w14:textId="195BB220" w:rsidR="00270CB6" w:rsidRPr="00AD54FC" w:rsidRDefault="00270CB6" w:rsidP="00270CB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lang w:val="es-ES_tradnl"/>
        </w:rPr>
      </w:pPr>
      <w:r w:rsidRPr="00AD54FC">
        <w:rPr>
          <w:lang w:val="es-ES_tradnl"/>
        </w:rPr>
        <w:tab/>
        <w:t>*</w:t>
      </w:r>
      <w:r w:rsidRPr="00AD54FC">
        <w:rPr>
          <w:lang w:val="es-ES_tradnl"/>
        </w:rPr>
        <w:tab/>
        <w:t>La versión original del presente documento no fue objeto de revisión editorial oficial.</w:t>
      </w:r>
    </w:p>
    <w:p w14:paraId="2B8E64D5" w14:textId="454CCD00" w:rsidR="00DD0552" w:rsidRPr="00AD54FC" w:rsidRDefault="00DD0552" w:rsidP="00DD0552">
      <w:pPr>
        <w:pStyle w:val="TitleHCH"/>
        <w:ind w:left="1267" w:right="1260" w:hanging="1267"/>
        <w:rPr>
          <w:b w:val="0"/>
          <w:bCs/>
          <w:sz w:val="20"/>
          <w:lang w:val="es-ES_tradnl"/>
        </w:rPr>
      </w:pPr>
      <w:r w:rsidRPr="00AD54FC">
        <w:rPr>
          <w:lang w:val="es-ES_tradnl"/>
        </w:rPr>
        <w:tab/>
      </w:r>
      <w:r w:rsidRPr="00AD54FC">
        <w:rPr>
          <w:lang w:val="es-ES_tradnl"/>
        </w:rPr>
        <w:tab/>
        <w:t>Respuestas de Namibia a la lista de cuestiones y preguntas relativa a su sexto informe periódico</w:t>
      </w:r>
      <w:r w:rsidR="000C632A" w:rsidRPr="000C632A">
        <w:rPr>
          <w:b w:val="0"/>
          <w:bCs/>
          <w:sz w:val="20"/>
          <w:lang w:val="es-ES_tradnl"/>
        </w:rPr>
        <w:t>*</w:t>
      </w:r>
    </w:p>
    <w:p w14:paraId="4ED50D5A" w14:textId="5E6E1454" w:rsidR="00DD0552" w:rsidRPr="00AD54FC" w:rsidRDefault="00DD0552" w:rsidP="00DD0552">
      <w:pPr>
        <w:pStyle w:val="SingleTxt"/>
        <w:spacing w:after="0" w:line="120" w:lineRule="exact"/>
        <w:rPr>
          <w:sz w:val="10"/>
          <w:lang w:val="es-ES_tradnl"/>
        </w:rPr>
      </w:pPr>
    </w:p>
    <w:p w14:paraId="400EC42A" w14:textId="11885D72" w:rsidR="00DD0552" w:rsidRPr="00AD54FC" w:rsidRDefault="00DD0552" w:rsidP="00DD0552">
      <w:pPr>
        <w:pStyle w:val="SingleTxt"/>
        <w:spacing w:after="0" w:line="120" w:lineRule="exact"/>
        <w:rPr>
          <w:sz w:val="10"/>
          <w:lang w:val="es-ES_tradnl"/>
        </w:rPr>
      </w:pPr>
    </w:p>
    <w:p w14:paraId="5CE2EAF0" w14:textId="529EBC14" w:rsidR="00270CB6" w:rsidRPr="00AD54FC" w:rsidRDefault="00DD0552" w:rsidP="00DD0552">
      <w:pPr>
        <w:pStyle w:val="SingleTxt"/>
        <w:jc w:val="right"/>
        <w:rPr>
          <w:lang w:val="es-ES_tradnl"/>
        </w:rPr>
      </w:pPr>
      <w:r w:rsidRPr="00AD54FC">
        <w:rPr>
          <w:lang w:val="es-ES_tradnl"/>
        </w:rPr>
        <w:t>[Fecha de recepción: 27 de julio de 2021]</w:t>
      </w:r>
    </w:p>
    <w:p w14:paraId="2EA22D7F" w14:textId="77777777" w:rsidR="00270CB6" w:rsidRPr="00AD54FC" w:rsidRDefault="00270CB6" w:rsidP="00270CB6">
      <w:pPr>
        <w:pStyle w:val="SingleTxt"/>
        <w:jc w:val="left"/>
        <w:rPr>
          <w:lang w:val="es-ES_tradnl"/>
        </w:rPr>
      </w:pPr>
      <w:r w:rsidRPr="00AD54FC">
        <w:rPr>
          <w:lang w:val="es-ES_tradnl"/>
        </w:rPr>
        <w:br w:type="page"/>
      </w:r>
    </w:p>
    <w:p w14:paraId="03AAD29E" w14:textId="7685641E" w:rsidR="00270CB6" w:rsidRPr="00AD54FC" w:rsidRDefault="00C35AFD" w:rsidP="00C35AFD">
      <w:pPr>
        <w:pStyle w:val="HCh"/>
        <w:ind w:left="1267" w:right="1260" w:hanging="1267"/>
        <w:rPr>
          <w:lang w:val="es-ES_tradnl"/>
        </w:rPr>
      </w:pPr>
      <w:r w:rsidRPr="00AD54FC">
        <w:rPr>
          <w:lang w:val="es-ES_tradnl"/>
        </w:rPr>
        <w:lastRenderedPageBreak/>
        <w:tab/>
        <w:t>I.</w:t>
      </w:r>
      <w:r w:rsidRPr="00AD54FC">
        <w:rPr>
          <w:lang w:val="es-ES_tradnl"/>
        </w:rPr>
        <w:tab/>
      </w:r>
      <w:r w:rsidR="00270CB6" w:rsidRPr="00AD54FC">
        <w:rPr>
          <w:lang w:val="es-ES_tradnl"/>
        </w:rPr>
        <w:t>Visibilidad de la Convención y de su Protocolo Facultativo</w:t>
      </w:r>
    </w:p>
    <w:p w14:paraId="105D4538" w14:textId="65352F69" w:rsidR="00270CB6" w:rsidRPr="00AD54FC" w:rsidRDefault="00270CB6" w:rsidP="00270CB6">
      <w:pPr>
        <w:pStyle w:val="SingleTxt"/>
        <w:spacing w:after="0" w:line="120" w:lineRule="exact"/>
        <w:rPr>
          <w:sz w:val="10"/>
          <w:lang w:val="es-ES_tradnl"/>
        </w:rPr>
      </w:pPr>
    </w:p>
    <w:p w14:paraId="4468C695" w14:textId="02970A24" w:rsidR="00270CB6" w:rsidRPr="00AD54FC" w:rsidRDefault="00270CB6" w:rsidP="00270CB6">
      <w:pPr>
        <w:pStyle w:val="SingleTxt"/>
        <w:spacing w:after="0" w:line="120" w:lineRule="exact"/>
        <w:rPr>
          <w:sz w:val="10"/>
          <w:lang w:val="es-ES_tradnl"/>
        </w:rPr>
      </w:pPr>
    </w:p>
    <w:p w14:paraId="4B5EA9FA" w14:textId="5179CB8F" w:rsidR="00270CB6" w:rsidRPr="00AD54FC" w:rsidRDefault="00270CB6" w:rsidP="00270CB6">
      <w:pPr>
        <w:pStyle w:val="SingleTxt"/>
        <w:rPr>
          <w:lang w:val="es-ES_tradnl"/>
        </w:rPr>
      </w:pPr>
      <w:r w:rsidRPr="00AD54FC">
        <w:rPr>
          <w:lang w:val="es-ES_tradnl"/>
        </w:rPr>
        <w:t>1.</w:t>
      </w:r>
      <w:r w:rsidRPr="00AD54FC">
        <w:rPr>
          <w:lang w:val="es-ES_tradnl"/>
        </w:rPr>
        <w:tab/>
        <w:t xml:space="preserve">Se elaboró una Política Nacional de Género (2010-2020) basada en la Convención sobre la Eliminación de Todas las Formas de Discriminación contra la Mujer y en los derechos contemplados en ella. La Política Nacional de Género es utilizada por los coordinadores regionales radicados en diferentes regiones para concienciar sobre los derechos de las mujeres y sensibilizar a las comunidades locales, incluidos los grupos de mujeres marginadas y desfavorecidas. Esta política ha creado un entorno propicio para que los sectores puedan incorporar la perspectiva de género, y ha priorizado la aplicación de objetivos y políticas destinados a lograr la igualdad de género, así como la rendición de cuentas a este respecto. Reconociendo la necesidad de mejorar la concienciación a todos los niveles de la comunidad acerca de los derechos de las mujeres a no ser objeto de discriminación, el Gobierno ha incluido este elemento en el Plan de Acción Nacional sobre la Violencia de Género (2019-2023), que tiene carácter prioritario, en el marco del resultado de la Esfera de Acción 2: Llegar a todos los namibios a través de las redes comunitarias. Con arreglo a este resultado, los voluntarios de la comunidad que son miembros de las redes existentes facilitarán labores de concienciación y servicios de prevención de la violencia de género a las mujeres y niñas expuestas a la violencia en los distintos niveles de la comunidad, atendiendo en particular a las mujeres y niñas con necesidades específicas, como las mujeres que viven en zonas remotas y rurales, las mujeres de comunidades marginadas (san, </w:t>
      </w:r>
      <w:proofErr w:type="spellStart"/>
      <w:r w:rsidRPr="00AD54FC">
        <w:rPr>
          <w:lang w:val="es-ES_tradnl"/>
        </w:rPr>
        <w:t>ovatwe</w:t>
      </w:r>
      <w:proofErr w:type="spellEnd"/>
      <w:r w:rsidRPr="00AD54FC">
        <w:rPr>
          <w:lang w:val="es-ES_tradnl"/>
        </w:rPr>
        <w:t xml:space="preserve"> y </w:t>
      </w:r>
      <w:proofErr w:type="spellStart"/>
      <w:r w:rsidRPr="00AD54FC">
        <w:rPr>
          <w:lang w:val="es-ES_tradnl"/>
        </w:rPr>
        <w:t>ovahimba</w:t>
      </w:r>
      <w:proofErr w:type="spellEnd"/>
      <w:r w:rsidRPr="00AD54FC">
        <w:rPr>
          <w:lang w:val="es-ES_tradnl"/>
        </w:rPr>
        <w:t xml:space="preserve">) y las mujeres con discapacidad. </w:t>
      </w:r>
    </w:p>
    <w:p w14:paraId="09ABA69A" w14:textId="4C8C3C91" w:rsidR="00270CB6" w:rsidRPr="00AD54FC" w:rsidRDefault="00270CB6" w:rsidP="00084C4B">
      <w:pPr>
        <w:pStyle w:val="SingleTxt"/>
        <w:rPr>
          <w:lang w:val="es-ES_tradnl"/>
        </w:rPr>
      </w:pPr>
      <w:r w:rsidRPr="00AD54FC">
        <w:rPr>
          <w:lang w:val="es-ES_tradnl"/>
        </w:rPr>
        <w:t>2.</w:t>
      </w:r>
      <w:r w:rsidRPr="00AD54FC">
        <w:rPr>
          <w:lang w:val="es-ES_tradnl"/>
        </w:rPr>
        <w:tab/>
        <w:t xml:space="preserve">La Oficina del Poder Judicial no ha implementado ninguna medida para llevar a cabo actividades de fomento de la capacidad de los jueces sobre los derechos establecidos en la Convención. </w:t>
      </w:r>
    </w:p>
    <w:p w14:paraId="698238B2" w14:textId="43C5E3F9" w:rsidR="00270CB6" w:rsidRPr="00AD54FC" w:rsidRDefault="00270CB6" w:rsidP="00270CB6">
      <w:pPr>
        <w:pStyle w:val="SingleTxt"/>
        <w:spacing w:after="0" w:line="120" w:lineRule="exact"/>
        <w:jc w:val="left"/>
        <w:rPr>
          <w:sz w:val="10"/>
          <w:lang w:val="es-ES_tradnl"/>
        </w:rPr>
      </w:pPr>
    </w:p>
    <w:p w14:paraId="19C7A319" w14:textId="0CDE5E1F" w:rsidR="00270CB6" w:rsidRPr="00AD54FC" w:rsidRDefault="00270CB6" w:rsidP="00270CB6">
      <w:pPr>
        <w:pStyle w:val="SingleTxt"/>
        <w:spacing w:after="0" w:line="120" w:lineRule="exact"/>
        <w:jc w:val="left"/>
        <w:rPr>
          <w:sz w:val="10"/>
          <w:lang w:val="es-ES_tradnl"/>
        </w:rPr>
      </w:pPr>
    </w:p>
    <w:p w14:paraId="19232010" w14:textId="6ADBEEF7" w:rsidR="00270CB6" w:rsidRPr="00AD54FC" w:rsidRDefault="00C35AFD" w:rsidP="00C35AFD">
      <w:pPr>
        <w:pStyle w:val="HCh"/>
        <w:ind w:left="1267" w:right="1260" w:hanging="1267"/>
        <w:rPr>
          <w:lang w:val="es-ES_tradnl"/>
        </w:rPr>
      </w:pPr>
      <w:r w:rsidRPr="00AD54FC">
        <w:rPr>
          <w:lang w:val="es-ES_tradnl"/>
        </w:rPr>
        <w:tab/>
        <w:t>II.</w:t>
      </w:r>
      <w:r w:rsidRPr="00AD54FC">
        <w:rPr>
          <w:lang w:val="es-ES_tradnl"/>
        </w:rPr>
        <w:tab/>
      </w:r>
      <w:r w:rsidR="00270CB6" w:rsidRPr="00AD54FC">
        <w:rPr>
          <w:lang w:val="es-ES_tradnl"/>
        </w:rPr>
        <w:t xml:space="preserve">Efectos de la pandemia en los derechos de las mujeres, la recuperación y la igualdad de género </w:t>
      </w:r>
    </w:p>
    <w:p w14:paraId="24D0E05F" w14:textId="7C3C6244" w:rsidR="00270CB6" w:rsidRPr="00AD54FC" w:rsidRDefault="00270CB6" w:rsidP="00270CB6">
      <w:pPr>
        <w:pStyle w:val="SingleTxt"/>
        <w:spacing w:after="0" w:line="120" w:lineRule="exact"/>
        <w:rPr>
          <w:sz w:val="10"/>
          <w:lang w:val="es-ES_tradnl"/>
        </w:rPr>
      </w:pPr>
    </w:p>
    <w:p w14:paraId="3392CF07" w14:textId="221D10FE" w:rsidR="00270CB6" w:rsidRPr="00AD54FC" w:rsidRDefault="00270CB6" w:rsidP="00270CB6">
      <w:pPr>
        <w:pStyle w:val="SingleTxt"/>
        <w:spacing w:after="0" w:line="120" w:lineRule="exact"/>
        <w:rPr>
          <w:sz w:val="10"/>
          <w:lang w:val="es-ES_tradnl"/>
        </w:rPr>
      </w:pPr>
    </w:p>
    <w:p w14:paraId="7391CF8A" w14:textId="77777777" w:rsidR="00270CB6" w:rsidRPr="00AD54FC" w:rsidRDefault="00270CB6" w:rsidP="00084C4B">
      <w:pPr>
        <w:pStyle w:val="SingleTxt"/>
        <w:rPr>
          <w:lang w:val="es-ES_tradnl"/>
        </w:rPr>
      </w:pPr>
      <w:r w:rsidRPr="00AD54FC">
        <w:rPr>
          <w:lang w:val="es-ES_tradnl"/>
        </w:rPr>
        <w:t>3.</w:t>
      </w:r>
      <w:r w:rsidRPr="00AD54FC">
        <w:rPr>
          <w:lang w:val="es-ES_tradnl"/>
        </w:rPr>
        <w:tab/>
        <w:t>Sírvanse indicar qué medidas se han establecido para garantizar que todas las iniciativas de respuesta y de recuperación ante la crisis generada por la COVID-19, incluido el plan de recuperación y resiliencia, permitan:</w:t>
      </w:r>
    </w:p>
    <w:p w14:paraId="3BD3D725" w14:textId="35BA8111" w:rsidR="00270CB6" w:rsidRPr="00AD54FC" w:rsidRDefault="00270CB6" w:rsidP="00084C4B">
      <w:pPr>
        <w:pStyle w:val="SingleTxt"/>
        <w:rPr>
          <w:lang w:val="es-ES_tradnl"/>
        </w:rPr>
      </w:pPr>
      <w:r w:rsidRPr="00AD54FC">
        <w:rPr>
          <w:lang w:val="es-ES_tradnl"/>
        </w:rPr>
        <w:t>4.</w:t>
      </w:r>
      <w:r w:rsidRPr="00AD54FC">
        <w:rPr>
          <w:lang w:val="es-ES_tradnl"/>
        </w:rPr>
        <w:tab/>
        <w:t xml:space="preserve">Afrontar y tratar de prevenir eficazmente la violencia de género contra las mujeres y las niñas; </w:t>
      </w:r>
    </w:p>
    <w:p w14:paraId="48F18394" w14:textId="7F533E37" w:rsidR="00270CB6" w:rsidRPr="00AD54FC" w:rsidRDefault="00270CB6" w:rsidP="00084C4B">
      <w:pPr>
        <w:pStyle w:val="SingleTxt"/>
        <w:tabs>
          <w:tab w:val="right" w:pos="1685"/>
        </w:tabs>
        <w:ind w:left="1742" w:hanging="475"/>
        <w:rPr>
          <w:spacing w:val="2"/>
          <w:w w:val="102"/>
          <w:lang w:val="es-ES_tradnl"/>
        </w:rPr>
      </w:pPr>
      <w:r w:rsidRPr="00AD54FC">
        <w:rPr>
          <w:lang w:val="es-ES_tradnl"/>
        </w:rPr>
        <w:tab/>
        <w:t>•</w:t>
      </w:r>
      <w:r w:rsidRPr="00AD54FC">
        <w:rPr>
          <w:lang w:val="es-ES_tradnl"/>
        </w:rPr>
        <w:tab/>
        <w:t>Los trabajadores sociales del Ministerio de Igualdad de Género, Erradicación de la Pobreza y Bienestar Social y del Ministerio de Interior, Inmigración y Seguridad forman parte de los servicios esenciales. Las medidas de respuesta ante la COVID-19 no afectaron a los servicios esenciales, ya que estos se prestaron sin interrupción durante todo el período de restricciones. Además, durante el período de confinamiento por la COVID-19 se creó el plan de respuesta contra la violencia de género y la violencia doméstica con el fin de orientar al público sobre cómo denunciar tales situaciones. El plan de respuesta, que formaba parte de la declaración publicada por el Gobierno de Namibia, engloba el proceso y los procedimientos de remisión;</w:t>
      </w:r>
    </w:p>
    <w:p w14:paraId="74519623" w14:textId="562E3C61" w:rsidR="00270CB6" w:rsidRPr="00AD54FC" w:rsidRDefault="00270CB6" w:rsidP="00084C4B">
      <w:pPr>
        <w:pStyle w:val="SingleTxt"/>
        <w:tabs>
          <w:tab w:val="right" w:pos="1685"/>
        </w:tabs>
        <w:ind w:left="1742" w:right="1200" w:hanging="475"/>
        <w:rPr>
          <w:spacing w:val="1"/>
          <w:w w:val="101"/>
          <w:lang w:val="es-ES_tradnl"/>
        </w:rPr>
      </w:pPr>
      <w:r w:rsidRPr="00AD54FC">
        <w:rPr>
          <w:lang w:val="es-ES_tradnl"/>
        </w:rPr>
        <w:tab/>
        <w:t>•</w:t>
      </w:r>
      <w:r w:rsidRPr="00AD54FC">
        <w:rPr>
          <w:lang w:val="es-ES_tradnl"/>
        </w:rPr>
        <w:tab/>
        <w:t xml:space="preserve">El primer punto de respuesta para los niños o adultos necesitados de protección era la denuncia a través de los teléfonos de asistencia 116 o 106 o en la comisaría de policía más cercana; </w:t>
      </w:r>
    </w:p>
    <w:p w14:paraId="78F9A097" w14:textId="46CF2736" w:rsidR="00270CB6" w:rsidRPr="00AD54FC" w:rsidRDefault="00270CB6" w:rsidP="00084C4B">
      <w:pPr>
        <w:pStyle w:val="SingleTxt"/>
        <w:tabs>
          <w:tab w:val="right" w:pos="1685"/>
        </w:tabs>
        <w:ind w:left="1742" w:hanging="475"/>
        <w:rPr>
          <w:lang w:val="es-ES_tradnl"/>
        </w:rPr>
      </w:pPr>
      <w:r w:rsidRPr="00AD54FC">
        <w:rPr>
          <w:lang w:val="es-ES_tradnl"/>
        </w:rPr>
        <w:tab/>
        <w:t>•</w:t>
      </w:r>
      <w:r w:rsidRPr="00AD54FC">
        <w:rPr>
          <w:lang w:val="es-ES_tradnl"/>
        </w:rPr>
        <w:tab/>
        <w:t>Los supervisores regionales (trabajadores sociales de control) eran informados inmediatamente del caso denunciado;</w:t>
      </w:r>
    </w:p>
    <w:p w14:paraId="1B92C601" w14:textId="14201185" w:rsidR="00270CB6" w:rsidRPr="00AD54FC" w:rsidRDefault="00270CB6" w:rsidP="00084C4B">
      <w:pPr>
        <w:pStyle w:val="SingleTxt"/>
        <w:tabs>
          <w:tab w:val="right" w:pos="1685"/>
        </w:tabs>
        <w:ind w:left="1742" w:hanging="475"/>
        <w:rPr>
          <w:lang w:val="es-ES_tradnl"/>
        </w:rPr>
      </w:pPr>
      <w:r w:rsidRPr="00AD54FC">
        <w:rPr>
          <w:lang w:val="es-ES_tradnl"/>
        </w:rPr>
        <w:tab/>
        <w:t>•</w:t>
      </w:r>
      <w:r w:rsidRPr="00AD54FC">
        <w:rPr>
          <w:lang w:val="es-ES_tradnl"/>
        </w:rPr>
        <w:tab/>
        <w:t>El supervisor regional del Ministerio de Igualdad de Género asigna un caso específico de violencia de género o de violencia doméstica al trabajador social designado para que lo aborde según las normas y directrices vigentes;</w:t>
      </w:r>
    </w:p>
    <w:p w14:paraId="68C2E5A9" w14:textId="28F032FF" w:rsidR="00270CB6" w:rsidRPr="00AD54FC" w:rsidRDefault="00270CB6" w:rsidP="00084C4B">
      <w:pPr>
        <w:pStyle w:val="SingleTxt"/>
        <w:tabs>
          <w:tab w:val="right" w:pos="1685"/>
        </w:tabs>
        <w:ind w:left="1742" w:hanging="475"/>
        <w:rPr>
          <w:lang w:val="es-ES_tradnl"/>
        </w:rPr>
      </w:pPr>
      <w:r w:rsidRPr="00AD54FC">
        <w:rPr>
          <w:lang w:val="es-ES_tradnl"/>
        </w:rPr>
        <w:tab/>
        <w:t>•</w:t>
      </w:r>
      <w:r w:rsidRPr="00AD54FC">
        <w:rPr>
          <w:lang w:val="es-ES_tradnl"/>
        </w:rPr>
        <w:tab/>
        <w:t>El Ministerio de Educación tiene por objeto fortalecer las labores de promoción y ampliar la creación de capacidad, así como dar seguimiento y evaluar la comprensión y la implementación de los siguientes elementos:</w:t>
      </w:r>
    </w:p>
    <w:p w14:paraId="17F1614F" w14:textId="2FE0B5B9"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Manual de formación del Consejo Escolar (*); </w:t>
      </w:r>
    </w:p>
    <w:p w14:paraId="222ED02B" w14:textId="21B11F75"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Manual de formación para la salud escolar integrada; </w:t>
      </w:r>
    </w:p>
    <w:p w14:paraId="78F4CB7F" w14:textId="15D2E2C5"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Marco Nacional de Escuelas Seguras de Namibia; </w:t>
      </w:r>
    </w:p>
    <w:p w14:paraId="622FCB15" w14:textId="34E94887"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Manual de formación en asesoramiento para docentes; </w:t>
      </w:r>
    </w:p>
    <w:p w14:paraId="5E8EDFE2" w14:textId="3224D22C"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Manual de respuesta del educador ante la violencia sexual (*); </w:t>
      </w:r>
    </w:p>
    <w:p w14:paraId="2A2FD997" w14:textId="0DEDA615"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Educación física para la vida (*); </w:t>
      </w:r>
    </w:p>
    <w:p w14:paraId="08BB2C55" w14:textId="64243246"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Programa Deporte para el Desarrollo (*); </w:t>
      </w:r>
    </w:p>
    <w:p w14:paraId="0FA06E62" w14:textId="2383431E"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Manual de formación de los círculos educativos (gobernanza de los alumnos) (*); </w:t>
      </w:r>
    </w:p>
    <w:p w14:paraId="18B74D3E" w14:textId="6933E7BE"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 xml:space="preserve">Programas "Ventana de esperanza" y "Mi futuro es mi decisión"; </w:t>
      </w:r>
    </w:p>
    <w:p w14:paraId="4B1AFA5F" w14:textId="31474843"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Libros de texto y manuales de "competencias para la vida"; y</w:t>
      </w:r>
    </w:p>
    <w:p w14:paraId="6503E6DA" w14:textId="41B0D5B0" w:rsidR="00270CB6" w:rsidRPr="00AD54FC" w:rsidRDefault="00AF3073" w:rsidP="00230647">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ind w:left="2218" w:hanging="950"/>
        <w:rPr>
          <w:lang w:val="es-ES_tradnl"/>
        </w:rPr>
      </w:pPr>
      <w:r w:rsidRPr="00AD54FC">
        <w:rPr>
          <w:lang w:val="es-ES_tradnl"/>
        </w:rPr>
        <w:tab/>
      </w:r>
      <w:r w:rsidRPr="00AD54FC">
        <w:rPr>
          <w:lang w:val="es-ES_tradnl"/>
        </w:rPr>
        <w:tab/>
        <w:t>•</w:t>
      </w:r>
      <w:r w:rsidRPr="00AD54FC">
        <w:rPr>
          <w:lang w:val="es-ES_tradnl"/>
        </w:rPr>
        <w:tab/>
        <w:t>la campaña #KeepMeSafe (Mantenme a salvo) con la Policía de Namibia.</w:t>
      </w:r>
    </w:p>
    <w:p w14:paraId="61BC18F4" w14:textId="1BBC3CD7" w:rsidR="00270CB6" w:rsidRPr="00AD54FC" w:rsidRDefault="004C6B6A" w:rsidP="004C6B6A">
      <w:pPr>
        <w:pStyle w:val="SingleTxt"/>
        <w:tabs>
          <w:tab w:val="clear" w:pos="2218"/>
          <w:tab w:val="left" w:pos="2079"/>
        </w:tabs>
        <w:ind w:left="2079" w:hanging="812"/>
        <w:jc w:val="left"/>
        <w:rPr>
          <w:lang w:val="es-ES_tradnl"/>
        </w:rPr>
      </w:pPr>
      <w:r w:rsidRPr="00AD54FC">
        <w:rPr>
          <w:lang w:val="es-ES_tradnl"/>
        </w:rPr>
        <w:tab/>
      </w:r>
      <w:r w:rsidRPr="00AD54FC">
        <w:rPr>
          <w:lang w:val="es-ES_tradnl"/>
        </w:rPr>
        <w:tab/>
      </w:r>
      <w:r w:rsidRPr="00AD54FC">
        <w:rPr>
          <w:lang w:val="es-ES_tradnl"/>
        </w:rPr>
        <w:tab/>
        <w:t>(*) significa que no todas las escuelas han recibido capacitación a causa del impacto de la pandemia de COVID-19 y de los protocolos y reglamentos sanitarios.</w:t>
      </w:r>
    </w:p>
    <w:p w14:paraId="081627BA" w14:textId="7B730387" w:rsidR="00270CB6" w:rsidRPr="00AD54FC" w:rsidRDefault="00270CB6" w:rsidP="00DC0BF6">
      <w:pPr>
        <w:pStyle w:val="SingleTxt"/>
        <w:rPr>
          <w:lang w:val="es-ES_tradnl"/>
        </w:rPr>
      </w:pPr>
      <w:r w:rsidRPr="00AD54FC">
        <w:rPr>
          <w:lang w:val="es-ES_tradnl"/>
        </w:rPr>
        <w:t>5)</w:t>
      </w:r>
      <w:r w:rsidRPr="00AD54FC">
        <w:rPr>
          <w:lang w:val="es-ES_tradnl"/>
        </w:rPr>
        <w:tab/>
        <w:t>Igualdad de participación de las mujeres en la vida política y pública:</w:t>
      </w:r>
    </w:p>
    <w:p w14:paraId="54FED14D" w14:textId="07B13DBB" w:rsidR="00270CB6" w:rsidRPr="00AD54FC" w:rsidRDefault="00270CB6" w:rsidP="00270CB6">
      <w:pPr>
        <w:pStyle w:val="SingleTxt"/>
        <w:tabs>
          <w:tab w:val="right" w:pos="1685"/>
        </w:tabs>
        <w:ind w:left="1742" w:hanging="475"/>
        <w:rPr>
          <w:lang w:val="es-ES_tradnl"/>
        </w:rPr>
      </w:pPr>
      <w:r w:rsidRPr="00AD54FC">
        <w:rPr>
          <w:lang w:val="es-ES_tradnl"/>
        </w:rPr>
        <w:tab/>
        <w:t>•</w:t>
      </w:r>
      <w:r w:rsidRPr="00AD54FC">
        <w:rPr>
          <w:lang w:val="es-ES_tradnl"/>
        </w:rPr>
        <w:tab/>
        <w:t>La Ley de Acción Afirmativa (Empleo) (Ley núm. 29 de 1998) prevé medidas para alcanzar la igualdad de oportunidades en el empleo, de conformidad con el artículo 10 y el artículo 23 de la Constitución de Namibia; para hacer posible la creación de la Comisión de Igualdad en el Empleo; para corregir, mediante planes adecuados de acción afirmativa, las situaciones de desventaja en el empleo que sufren las personas de los grupos designados, como consecuencia de leyes y prácticas discriminatorias del pasado; para establecer procedimientos que contribuyan a la eliminación de la discriminación en el empleo; y para regular otras cuestiones accesorias.</w:t>
      </w:r>
    </w:p>
    <w:p w14:paraId="4EB062CB" w14:textId="0E4BA36D" w:rsidR="00270CB6" w:rsidRPr="00AD54FC" w:rsidRDefault="00270CB6" w:rsidP="00270CB6">
      <w:pPr>
        <w:pStyle w:val="SingleTxt"/>
        <w:tabs>
          <w:tab w:val="right" w:pos="1685"/>
        </w:tabs>
        <w:ind w:left="1742" w:hanging="475"/>
        <w:rPr>
          <w:lang w:val="es-ES_tradnl"/>
        </w:rPr>
      </w:pPr>
      <w:r w:rsidRPr="00AD54FC">
        <w:rPr>
          <w:lang w:val="es-ES_tradnl"/>
        </w:rPr>
        <w:tab/>
        <w:t>•</w:t>
      </w:r>
      <w:r w:rsidRPr="00AD54FC">
        <w:rPr>
          <w:lang w:val="es-ES_tradnl"/>
        </w:rPr>
        <w:tab/>
        <w:t>La Política Nacional de Género (2010-2020) también cuenta con una estrategia para facilitar un entorno propicio para las mujeres en los puestos decisorios, involucrándolas en la sensibilización en materia de género y proporcionando formación, orientación y oportunidades para que las mujeres desempeñen un papel activo y vocal en las decisiones importantes;</w:t>
      </w:r>
    </w:p>
    <w:p w14:paraId="5FCAEE32" w14:textId="26DD3DEC" w:rsidR="00270CB6" w:rsidRPr="00AD54FC" w:rsidRDefault="00270CB6" w:rsidP="00C47CB3">
      <w:pPr>
        <w:pStyle w:val="SingleTxt"/>
        <w:tabs>
          <w:tab w:val="right" w:pos="1685"/>
        </w:tabs>
        <w:ind w:left="1742" w:hanging="475"/>
        <w:rPr>
          <w:lang w:val="es-ES_tradnl"/>
        </w:rPr>
      </w:pPr>
      <w:r w:rsidRPr="00AD54FC">
        <w:rPr>
          <w:lang w:val="es-ES_tradnl"/>
        </w:rPr>
        <w:tab/>
        <w:t>•</w:t>
      </w:r>
      <w:r w:rsidRPr="00AD54FC">
        <w:rPr>
          <w:lang w:val="es-ES_tradnl"/>
        </w:rPr>
        <w:tab/>
        <w:t xml:space="preserve">El Gobierno, a través del Ministerio de Igualdad de Género, Erradicación de la Pobreza y Bienestar Social, ha puesto en marcha un programa sobre las mujeres en la política y la adopción de decisiones, en colaboración con IDEA Internacional, y desde 2014 celebra talleres anuales con el objetivo de respaldar el desempeño de las mujeres parlamentarias en las funciones de elaboración de leyes, representación y supervisión; </w:t>
      </w:r>
    </w:p>
    <w:p w14:paraId="0720D5F3" w14:textId="69C0DCA3" w:rsidR="00270CB6" w:rsidRPr="00AD54FC" w:rsidRDefault="00270CB6" w:rsidP="00DC0BF6">
      <w:pPr>
        <w:pStyle w:val="SingleTxt"/>
        <w:tabs>
          <w:tab w:val="right" w:pos="1685"/>
        </w:tabs>
        <w:ind w:left="1742" w:hanging="475"/>
        <w:rPr>
          <w:lang w:val="es-ES_tradnl"/>
        </w:rPr>
      </w:pPr>
      <w:r w:rsidRPr="00AD54FC">
        <w:rPr>
          <w:lang w:val="es-ES_tradnl"/>
        </w:rPr>
        <w:tab/>
        <w:t>•</w:t>
      </w:r>
      <w:r w:rsidRPr="00AD54FC">
        <w:rPr>
          <w:lang w:val="es-ES_tradnl"/>
        </w:rPr>
        <w:tab/>
        <w:t>Fortalecer la capacidad de las mujeres parlamentarias para participar en las funciones parlamentarias (elaboración de leyes, representación y supervisión);</w:t>
      </w:r>
    </w:p>
    <w:p w14:paraId="11BC8054" w14:textId="109D3F02" w:rsidR="00270CB6" w:rsidRPr="00AD54FC" w:rsidRDefault="00270CB6" w:rsidP="00DC0BF6">
      <w:pPr>
        <w:pStyle w:val="SingleTxt"/>
        <w:tabs>
          <w:tab w:val="right" w:pos="1685"/>
        </w:tabs>
        <w:ind w:left="1742" w:hanging="475"/>
        <w:rPr>
          <w:lang w:val="es-ES_tradnl"/>
        </w:rPr>
      </w:pPr>
      <w:r w:rsidRPr="00AD54FC">
        <w:rPr>
          <w:lang w:val="es-ES_tradnl"/>
        </w:rPr>
        <w:tab/>
        <w:t>•</w:t>
      </w:r>
      <w:r w:rsidRPr="00AD54FC">
        <w:rPr>
          <w:lang w:val="es-ES_tradnl"/>
        </w:rPr>
        <w:tab/>
        <w:t>Mejorar la comprensión y los conocimientos de las mujeres parlamentarias a la hora de abordar las cuestiones relacionadas con el género en la elaboración de leyes, la representación y la supervisión;</w:t>
      </w:r>
    </w:p>
    <w:p w14:paraId="0793E113" w14:textId="7B86F302" w:rsidR="00270CB6" w:rsidRPr="00AD54FC" w:rsidRDefault="00270CB6" w:rsidP="00DC0BF6">
      <w:pPr>
        <w:pStyle w:val="SingleTxt"/>
        <w:tabs>
          <w:tab w:val="right" w:pos="1685"/>
        </w:tabs>
        <w:ind w:left="1742" w:hanging="475"/>
        <w:rPr>
          <w:lang w:val="es-ES_tradnl"/>
        </w:rPr>
      </w:pPr>
      <w:r w:rsidRPr="00AD54FC">
        <w:rPr>
          <w:lang w:val="es-ES_tradnl"/>
        </w:rPr>
        <w:tab/>
        <w:t>•</w:t>
      </w:r>
      <w:r w:rsidRPr="00AD54FC">
        <w:rPr>
          <w:lang w:val="es-ES_tradnl"/>
        </w:rPr>
        <w:tab/>
        <w:t>Explorar cómo las mujeres parlamentarias pueden colaborar en el Parlamento y compartir "buenas prácticas" acerca de los cambios que pueden impulsar las propias mujeres a través de sus funciones parlamentarias;</w:t>
      </w:r>
    </w:p>
    <w:p w14:paraId="4F2E3F1D" w14:textId="03259847" w:rsidR="00270CB6" w:rsidRPr="00AD54FC" w:rsidRDefault="00270CB6" w:rsidP="00DC0BF6">
      <w:pPr>
        <w:pStyle w:val="SingleTxt"/>
        <w:tabs>
          <w:tab w:val="right" w:pos="1685"/>
        </w:tabs>
        <w:ind w:left="1742" w:hanging="475"/>
        <w:rPr>
          <w:lang w:val="es-ES_tradnl"/>
        </w:rPr>
      </w:pPr>
      <w:r w:rsidRPr="00AD54FC">
        <w:rPr>
          <w:lang w:val="es-ES_tradnl"/>
        </w:rPr>
        <w:tab/>
        <w:t>•</w:t>
      </w:r>
      <w:r w:rsidRPr="00AD54FC">
        <w:rPr>
          <w:lang w:val="es-ES_tradnl"/>
        </w:rPr>
        <w:tab/>
        <w:t>Capacitar y orientar a las mujeres parlamentarias sobre sus responsabilidades parlamentarias y de supervisión;</w:t>
      </w:r>
    </w:p>
    <w:p w14:paraId="3C3811A1" w14:textId="544F9BB5" w:rsidR="00270CB6" w:rsidRPr="00AD54FC" w:rsidRDefault="00270CB6" w:rsidP="00DC0BF6">
      <w:pPr>
        <w:pStyle w:val="SingleTxt"/>
        <w:tabs>
          <w:tab w:val="right" w:pos="1685"/>
        </w:tabs>
        <w:ind w:left="1742" w:hanging="475"/>
        <w:rPr>
          <w:lang w:val="es-ES_tradnl"/>
        </w:rPr>
      </w:pPr>
      <w:r w:rsidRPr="00AD54FC">
        <w:rPr>
          <w:lang w:val="es-ES_tradnl"/>
        </w:rPr>
        <w:tab/>
        <w:t>•</w:t>
      </w:r>
      <w:r w:rsidRPr="00AD54FC">
        <w:rPr>
          <w:lang w:val="es-ES_tradnl"/>
        </w:rPr>
        <w:tab/>
        <w:t>El partido gobernante, SWAPO, ha puesto en marcha medidas para permitir la igualdad de representación entre hombres y mujeres utilizando el "estilo cebra" en su lista electoral, lo que ha hecho posible la presencia de más mujeres en la Asamblea Nacional; sin embargo, no ocurre lo mismo con el Consejo Nacional;</w:t>
      </w:r>
    </w:p>
    <w:p w14:paraId="4E091C03" w14:textId="0D154647" w:rsidR="00270CB6" w:rsidRPr="00AD54FC" w:rsidRDefault="00270CB6" w:rsidP="00DC0BF6">
      <w:pPr>
        <w:pStyle w:val="SingleTxt"/>
        <w:tabs>
          <w:tab w:val="right" w:pos="1685"/>
        </w:tabs>
        <w:ind w:left="1742" w:hanging="475"/>
        <w:rPr>
          <w:lang w:val="es-ES_tradnl"/>
        </w:rPr>
      </w:pPr>
      <w:r w:rsidRPr="00AD54FC">
        <w:rPr>
          <w:lang w:val="es-ES_tradnl"/>
        </w:rPr>
        <w:tab/>
        <w:t>•</w:t>
      </w:r>
      <w:r w:rsidRPr="00AD54FC">
        <w:rPr>
          <w:lang w:val="es-ES_tradnl"/>
        </w:rPr>
        <w:tab/>
        <w:t>Siempre que la Secretaría de la Comunidad de África Meridional para el Desarrollo (SADC) informa de puestos vacantes, el punto de contacto de la SADC, el Ministerio de Relaciones Internacionales y Cooperación, los difunde ampliamente para que puedan presentarse candidatos interesados, haciendo hincapié en que sean mujeres quienes soliciten los puestos vacantes.</w:t>
      </w:r>
    </w:p>
    <w:p w14:paraId="032B439D" w14:textId="77777777" w:rsidR="00AD1064" w:rsidRPr="00AD54FC" w:rsidRDefault="00270CB6" w:rsidP="00270CB6">
      <w:pPr>
        <w:pStyle w:val="SingleTxt"/>
        <w:rPr>
          <w:lang w:val="es-ES_tradnl"/>
        </w:rPr>
      </w:pPr>
      <w:r w:rsidRPr="00AD54FC">
        <w:rPr>
          <w:lang w:val="es-ES_tradnl"/>
        </w:rPr>
        <w:t>6.</w:t>
      </w:r>
      <w:r w:rsidRPr="00AD54FC">
        <w:rPr>
          <w:lang w:val="es-ES_tradnl"/>
        </w:rPr>
        <w:tab/>
        <w:t xml:space="preserve">El Gobierno es plenamente consciente de las importantes repercusiones económicas y sociales negativas que ha tenido el brote de COVID-19 para la economía, las empresas y los hogares. La decisión de conceder paquetes de estímulo no está redactada en un lenguaje exclusivo de género: por tanto, todos los namibios se han beneficiado de los paquetes de estímulo. </w:t>
      </w:r>
    </w:p>
    <w:p w14:paraId="4D30FC56" w14:textId="4FAC87FC" w:rsidR="00270CB6" w:rsidRPr="00AD54FC" w:rsidRDefault="00270CB6" w:rsidP="00C47CB3">
      <w:pPr>
        <w:pStyle w:val="SingleTxt"/>
        <w:rPr>
          <w:lang w:val="es-ES_tradnl"/>
        </w:rPr>
      </w:pPr>
      <w:r w:rsidRPr="00AD54FC">
        <w:rPr>
          <w:lang w:val="es-ES_tradnl"/>
        </w:rPr>
        <w:t>7.</w:t>
      </w:r>
      <w:r w:rsidRPr="00AD54FC">
        <w:rPr>
          <w:lang w:val="es-ES_tradnl"/>
        </w:rPr>
        <w:tab/>
        <w:t xml:space="preserve">En abril de 2020, el Ministerio de Finanzas publicó la primera fase del paquete de estímulo y ayuda económica. El propósito de este paquete es hacer frente a los problemas socioeconómicos negativos derivados de las restricciones gubernamentales impuestas a las actividades empresariales en un intento por frenar la propagación del coronavirus. A tal fin se destinó una suma de 8100 millones de dólares de Namibia. Entre ellos, 5900 millones correspondieron a ayudas directas a empresas y hogares y a la aceleración de los pagos por los servicios prestados al Gobierno, y 2300 millones sirvieron para compensar los pasivos del Gobierno no consignados en los balances. </w:t>
      </w:r>
    </w:p>
    <w:p w14:paraId="19AFDBCB" w14:textId="77777777" w:rsidR="00AD1064" w:rsidRPr="00AD54FC" w:rsidRDefault="00270CB6" w:rsidP="00C47CB3">
      <w:pPr>
        <w:pStyle w:val="SingleTxt"/>
        <w:rPr>
          <w:lang w:val="es-ES_tradnl"/>
        </w:rPr>
      </w:pPr>
      <w:r w:rsidRPr="00AD54FC">
        <w:rPr>
          <w:lang w:val="es-ES_tradnl"/>
        </w:rPr>
        <w:t>8.</w:t>
      </w:r>
      <w:r w:rsidRPr="00AD54FC">
        <w:rPr>
          <w:lang w:val="es-ES_tradnl"/>
        </w:rPr>
        <w:tab/>
        <w:t xml:space="preserve">Todos los servicios esenciales siguen siendo accesibles para todos durante la pandemia, entre ellos los servicios policiales, los servicios judiciales, los servicios de protección de las mujeres y los niños frente a la violencia doméstica, y los servicios de atención primaria de la salud, incluida la salud sexual y reproductiva. </w:t>
      </w:r>
    </w:p>
    <w:p w14:paraId="191AC84A" w14:textId="77777777" w:rsidR="00AD1064" w:rsidRPr="00AD54FC" w:rsidRDefault="00270CB6" w:rsidP="00C47CB3">
      <w:pPr>
        <w:pStyle w:val="SingleTxt"/>
        <w:rPr>
          <w:lang w:val="es-ES_tradnl"/>
        </w:rPr>
      </w:pPr>
      <w:r w:rsidRPr="00AD54FC">
        <w:rPr>
          <w:lang w:val="es-ES_tradnl"/>
        </w:rPr>
        <w:t>9.</w:t>
      </w:r>
      <w:r w:rsidRPr="00AD54FC">
        <w:rPr>
          <w:lang w:val="es-ES_tradnl"/>
        </w:rPr>
        <w:tab/>
        <w:t xml:space="preserve">El acceso a algunos servicios sociales se vio afectado, pero no hubo restricciones significativas. El </w:t>
      </w:r>
      <w:proofErr w:type="gramStart"/>
      <w:r w:rsidRPr="00AD54FC">
        <w:rPr>
          <w:lang w:val="es-ES_tradnl"/>
        </w:rPr>
        <w:t>Presidente</w:t>
      </w:r>
      <w:proofErr w:type="gramEnd"/>
      <w:r w:rsidRPr="00AD54FC">
        <w:rPr>
          <w:lang w:val="es-ES_tradnl"/>
        </w:rPr>
        <w:t xml:space="preserve"> de la Corte Suprema emitió una directiva sobre procedimientos judiciales con arreglo a la Ley 7160, en su forma enmendada, para garantizar la continuidad de los servicios judiciales esenciales, incluida la emisión de órdenes de alejamiento provisionales según la Ley de Lucha contra la Violencia Doméstica de 2003, y para tramitar las solicitudes urgentes de servicios de protección de los niños en virtud de la Ley de Atención y Protección de la Infancia de 2015. Por lo tanto, los juzgados siguieron funcionando, a pesar de los cierres esporádicos para permitir la fumigación tras la detección de casos positivos de COVID-19. </w:t>
      </w:r>
    </w:p>
    <w:p w14:paraId="464B25AA" w14:textId="77777777" w:rsidR="00AD1064" w:rsidRPr="00AD54FC" w:rsidRDefault="00270CB6" w:rsidP="00C47CB3">
      <w:pPr>
        <w:pStyle w:val="SingleTxt"/>
        <w:rPr>
          <w:lang w:val="es-ES_tradnl"/>
        </w:rPr>
      </w:pPr>
      <w:r w:rsidRPr="00AD54FC">
        <w:rPr>
          <w:lang w:val="es-ES_tradnl"/>
        </w:rPr>
        <w:t>10.</w:t>
      </w:r>
      <w:r w:rsidRPr="00AD54FC">
        <w:rPr>
          <w:lang w:val="es-ES_tradnl"/>
        </w:rPr>
        <w:tab/>
        <w:t xml:space="preserve">El Gobierno, reconociendo que emergencias sanitarias como la pandemia de COVID-19 pueden desviar la atención y los recursos de la prestación de los servicios sanitarios generales, decidió que era fundamental garantizar el mantenimiento de los servicios sanitarios durante la pandemia de COVID-19. Para ello, Namibia se adaptó a las orientaciones técnicas de la Organización Mundial de la Salud (OMS) y estableció un pilar de servicios sanitarios esenciales para fortalecer este aspecto de su respuesta. Con arreglo a este pilar, el Ministerio de Salud y Servicios Sociales, con el apoyo de nuestros asociados para el desarrollo, elaboró las directrices y protocolos sobre la continuidad de los servicios sanitarios esenciales en el contexto de la pandemia de COVID-19. Las directrices ofrecen orientaciones a los proveedores de atención sanitaria del país para velar por la no interrupción de los servicios sanitarios esenciales en el contexto de la pandemia de COVID-19. </w:t>
      </w:r>
    </w:p>
    <w:p w14:paraId="71896C20" w14:textId="4BF0BCCE" w:rsidR="00C47CB3" w:rsidRPr="00AD54FC" w:rsidRDefault="00C47CB3" w:rsidP="00C47CB3">
      <w:pPr>
        <w:pStyle w:val="SingleTxt"/>
        <w:spacing w:after="0" w:line="120" w:lineRule="exact"/>
        <w:rPr>
          <w:sz w:val="10"/>
          <w:lang w:val="es-ES_tradnl"/>
        </w:rPr>
      </w:pPr>
    </w:p>
    <w:p w14:paraId="3E3F919D" w14:textId="27C20AA7" w:rsidR="00C47CB3" w:rsidRPr="00AD54FC" w:rsidRDefault="00C47CB3" w:rsidP="00C47CB3">
      <w:pPr>
        <w:pStyle w:val="SingleTxt"/>
        <w:spacing w:after="0" w:line="120" w:lineRule="exact"/>
        <w:rPr>
          <w:sz w:val="10"/>
          <w:lang w:val="es-ES_tradnl"/>
        </w:rPr>
      </w:pPr>
    </w:p>
    <w:p w14:paraId="0012C821" w14:textId="41F01C7B" w:rsidR="00270CB6" w:rsidRPr="00AD54FC" w:rsidRDefault="00270CB6" w:rsidP="00C47CB3">
      <w:pPr>
        <w:pStyle w:val="H1"/>
        <w:ind w:right="1260"/>
        <w:rPr>
          <w:lang w:val="es-ES_tradnl"/>
        </w:rPr>
      </w:pPr>
      <w:r w:rsidRPr="00AD54FC">
        <w:rPr>
          <w:lang w:val="es-ES_tradnl"/>
        </w:rPr>
        <w:tab/>
      </w:r>
      <w:r w:rsidRPr="00AD54FC">
        <w:rPr>
          <w:lang w:val="es-ES_tradnl"/>
        </w:rPr>
        <w:tab/>
      </w:r>
      <w:r w:rsidRPr="00AD54FC">
        <w:rPr>
          <w:bCs/>
          <w:lang w:val="es-ES_tradnl"/>
        </w:rPr>
        <w:t>Marco legislativo e institucional</w:t>
      </w:r>
    </w:p>
    <w:p w14:paraId="33816517" w14:textId="060FE4FF" w:rsidR="00C47CB3" w:rsidRPr="00AD54FC" w:rsidRDefault="00C47CB3" w:rsidP="00C47CB3">
      <w:pPr>
        <w:pStyle w:val="SingleTxt"/>
        <w:spacing w:after="0" w:line="120" w:lineRule="exact"/>
        <w:rPr>
          <w:sz w:val="10"/>
          <w:lang w:val="es-ES_tradnl"/>
        </w:rPr>
      </w:pPr>
    </w:p>
    <w:p w14:paraId="2AD0C29C" w14:textId="25C6A873" w:rsidR="00C47CB3" w:rsidRPr="00AD54FC" w:rsidRDefault="00C47CB3" w:rsidP="00C47CB3">
      <w:pPr>
        <w:pStyle w:val="SingleTxt"/>
        <w:spacing w:after="0" w:line="120" w:lineRule="exact"/>
        <w:rPr>
          <w:sz w:val="10"/>
          <w:lang w:val="es-ES_tradnl"/>
        </w:rPr>
      </w:pPr>
    </w:p>
    <w:p w14:paraId="6B9453E8" w14:textId="77777777" w:rsidR="00270CB6" w:rsidRPr="00AD54FC" w:rsidRDefault="00270CB6" w:rsidP="00C47CB3">
      <w:pPr>
        <w:pStyle w:val="SingleTxt"/>
        <w:rPr>
          <w:lang w:val="es-ES_tradnl"/>
        </w:rPr>
      </w:pPr>
      <w:r w:rsidRPr="00AD54FC">
        <w:rPr>
          <w:lang w:val="es-ES_tradnl"/>
        </w:rPr>
        <w:t>11.</w:t>
      </w:r>
      <w:r w:rsidRPr="00AD54FC">
        <w:rPr>
          <w:lang w:val="es-ES_tradnl"/>
        </w:rPr>
        <w:tab/>
        <w:t xml:space="preserve">A pesar de la aprobación de leyes y la elaboración de políticas destinadas a mejorar la igualdad de género, el Estado parte reconoce que todavía queda mucho camino por recorrer para alcanzar plenamente la paridad de género. No obstante, no tiene previsto modificar el artículo 10 de la Constitución. Las leyes y políticas existentes son suficientes para lograr la igualdad de género a largo plazo. El Estado parte podría valorar la posibilidad de aprobar leyes adicionales o de mejorar las existentes para garantizar la eliminación de todas las formas de discriminación contra la mujer. </w:t>
      </w:r>
    </w:p>
    <w:p w14:paraId="3463D4C8" w14:textId="77777777" w:rsidR="00270CB6" w:rsidRPr="00AD54FC" w:rsidRDefault="00270CB6" w:rsidP="00C47CB3">
      <w:pPr>
        <w:pStyle w:val="SingleTxt"/>
        <w:rPr>
          <w:lang w:val="es-ES_tradnl"/>
        </w:rPr>
      </w:pPr>
      <w:r w:rsidRPr="00AD54FC">
        <w:rPr>
          <w:lang w:val="es-ES_tradnl"/>
        </w:rPr>
        <w:t>12.</w:t>
      </w:r>
      <w:r w:rsidRPr="00AD54FC">
        <w:rPr>
          <w:lang w:val="es-ES_tradnl"/>
        </w:rPr>
        <w:tab/>
        <w:t>El Proyecto de Ley sobre el Régimen Uniforme de Propiedad Matrimonial ha sido remitido a los redactores de textos legislativos. Este proyecto de ley derogará la Ley de Proclamación de la Administración Autóctona de 1928 en su totalidad. Asimismo, crea un régimen uniforme de propiedad matrimonial para Namibia y ofrece reparación a quienes se hayan visto afectadas negativamente por la Ley de Proclamación de 1928.</w:t>
      </w:r>
    </w:p>
    <w:p w14:paraId="74E6DAB0" w14:textId="14916656" w:rsidR="00270CB6" w:rsidRPr="00AD54FC" w:rsidRDefault="00270CB6" w:rsidP="00C47CB3">
      <w:pPr>
        <w:pStyle w:val="SingleTxt"/>
        <w:rPr>
          <w:lang w:val="es-ES_tradnl"/>
        </w:rPr>
      </w:pPr>
      <w:r w:rsidRPr="00AD54FC">
        <w:rPr>
          <w:lang w:val="es-ES_tradnl"/>
        </w:rPr>
        <w:t>13.</w:t>
      </w:r>
      <w:r w:rsidRPr="00AD54FC">
        <w:rPr>
          <w:lang w:val="es-ES_tradnl"/>
        </w:rPr>
        <w:tab/>
        <w:t xml:space="preserve">No existe un plazo determinado para la adopción de dichos proyectos de ley. Sin embargo, Namibia ha aprobado recientemente la Ley de Derogación de Leyes Obsoletas (Ley núm. 21 de 2018). Esta ley prevé la derogación de determinadas leyes obsoletas y regula otras cuestiones accesorias. Con la promulgación de esta ley, se espera que todas las leyes discriminatorias desaparezcan en un futuro próximo. </w:t>
      </w:r>
    </w:p>
    <w:p w14:paraId="64BD3151" w14:textId="77777777" w:rsidR="000D47B8" w:rsidRPr="00AD54FC" w:rsidRDefault="000D47B8" w:rsidP="000D47B8">
      <w:pPr>
        <w:pStyle w:val="SingleTxt"/>
        <w:spacing w:after="0" w:line="120" w:lineRule="exact"/>
        <w:rPr>
          <w:sz w:val="10"/>
          <w:lang w:val="es-ES_tradnl"/>
        </w:rPr>
      </w:pPr>
    </w:p>
    <w:p w14:paraId="4919CC70" w14:textId="77777777" w:rsidR="000D47B8" w:rsidRPr="00AD54FC" w:rsidRDefault="000D47B8" w:rsidP="000D47B8">
      <w:pPr>
        <w:pStyle w:val="SingleTxt"/>
        <w:spacing w:after="0" w:line="120" w:lineRule="exact"/>
        <w:rPr>
          <w:sz w:val="10"/>
          <w:lang w:val="es-ES_tradnl"/>
        </w:rPr>
      </w:pPr>
    </w:p>
    <w:p w14:paraId="57609091" w14:textId="246F4D5D" w:rsidR="00270CB6" w:rsidRPr="00AD54FC" w:rsidRDefault="00270CB6" w:rsidP="00C47CB3">
      <w:pPr>
        <w:pStyle w:val="H1"/>
        <w:ind w:right="1260"/>
        <w:rPr>
          <w:lang w:val="es-ES_tradnl"/>
        </w:rPr>
      </w:pPr>
      <w:r w:rsidRPr="00AD54FC">
        <w:rPr>
          <w:lang w:val="es-ES_tradnl"/>
        </w:rPr>
        <w:tab/>
      </w:r>
      <w:r w:rsidRPr="00AD54FC">
        <w:rPr>
          <w:lang w:val="es-ES_tradnl"/>
        </w:rPr>
        <w:tab/>
      </w:r>
      <w:r w:rsidRPr="00AD54FC">
        <w:rPr>
          <w:bCs/>
          <w:lang w:val="es-ES_tradnl"/>
        </w:rPr>
        <w:t>Acceso a la justicia y a los mecanismos jurídicos de denuncia</w:t>
      </w:r>
    </w:p>
    <w:p w14:paraId="5CF7A819" w14:textId="23F8B395" w:rsidR="00C47CB3" w:rsidRPr="00AD54FC" w:rsidRDefault="00C47CB3" w:rsidP="00C47CB3">
      <w:pPr>
        <w:pStyle w:val="SingleTxt"/>
        <w:spacing w:after="0" w:line="120" w:lineRule="exact"/>
        <w:rPr>
          <w:sz w:val="10"/>
          <w:lang w:val="es-ES_tradnl"/>
        </w:rPr>
      </w:pPr>
    </w:p>
    <w:p w14:paraId="170E0F35" w14:textId="116A20F3" w:rsidR="00C47CB3" w:rsidRPr="00AD54FC" w:rsidRDefault="00C47CB3" w:rsidP="00C47CB3">
      <w:pPr>
        <w:pStyle w:val="SingleTxt"/>
        <w:spacing w:after="0" w:line="120" w:lineRule="exact"/>
        <w:rPr>
          <w:sz w:val="10"/>
          <w:lang w:val="es-ES_tradnl"/>
        </w:rPr>
      </w:pPr>
    </w:p>
    <w:p w14:paraId="2E96E39E" w14:textId="420DF7F6" w:rsidR="00270CB6" w:rsidRPr="00AD54FC" w:rsidRDefault="00270CB6" w:rsidP="00C47CB3">
      <w:pPr>
        <w:pStyle w:val="SingleTxt"/>
        <w:rPr>
          <w:lang w:val="es-ES_tradnl"/>
        </w:rPr>
      </w:pPr>
      <w:r w:rsidRPr="00AD54FC">
        <w:rPr>
          <w:lang w:val="es-ES_tradnl"/>
        </w:rPr>
        <w:t>14.</w:t>
      </w:r>
      <w:r w:rsidRPr="00AD54FC">
        <w:rPr>
          <w:lang w:val="es-ES_tradnl"/>
        </w:rPr>
        <w:tab/>
        <w:t xml:space="preserve">La cuantía necesaria para acceder al plan de asistencia jurídica ha aumentado ligeramente hasta los 3000 dólares de Namibia. El Ministerio de Justicia y otras partes interesadas están celebrando consultas sobre la mejor manera de ampliar el ámbito de aplicación y de incrementar la financiación del plan de asistencia jurídica. El plan de asistencia jurídica no es específico ni en cuanto al género ni en cuanto al origen étnico. Todas las personas indigentes de Namibia, independientemente de su raza, tribu o credo, pueden acogerse al plan. </w:t>
      </w:r>
    </w:p>
    <w:p w14:paraId="75943AC0" w14:textId="7412ADE0" w:rsidR="00D42E8B" w:rsidRPr="00AD54FC" w:rsidRDefault="00270CB6" w:rsidP="00C47CB3">
      <w:pPr>
        <w:pStyle w:val="SingleTxt"/>
        <w:rPr>
          <w:lang w:val="es-ES_tradnl"/>
        </w:rPr>
      </w:pPr>
      <w:r w:rsidRPr="00AD54FC">
        <w:rPr>
          <w:lang w:val="es-ES_tradnl"/>
        </w:rPr>
        <w:t>15.</w:t>
      </w:r>
      <w:r w:rsidRPr="00AD54FC">
        <w:rPr>
          <w:lang w:val="es-ES_tradnl"/>
        </w:rPr>
        <w:tab/>
        <w:t>Se ha asignado un total de 44.277.000 dólares de Namibia (aproximadamente 2.973.520 dólares de los Estados Unidos) a la Dirección de Asistencia Jurídica para el ejercicio 2021/2022. Además, el Colegio de Abogados de Namibia está ejecutando un amplio proyecto de cambio que tiene por objeto revisar la Ley de Profesionales del Derecho de 1995 (Ley núm. 15 de 1995) y estudiar medidas que utilicen el derecho como herramienta para mejorar la justicia social. Una de las medidas consideradas es establecer legalmente la obligación de los profesionales del derecho de prestar servicios jurídicos a título gratuito. Este aspecto del proyecto complementará especialmente las iniciativas del Gobierno para mejorar el acceso a la justicia.</w:t>
      </w:r>
    </w:p>
    <w:p w14:paraId="716EF8D9" w14:textId="0D18EC41" w:rsidR="00C47CB3" w:rsidRPr="00AD54FC" w:rsidRDefault="00C47CB3" w:rsidP="00C47CB3">
      <w:pPr>
        <w:pStyle w:val="SingleTxt"/>
        <w:rPr>
          <w:lang w:val="es-ES_tradnl"/>
        </w:rPr>
      </w:pPr>
      <w:r w:rsidRPr="00AD54FC">
        <w:rPr>
          <w:lang w:val="es-ES_tradnl"/>
        </w:rPr>
        <w:t>16.</w:t>
      </w:r>
      <w:r w:rsidRPr="00AD54FC">
        <w:rPr>
          <w:lang w:val="es-ES_tradnl"/>
        </w:rPr>
        <w:tab/>
        <w:t xml:space="preserve">El Ministerio de Igualdad de Género, a través de sus funcionarios de enlace en materia de género, suele prestar asesoramiento sobre las formas de acceder al plan de asistencia jurídica para las mujeres rurales, incluidas las mujeres san. Namibia cuenta con comisarías de policía en todas las ciudades y asentamientos donde las mujeres pueden denunciar los casos de violencia y donde se detiene a los agresores. </w:t>
      </w:r>
    </w:p>
    <w:p w14:paraId="47D1F10E" w14:textId="77777777" w:rsidR="00AD1064" w:rsidRPr="00AD54FC" w:rsidRDefault="00C47CB3" w:rsidP="00C47CB3">
      <w:pPr>
        <w:pStyle w:val="SingleTxt"/>
        <w:rPr>
          <w:lang w:val="es-ES_tradnl"/>
        </w:rPr>
      </w:pPr>
      <w:r w:rsidRPr="00AD54FC">
        <w:rPr>
          <w:lang w:val="es-ES_tradnl"/>
        </w:rPr>
        <w:t>17.</w:t>
      </w:r>
      <w:r w:rsidRPr="00AD54FC">
        <w:rPr>
          <w:lang w:val="es-ES_tradnl"/>
        </w:rPr>
        <w:tab/>
        <w:t xml:space="preserve">Para mejorar el acceso de las mujeres a la justicia, se han creado tribunales especializados en casos de violencia de género en todo el país. Se ha impartido formación a las fuerzas de seguridad y al poder judicial acerca de las órdenes de alejamiento y la tramitación de los casos de violencia de género. Además, se ha elaborado un manual de formación sobre la violencia de género, con la ayuda de un asociado para el desarrollo (UNICEF), con el objetivo de sensibilizar al nuevo personal sobre la violencia de género y sobre cómo tratar a las víctimas en las comisarías de policía, una vez desplegadas. </w:t>
      </w:r>
    </w:p>
    <w:p w14:paraId="39DAA6B0" w14:textId="77777777" w:rsidR="003D1CF4" w:rsidRPr="00AD54FC" w:rsidRDefault="003D1CF4" w:rsidP="003D1CF4">
      <w:pPr>
        <w:pStyle w:val="SingleTxt"/>
        <w:spacing w:after="0" w:line="120" w:lineRule="exact"/>
        <w:rPr>
          <w:sz w:val="10"/>
          <w:lang w:val="es-ES_tradnl"/>
        </w:rPr>
      </w:pPr>
    </w:p>
    <w:p w14:paraId="7AB0D647" w14:textId="77777777" w:rsidR="003D1CF4" w:rsidRPr="00AD54FC" w:rsidRDefault="003D1CF4" w:rsidP="003D1CF4">
      <w:pPr>
        <w:pStyle w:val="SingleTxt"/>
        <w:spacing w:after="0" w:line="120" w:lineRule="exact"/>
        <w:rPr>
          <w:sz w:val="10"/>
          <w:lang w:val="es-ES_tradnl"/>
        </w:rPr>
      </w:pPr>
    </w:p>
    <w:p w14:paraId="3E359A8E" w14:textId="14397100" w:rsidR="00C47CB3" w:rsidRPr="00AD54FC" w:rsidRDefault="00C47CB3" w:rsidP="003D1CF4">
      <w:pPr>
        <w:pStyle w:val="H1"/>
        <w:ind w:right="1260"/>
        <w:rPr>
          <w:lang w:val="es-ES_tradnl"/>
        </w:rPr>
      </w:pPr>
      <w:r w:rsidRPr="00AD54FC">
        <w:rPr>
          <w:lang w:val="es-ES_tradnl"/>
        </w:rPr>
        <w:tab/>
      </w:r>
      <w:r w:rsidRPr="00AD54FC">
        <w:rPr>
          <w:lang w:val="es-ES_tradnl"/>
        </w:rPr>
        <w:tab/>
      </w:r>
      <w:r w:rsidRPr="00AD54FC">
        <w:rPr>
          <w:bCs/>
          <w:lang w:val="es-ES_tradnl"/>
        </w:rPr>
        <w:t>Mecanismos nacionales para el adelanto de la mujer</w:t>
      </w:r>
    </w:p>
    <w:p w14:paraId="7FC61CEB" w14:textId="77777777" w:rsidR="003D1CF4" w:rsidRPr="00AD54FC" w:rsidRDefault="003D1CF4" w:rsidP="003D1CF4">
      <w:pPr>
        <w:pStyle w:val="SingleTxt"/>
        <w:spacing w:after="0" w:line="120" w:lineRule="exact"/>
        <w:rPr>
          <w:sz w:val="10"/>
          <w:lang w:val="es-ES_tradnl"/>
        </w:rPr>
      </w:pPr>
    </w:p>
    <w:p w14:paraId="1B70A284" w14:textId="77777777" w:rsidR="003D1CF4" w:rsidRPr="00AD54FC" w:rsidRDefault="003D1CF4" w:rsidP="003D1CF4">
      <w:pPr>
        <w:pStyle w:val="SingleTxt"/>
        <w:spacing w:after="0" w:line="120" w:lineRule="exact"/>
        <w:rPr>
          <w:sz w:val="10"/>
          <w:lang w:val="es-ES_tradnl"/>
        </w:rPr>
      </w:pPr>
    </w:p>
    <w:p w14:paraId="29771A65" w14:textId="6E5058EE" w:rsidR="00C47CB3" w:rsidRPr="00AD54FC" w:rsidRDefault="00C47CB3" w:rsidP="00C47CB3">
      <w:pPr>
        <w:pStyle w:val="SingleTxt"/>
        <w:rPr>
          <w:lang w:val="es-ES_tradnl"/>
        </w:rPr>
      </w:pPr>
      <w:r w:rsidRPr="00AD54FC">
        <w:rPr>
          <w:lang w:val="es-ES_tradnl"/>
        </w:rPr>
        <w:t>18.</w:t>
      </w:r>
      <w:r w:rsidRPr="00AD54FC">
        <w:rPr>
          <w:lang w:val="es-ES_tradnl"/>
        </w:rPr>
        <w:tab/>
        <w:t>El Gobierno de la República de Namibia, por medio de su mecanismo de género, dispone de un mecanismo de coordinación a través del cual incorpora la perspectiva de género en otros departamentos gubernamentales con el fin de cumplir su mandato de garantizar la igualdad de género.</w:t>
      </w:r>
    </w:p>
    <w:p w14:paraId="593C623E" w14:textId="77777777" w:rsidR="00C47CB3" w:rsidRPr="00AD54FC" w:rsidRDefault="00C47CB3" w:rsidP="00C47CB3">
      <w:pPr>
        <w:pStyle w:val="SingleTxt"/>
        <w:rPr>
          <w:lang w:val="es-ES_tradnl"/>
        </w:rPr>
      </w:pPr>
      <w:r w:rsidRPr="00AD54FC">
        <w:rPr>
          <w:lang w:val="es-ES_tradnl"/>
        </w:rPr>
        <w:t>19.</w:t>
      </w:r>
      <w:r w:rsidRPr="00AD54FC">
        <w:rPr>
          <w:lang w:val="es-ES_tradnl"/>
        </w:rPr>
        <w:tab/>
        <w:t>El mecanismo de género, al que se le asigna el 11,3 % del presupuesto nacional, cuenta con recursos humanos y técnicos adecuados, complementados por el apoyo de los asociados para el desarrollo.</w:t>
      </w:r>
    </w:p>
    <w:p w14:paraId="7C91BE49" w14:textId="77777777" w:rsidR="00C47CB3" w:rsidRPr="00AD54FC" w:rsidRDefault="00C47CB3" w:rsidP="00C47CB3">
      <w:pPr>
        <w:pStyle w:val="SingleTxt"/>
        <w:rPr>
          <w:lang w:val="es-ES_tradnl"/>
        </w:rPr>
      </w:pPr>
      <w:r w:rsidRPr="00AD54FC">
        <w:rPr>
          <w:lang w:val="es-ES_tradnl"/>
        </w:rPr>
        <w:t>20.</w:t>
      </w:r>
      <w:r w:rsidRPr="00AD54FC">
        <w:rPr>
          <w:lang w:val="es-ES_tradnl"/>
        </w:rPr>
        <w:tab/>
        <w:t>La sociedad civil participa a través de los siguientes seis grupos temáticos de aplicación de la Política Nacional de Género: 1) cuestiones de salud relacionadas con el género y VIH/sida; 2) violencia de género y derechos humanos; 3) la educación y las niñas; 4) investigación, información y comunicación de los medios sobre el género; 5) pobreza, desarrollo rural y económico; 6) gobernanza, paz, seguridad y gestión de desastres.</w:t>
      </w:r>
    </w:p>
    <w:p w14:paraId="7E3DE795" w14:textId="7EEBCA3B" w:rsidR="00C47CB3" w:rsidRPr="00AD54FC" w:rsidRDefault="00C47CB3" w:rsidP="00C47CB3">
      <w:pPr>
        <w:pStyle w:val="SingleTxt"/>
        <w:rPr>
          <w:lang w:val="es-ES_tradnl"/>
        </w:rPr>
      </w:pPr>
      <w:r w:rsidRPr="00AD54FC">
        <w:rPr>
          <w:lang w:val="es-ES_tradnl"/>
        </w:rPr>
        <w:t>21.</w:t>
      </w:r>
      <w:r w:rsidRPr="00AD54FC">
        <w:rPr>
          <w:lang w:val="es-ES_tradnl"/>
        </w:rPr>
        <w:tab/>
        <w:t>Para poder adoptar una definición jurídica amplia de la discriminación en consonancia con el artículo 1 de la Convención, que abarque todos los motivos prohibidos de discriminación, entre ellos el estado civil, Namibia está en proceso de modificar la Ley de Lucha contra la Violación (Ley núm. 8 de 2000) y la Ley de Lucha contra la Violencia Doméstica (Ley núm. 3 de 2003).</w:t>
      </w:r>
    </w:p>
    <w:p w14:paraId="1CB34E47" w14:textId="587B81F3" w:rsidR="00C47CB3" w:rsidRPr="00AD54FC" w:rsidRDefault="00C47CB3" w:rsidP="003B41A7">
      <w:pPr>
        <w:pStyle w:val="SingleTxt"/>
        <w:spacing w:after="0" w:line="120" w:lineRule="exact"/>
        <w:rPr>
          <w:sz w:val="10"/>
          <w:lang w:val="es-ES_tradnl"/>
        </w:rPr>
      </w:pPr>
    </w:p>
    <w:p w14:paraId="15351A73" w14:textId="31447915" w:rsidR="003B41A7" w:rsidRPr="00AD54FC" w:rsidRDefault="003B41A7" w:rsidP="003B41A7">
      <w:pPr>
        <w:pStyle w:val="SingleTxt"/>
        <w:spacing w:after="0" w:line="120" w:lineRule="exact"/>
        <w:rPr>
          <w:sz w:val="10"/>
          <w:lang w:val="es-ES_tradnl"/>
        </w:rPr>
      </w:pPr>
    </w:p>
    <w:p w14:paraId="27EA4314" w14:textId="25AA98C4" w:rsidR="00C47CB3" w:rsidRPr="00AD54FC" w:rsidRDefault="00C47CB3" w:rsidP="003D1CF4">
      <w:pPr>
        <w:pStyle w:val="H1"/>
        <w:ind w:right="1260"/>
        <w:rPr>
          <w:lang w:val="es-ES_tradnl"/>
        </w:rPr>
      </w:pPr>
      <w:r w:rsidRPr="00AD54FC">
        <w:rPr>
          <w:lang w:val="es-ES_tradnl"/>
        </w:rPr>
        <w:tab/>
      </w:r>
      <w:r w:rsidRPr="00AD54FC">
        <w:rPr>
          <w:lang w:val="es-ES_tradnl"/>
        </w:rPr>
        <w:tab/>
      </w:r>
      <w:r w:rsidRPr="00AD54FC">
        <w:rPr>
          <w:bCs/>
          <w:lang w:val="es-ES_tradnl"/>
        </w:rPr>
        <w:t>Medidas especiales de carácter temporal</w:t>
      </w:r>
    </w:p>
    <w:p w14:paraId="6A1DD0A7" w14:textId="14DA8C9C" w:rsidR="00C47CB3" w:rsidRPr="00AD54FC" w:rsidRDefault="00C47CB3" w:rsidP="003D1CF4">
      <w:pPr>
        <w:pStyle w:val="SingleTxt"/>
        <w:keepNext/>
        <w:keepLines/>
        <w:spacing w:after="0" w:line="120" w:lineRule="exact"/>
        <w:rPr>
          <w:sz w:val="10"/>
          <w:lang w:val="es-ES_tradnl"/>
        </w:rPr>
      </w:pPr>
    </w:p>
    <w:p w14:paraId="1F50EC67" w14:textId="7E89F9F0" w:rsidR="00C47CB3" w:rsidRPr="00AD54FC" w:rsidRDefault="00C47CB3" w:rsidP="003D1CF4">
      <w:pPr>
        <w:pStyle w:val="SingleTxt"/>
        <w:keepNext/>
        <w:keepLines/>
        <w:spacing w:after="0" w:line="120" w:lineRule="exact"/>
        <w:rPr>
          <w:sz w:val="10"/>
          <w:lang w:val="es-ES_tradnl"/>
        </w:rPr>
      </w:pPr>
    </w:p>
    <w:p w14:paraId="611C2B28" w14:textId="4EB0B44A" w:rsidR="00C47CB3" w:rsidRPr="00AD54FC" w:rsidRDefault="00C47CB3" w:rsidP="003D1CF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Empleo (Ministerio de Trabajo)</w:t>
      </w:r>
      <w:r w:rsidRPr="00AD54FC">
        <w:rPr>
          <w:lang w:val="es-ES_tradnl"/>
        </w:rPr>
        <w:t xml:space="preserve"> </w:t>
      </w:r>
    </w:p>
    <w:p w14:paraId="6C015BB0" w14:textId="0B2762DB" w:rsidR="00C47CB3" w:rsidRPr="00AD54FC" w:rsidRDefault="00C47CB3" w:rsidP="00084C4B">
      <w:pPr>
        <w:pStyle w:val="SingleTxt"/>
        <w:keepNext/>
        <w:spacing w:after="0" w:line="120" w:lineRule="exact"/>
        <w:rPr>
          <w:sz w:val="10"/>
          <w:lang w:val="es-ES_tradnl"/>
        </w:rPr>
      </w:pPr>
    </w:p>
    <w:p w14:paraId="78273B54" w14:textId="77777777" w:rsidR="00AD1064" w:rsidRPr="00AD54FC" w:rsidRDefault="00C47CB3" w:rsidP="003B41A7">
      <w:pPr>
        <w:pStyle w:val="SingleTxt"/>
        <w:rPr>
          <w:sz w:val="10"/>
          <w:lang w:val="es-ES_tradnl"/>
        </w:rPr>
      </w:pPr>
      <w:r w:rsidRPr="00AD54FC">
        <w:rPr>
          <w:lang w:val="es-ES_tradnl"/>
        </w:rPr>
        <w:t>22.</w:t>
      </w:r>
      <w:r w:rsidRPr="00AD54FC">
        <w:rPr>
          <w:lang w:val="es-ES_tradnl"/>
        </w:rPr>
        <w:tab/>
        <w:t xml:space="preserve">La Comisión de Igualdad en el Empleo ha revisado sus directrices estándar para la presentación de informes, que tienen 20 años de antigüedad, con el fin de evaluar los informes anuales de acción afirmativa de acuerdo con criterios más objetivos. La Comisión ha introducido un nuevo sistema de puntuación del examen integrado. Este sistema de puntuación tiene por objeto ayudar a la Comisión a determinar los esfuerzos en materia de cumplimiento que desempeña exactamente cada empleador relevante a la hora de implementar la acción afirmativa en su lugar de trabajo. Además, el sistema ayudará a la Comisión en el proceso de clasificar a los empleadores pertinentes en diversas categorías de cumplimiento que, a su vez, pueden utilizarse para diversos fines, tales como la formación; las posibles denuncias por incumplimiento de la Ley de Acción Afirmativa (Empleo); la concesión de premios; el examen de los contratos estatales, y otros. Todos los empleadores relevantes, tanto en el sector público como en el privado, deben adherirse a las nuevas directrices de presentación de informes. La Ley de Acción Afirmativa (Empleo) no incluye una categoría especial para las mujeres san, ya que se consideran dentro de la definición de los grupos designados. </w:t>
      </w:r>
    </w:p>
    <w:p w14:paraId="677A6B01" w14:textId="141C092B" w:rsidR="00C47CB3" w:rsidRPr="00AD54FC" w:rsidRDefault="00C47CB3" w:rsidP="003B41A7">
      <w:pPr>
        <w:pStyle w:val="SingleTxt"/>
        <w:spacing w:after="0" w:line="120" w:lineRule="exact"/>
        <w:rPr>
          <w:sz w:val="10"/>
          <w:lang w:val="es-ES_tradnl"/>
        </w:rPr>
      </w:pPr>
    </w:p>
    <w:p w14:paraId="6177F44A" w14:textId="713CB530" w:rsidR="00C47CB3" w:rsidRPr="00AD54FC" w:rsidRDefault="00C47CB3" w:rsidP="003B41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Ministerio de Educación</w:t>
      </w:r>
    </w:p>
    <w:p w14:paraId="40FFE0A8" w14:textId="335A6E5D" w:rsidR="003B41A7" w:rsidRPr="00AD54FC" w:rsidRDefault="003B41A7" w:rsidP="003B41A7">
      <w:pPr>
        <w:pStyle w:val="SingleTxt"/>
        <w:spacing w:after="0" w:line="120" w:lineRule="exact"/>
        <w:rPr>
          <w:sz w:val="10"/>
          <w:lang w:val="es-ES_tradnl"/>
        </w:rPr>
      </w:pPr>
    </w:p>
    <w:p w14:paraId="51E396BE" w14:textId="72145760" w:rsidR="00C47CB3" w:rsidRPr="00AD54FC" w:rsidRDefault="00C47CB3" w:rsidP="00C47CB3">
      <w:pPr>
        <w:pStyle w:val="SingleTxt"/>
        <w:rPr>
          <w:lang w:val="es-ES_tradnl"/>
        </w:rPr>
      </w:pPr>
      <w:r w:rsidRPr="00AD54FC">
        <w:rPr>
          <w:lang w:val="es-ES_tradnl"/>
        </w:rPr>
        <w:t>23.</w:t>
      </w:r>
      <w:r w:rsidRPr="00AD54FC">
        <w:rPr>
          <w:lang w:val="es-ES_tradnl"/>
        </w:rPr>
        <w:tab/>
        <w:t>Se necesitan medidas especiales de carácter temporal para aumentar la participación de las mujeres en la vida pública, en particular de las mujeres indígenas, como las mujeres san. El Ministerio está aplicando la política de acción afirmativa. Los programas de promoción del Ministerio incluyen el proceso de publicidad/contratación que alienta/propugna la acción afirmativa, que incluye a las personas discriminadas racialmente, a las mujeres y a las personas con discapacidad. Resumen del nivel de empleo en el Ministerio de Educación:</w:t>
      </w:r>
    </w:p>
    <w:p w14:paraId="50CE81E0" w14:textId="78B4631A" w:rsidR="00C47CB3" w:rsidRPr="00AD54FC" w:rsidRDefault="00C47CB3" w:rsidP="00C47CB3">
      <w:pPr>
        <w:pStyle w:val="SingleTxt"/>
        <w:rPr>
          <w:lang w:val="es-ES_tradnl"/>
        </w:rPr>
      </w:pPr>
      <w:r w:rsidRPr="00AD54FC">
        <w:rPr>
          <w:lang w:val="es-ES_tradnl"/>
        </w:rPr>
        <w:t>24.</w:t>
      </w:r>
      <w:r w:rsidRPr="00AD54FC">
        <w:rPr>
          <w:lang w:val="es-ES_tradnl"/>
        </w:rPr>
        <w:tab/>
        <w:t>Participación de las mujeres en la vida política y pública en el Ministerio de Educación, Arte y Cultura.</w:t>
      </w:r>
    </w:p>
    <w:p w14:paraId="3B4AD66E" w14:textId="021992A1" w:rsidR="003B41A7" w:rsidRPr="00AD54FC" w:rsidRDefault="003B41A7" w:rsidP="003B41A7">
      <w:pPr>
        <w:pStyle w:val="SingleTxt"/>
        <w:spacing w:after="0" w:line="120" w:lineRule="exact"/>
        <w:rPr>
          <w:sz w:val="10"/>
          <w:lang w:val="es-ES_tradnl"/>
        </w:rPr>
      </w:pPr>
    </w:p>
    <w:tbl>
      <w:tblPr>
        <w:tblW w:w="7328" w:type="dxa"/>
        <w:tblInd w:w="1278" w:type="dxa"/>
        <w:tblLayout w:type="fixed"/>
        <w:tblCellMar>
          <w:left w:w="0" w:type="dxa"/>
          <w:right w:w="0" w:type="dxa"/>
        </w:tblCellMar>
        <w:tblLook w:val="04A0" w:firstRow="1" w:lastRow="0" w:firstColumn="1" w:lastColumn="0" w:noHBand="0" w:noVBand="1"/>
      </w:tblPr>
      <w:tblGrid>
        <w:gridCol w:w="2322"/>
        <w:gridCol w:w="1668"/>
        <w:gridCol w:w="1669"/>
        <w:gridCol w:w="1669"/>
      </w:tblGrid>
      <w:tr w:rsidR="003B41A7" w:rsidRPr="00AD54FC" w14:paraId="022A0A64" w14:textId="77777777" w:rsidTr="003D1CF4">
        <w:trPr>
          <w:tblHeader/>
        </w:trPr>
        <w:tc>
          <w:tcPr>
            <w:tcW w:w="2322" w:type="dxa"/>
            <w:tcBorders>
              <w:top w:val="single" w:sz="4" w:space="0" w:color="auto"/>
              <w:bottom w:val="single" w:sz="12" w:space="0" w:color="auto"/>
            </w:tcBorders>
            <w:shd w:val="clear" w:color="auto" w:fill="auto"/>
            <w:vAlign w:val="bottom"/>
            <w:hideMark/>
          </w:tcPr>
          <w:p w14:paraId="65434D13" w14:textId="77777777" w:rsidR="003B41A7" w:rsidRPr="00AD54FC" w:rsidRDefault="003B41A7" w:rsidP="00A33A05">
            <w:pPr>
              <w:pStyle w:val="SingleTxtG"/>
              <w:tabs>
                <w:tab w:val="clear" w:pos="1701"/>
                <w:tab w:val="clear" w:pos="2268"/>
                <w:tab w:val="clear" w:pos="2835"/>
              </w:tabs>
              <w:spacing w:before="81" w:after="81" w:line="160" w:lineRule="exact"/>
              <w:ind w:left="0" w:right="40"/>
              <w:jc w:val="left"/>
              <w:rPr>
                <w:rFonts w:ascii="Times New Roman Italic" w:hAnsi="Times New Roman Italic" w:cs="Times New Roman Italic"/>
                <w:i/>
                <w:spacing w:val="4"/>
                <w:w w:val="103"/>
                <w:sz w:val="14"/>
                <w:szCs w:val="14"/>
                <w:lang w:val="es-ES_tradnl"/>
              </w:rPr>
            </w:pPr>
            <w:r w:rsidRPr="00AD54FC">
              <w:rPr>
                <w:i/>
                <w:iCs/>
                <w:sz w:val="14"/>
                <w:szCs w:val="14"/>
                <w:lang w:val="es-ES_tradnl"/>
              </w:rPr>
              <w:t>Nivel político</w:t>
            </w:r>
          </w:p>
        </w:tc>
        <w:tc>
          <w:tcPr>
            <w:tcW w:w="1668" w:type="dxa"/>
            <w:tcBorders>
              <w:top w:val="single" w:sz="4" w:space="0" w:color="auto"/>
              <w:bottom w:val="single" w:sz="12" w:space="0" w:color="auto"/>
            </w:tcBorders>
            <w:shd w:val="clear" w:color="auto" w:fill="auto"/>
            <w:vAlign w:val="bottom"/>
            <w:hideMark/>
          </w:tcPr>
          <w:p w14:paraId="61F0B328" w14:textId="77777777" w:rsidR="003B41A7" w:rsidRPr="00AD54FC" w:rsidRDefault="003B41A7" w:rsidP="00A33A05">
            <w:pPr>
              <w:pStyle w:val="SingleTxtG"/>
              <w:tabs>
                <w:tab w:val="clear" w:pos="1701"/>
                <w:tab w:val="clear" w:pos="2268"/>
                <w:tab w:val="clear" w:pos="2835"/>
              </w:tabs>
              <w:spacing w:before="81" w:after="81" w:line="160" w:lineRule="exact"/>
              <w:ind w:left="144" w:right="40"/>
              <w:jc w:val="right"/>
              <w:rPr>
                <w:rFonts w:ascii="Times New Roman Italic" w:hAnsi="Times New Roman Italic" w:cs="Times New Roman Italic"/>
                <w:i/>
                <w:spacing w:val="4"/>
                <w:w w:val="103"/>
                <w:sz w:val="14"/>
                <w:szCs w:val="14"/>
                <w:lang w:val="es-ES_tradnl"/>
              </w:rPr>
            </w:pPr>
            <w:r w:rsidRPr="00AD54FC">
              <w:rPr>
                <w:i/>
                <w:iCs/>
                <w:sz w:val="14"/>
                <w:szCs w:val="14"/>
                <w:lang w:val="es-ES_tradnl"/>
              </w:rPr>
              <w:t>Mujeres</w:t>
            </w:r>
          </w:p>
        </w:tc>
        <w:tc>
          <w:tcPr>
            <w:tcW w:w="1669" w:type="dxa"/>
            <w:tcBorders>
              <w:top w:val="single" w:sz="4" w:space="0" w:color="auto"/>
              <w:bottom w:val="single" w:sz="12" w:space="0" w:color="auto"/>
            </w:tcBorders>
            <w:shd w:val="clear" w:color="auto" w:fill="auto"/>
            <w:vAlign w:val="bottom"/>
            <w:hideMark/>
          </w:tcPr>
          <w:p w14:paraId="6A15FCE4" w14:textId="77777777" w:rsidR="003B41A7" w:rsidRPr="00AD54FC" w:rsidRDefault="003B41A7" w:rsidP="00A33A05">
            <w:pPr>
              <w:pStyle w:val="SingleTxtG"/>
              <w:tabs>
                <w:tab w:val="clear" w:pos="1701"/>
                <w:tab w:val="clear" w:pos="2268"/>
                <w:tab w:val="clear" w:pos="2835"/>
              </w:tabs>
              <w:spacing w:before="81" w:after="81" w:line="160" w:lineRule="exact"/>
              <w:ind w:left="144" w:right="40"/>
              <w:jc w:val="right"/>
              <w:rPr>
                <w:rFonts w:ascii="Times New Roman Italic" w:hAnsi="Times New Roman Italic" w:cs="Times New Roman Italic"/>
                <w:i/>
                <w:spacing w:val="4"/>
                <w:w w:val="103"/>
                <w:sz w:val="14"/>
                <w:szCs w:val="14"/>
                <w:lang w:val="es-ES_tradnl"/>
              </w:rPr>
            </w:pPr>
            <w:r w:rsidRPr="00AD54FC">
              <w:rPr>
                <w:i/>
                <w:iCs/>
                <w:sz w:val="14"/>
                <w:szCs w:val="14"/>
                <w:lang w:val="es-ES_tradnl"/>
              </w:rPr>
              <w:t>Hombres</w:t>
            </w:r>
          </w:p>
        </w:tc>
        <w:tc>
          <w:tcPr>
            <w:tcW w:w="1669" w:type="dxa"/>
            <w:tcBorders>
              <w:top w:val="single" w:sz="4" w:space="0" w:color="auto"/>
              <w:bottom w:val="single" w:sz="12" w:space="0" w:color="auto"/>
            </w:tcBorders>
            <w:shd w:val="clear" w:color="auto" w:fill="auto"/>
            <w:vAlign w:val="bottom"/>
            <w:hideMark/>
          </w:tcPr>
          <w:p w14:paraId="68939E3A" w14:textId="77777777" w:rsidR="003B41A7" w:rsidRPr="00AD54FC" w:rsidRDefault="003B41A7" w:rsidP="00A33A05">
            <w:pPr>
              <w:pStyle w:val="SingleTxtG"/>
              <w:tabs>
                <w:tab w:val="clear" w:pos="1701"/>
                <w:tab w:val="clear" w:pos="2268"/>
                <w:tab w:val="clear" w:pos="2835"/>
              </w:tabs>
              <w:spacing w:before="81" w:after="81" w:line="160" w:lineRule="exact"/>
              <w:ind w:left="144" w:right="40"/>
              <w:jc w:val="right"/>
              <w:rPr>
                <w:rFonts w:ascii="Times New Roman Italic" w:hAnsi="Times New Roman Italic" w:cs="Times New Roman Italic"/>
                <w:i/>
                <w:spacing w:val="4"/>
                <w:w w:val="103"/>
                <w:sz w:val="14"/>
                <w:szCs w:val="14"/>
                <w:lang w:val="es-ES_tradnl"/>
              </w:rPr>
            </w:pPr>
            <w:r w:rsidRPr="00AD54FC">
              <w:rPr>
                <w:i/>
                <w:iCs/>
                <w:sz w:val="14"/>
                <w:szCs w:val="14"/>
                <w:lang w:val="es-ES_tradnl"/>
              </w:rPr>
              <w:t>Total</w:t>
            </w:r>
          </w:p>
        </w:tc>
      </w:tr>
      <w:tr w:rsidR="00A33A05" w:rsidRPr="00AD54FC" w14:paraId="4A76B144" w14:textId="77777777" w:rsidTr="003D1CF4">
        <w:trPr>
          <w:trHeight w:hRule="exact" w:val="115"/>
          <w:tblHeader/>
        </w:trPr>
        <w:tc>
          <w:tcPr>
            <w:tcW w:w="2322" w:type="dxa"/>
            <w:tcBorders>
              <w:top w:val="single" w:sz="12" w:space="0" w:color="auto"/>
            </w:tcBorders>
            <w:shd w:val="clear" w:color="auto" w:fill="auto"/>
            <w:vAlign w:val="bottom"/>
          </w:tcPr>
          <w:p w14:paraId="7B944D16" w14:textId="77777777" w:rsidR="00A33A05" w:rsidRPr="00AD54FC" w:rsidRDefault="00A33A05" w:rsidP="00A33A05">
            <w:pPr>
              <w:pStyle w:val="SingleTxtG"/>
              <w:tabs>
                <w:tab w:val="clear" w:pos="1701"/>
                <w:tab w:val="clear" w:pos="2268"/>
                <w:tab w:val="clear" w:pos="2835"/>
              </w:tabs>
              <w:spacing w:before="40" w:after="40" w:line="210" w:lineRule="exact"/>
              <w:ind w:left="0" w:right="40"/>
              <w:jc w:val="left"/>
              <w:rPr>
                <w:sz w:val="17"/>
                <w:lang w:val="es-ES_tradnl"/>
              </w:rPr>
            </w:pPr>
          </w:p>
        </w:tc>
        <w:tc>
          <w:tcPr>
            <w:tcW w:w="1668" w:type="dxa"/>
            <w:tcBorders>
              <w:top w:val="single" w:sz="12" w:space="0" w:color="auto"/>
            </w:tcBorders>
            <w:shd w:val="clear" w:color="auto" w:fill="auto"/>
            <w:vAlign w:val="bottom"/>
          </w:tcPr>
          <w:p w14:paraId="035E481F" w14:textId="77777777" w:rsidR="00A33A05" w:rsidRPr="00AD54FC" w:rsidRDefault="00A33A05" w:rsidP="00A33A05">
            <w:pPr>
              <w:pStyle w:val="SingleTxtG"/>
              <w:tabs>
                <w:tab w:val="clear" w:pos="1701"/>
                <w:tab w:val="clear" w:pos="2268"/>
                <w:tab w:val="clear" w:pos="2835"/>
              </w:tabs>
              <w:spacing w:before="40" w:after="40" w:line="210" w:lineRule="exact"/>
              <w:ind w:left="144" w:right="40"/>
              <w:jc w:val="right"/>
              <w:rPr>
                <w:sz w:val="17"/>
                <w:lang w:val="es-ES_tradnl"/>
              </w:rPr>
            </w:pPr>
          </w:p>
        </w:tc>
        <w:tc>
          <w:tcPr>
            <w:tcW w:w="1669" w:type="dxa"/>
            <w:tcBorders>
              <w:top w:val="single" w:sz="12" w:space="0" w:color="auto"/>
            </w:tcBorders>
            <w:shd w:val="clear" w:color="auto" w:fill="auto"/>
            <w:vAlign w:val="bottom"/>
          </w:tcPr>
          <w:p w14:paraId="53017BF1" w14:textId="77777777" w:rsidR="00A33A05" w:rsidRPr="00AD54FC" w:rsidRDefault="00A33A05" w:rsidP="00A33A05">
            <w:pPr>
              <w:pStyle w:val="SingleTxtG"/>
              <w:tabs>
                <w:tab w:val="clear" w:pos="1701"/>
                <w:tab w:val="clear" w:pos="2268"/>
                <w:tab w:val="clear" w:pos="2835"/>
              </w:tabs>
              <w:spacing w:before="40" w:after="40" w:line="210" w:lineRule="exact"/>
              <w:ind w:left="144" w:right="40"/>
              <w:jc w:val="right"/>
              <w:rPr>
                <w:sz w:val="17"/>
                <w:lang w:val="es-ES_tradnl"/>
              </w:rPr>
            </w:pPr>
          </w:p>
        </w:tc>
        <w:tc>
          <w:tcPr>
            <w:tcW w:w="1669" w:type="dxa"/>
            <w:tcBorders>
              <w:top w:val="single" w:sz="12" w:space="0" w:color="auto"/>
            </w:tcBorders>
            <w:shd w:val="clear" w:color="auto" w:fill="auto"/>
            <w:vAlign w:val="bottom"/>
          </w:tcPr>
          <w:p w14:paraId="7AFCAC9B" w14:textId="77777777" w:rsidR="00A33A05" w:rsidRPr="00AD54FC" w:rsidRDefault="00A33A05" w:rsidP="00A33A05">
            <w:pPr>
              <w:pStyle w:val="SingleTxtG"/>
              <w:tabs>
                <w:tab w:val="clear" w:pos="1701"/>
                <w:tab w:val="clear" w:pos="2268"/>
                <w:tab w:val="clear" w:pos="2835"/>
              </w:tabs>
              <w:spacing w:before="40" w:after="40" w:line="210" w:lineRule="exact"/>
              <w:ind w:left="144" w:right="40"/>
              <w:jc w:val="right"/>
              <w:rPr>
                <w:sz w:val="17"/>
                <w:lang w:val="es-ES_tradnl"/>
              </w:rPr>
            </w:pPr>
          </w:p>
        </w:tc>
      </w:tr>
      <w:tr w:rsidR="003B41A7" w:rsidRPr="00AD54FC" w14:paraId="78BAF156" w14:textId="77777777" w:rsidTr="003D1CF4">
        <w:tc>
          <w:tcPr>
            <w:tcW w:w="2322" w:type="dxa"/>
            <w:shd w:val="clear" w:color="auto" w:fill="auto"/>
            <w:vAlign w:val="bottom"/>
            <w:hideMark/>
          </w:tcPr>
          <w:p w14:paraId="21DD4059"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spacing w:val="4"/>
                <w:w w:val="103"/>
                <w:sz w:val="16"/>
                <w:szCs w:val="16"/>
                <w:lang w:val="es-ES_tradnl"/>
              </w:rPr>
            </w:pPr>
            <w:r w:rsidRPr="00AD54FC">
              <w:rPr>
                <w:sz w:val="16"/>
                <w:szCs w:val="16"/>
                <w:lang w:val="es-ES_tradnl"/>
              </w:rPr>
              <w:t>Ministra de Educación</w:t>
            </w:r>
          </w:p>
        </w:tc>
        <w:tc>
          <w:tcPr>
            <w:tcW w:w="1668" w:type="dxa"/>
            <w:shd w:val="clear" w:color="auto" w:fill="auto"/>
            <w:vAlign w:val="bottom"/>
            <w:hideMark/>
          </w:tcPr>
          <w:p w14:paraId="3FFA5BA5"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w:t>
            </w:r>
          </w:p>
        </w:tc>
        <w:tc>
          <w:tcPr>
            <w:tcW w:w="1669" w:type="dxa"/>
            <w:shd w:val="clear" w:color="auto" w:fill="auto"/>
            <w:vAlign w:val="bottom"/>
            <w:hideMark/>
          </w:tcPr>
          <w:p w14:paraId="029A9419"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0</w:t>
            </w:r>
          </w:p>
        </w:tc>
        <w:tc>
          <w:tcPr>
            <w:tcW w:w="1669" w:type="dxa"/>
            <w:shd w:val="clear" w:color="auto" w:fill="auto"/>
            <w:vAlign w:val="bottom"/>
            <w:hideMark/>
          </w:tcPr>
          <w:p w14:paraId="7F303DAC"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w:t>
            </w:r>
          </w:p>
        </w:tc>
      </w:tr>
      <w:tr w:rsidR="003B41A7" w:rsidRPr="00AD54FC" w14:paraId="3309715F" w14:textId="77777777" w:rsidTr="003D1CF4">
        <w:tc>
          <w:tcPr>
            <w:tcW w:w="2322" w:type="dxa"/>
            <w:shd w:val="clear" w:color="auto" w:fill="auto"/>
            <w:vAlign w:val="bottom"/>
            <w:hideMark/>
          </w:tcPr>
          <w:p w14:paraId="36C958C5"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spacing w:val="4"/>
                <w:w w:val="103"/>
                <w:sz w:val="16"/>
                <w:szCs w:val="16"/>
                <w:lang w:val="es-ES_tradnl"/>
              </w:rPr>
            </w:pPr>
            <w:r w:rsidRPr="00AD54FC">
              <w:rPr>
                <w:sz w:val="16"/>
                <w:szCs w:val="16"/>
                <w:lang w:val="es-ES_tradnl"/>
              </w:rPr>
              <w:t>Viceministra</w:t>
            </w:r>
          </w:p>
        </w:tc>
        <w:tc>
          <w:tcPr>
            <w:tcW w:w="1668" w:type="dxa"/>
            <w:shd w:val="clear" w:color="auto" w:fill="auto"/>
            <w:vAlign w:val="bottom"/>
            <w:hideMark/>
          </w:tcPr>
          <w:p w14:paraId="655F4007"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w:t>
            </w:r>
          </w:p>
        </w:tc>
        <w:tc>
          <w:tcPr>
            <w:tcW w:w="1669" w:type="dxa"/>
            <w:shd w:val="clear" w:color="auto" w:fill="auto"/>
            <w:vAlign w:val="bottom"/>
            <w:hideMark/>
          </w:tcPr>
          <w:p w14:paraId="12282ACE"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0</w:t>
            </w:r>
          </w:p>
        </w:tc>
        <w:tc>
          <w:tcPr>
            <w:tcW w:w="1669" w:type="dxa"/>
            <w:shd w:val="clear" w:color="auto" w:fill="auto"/>
            <w:vAlign w:val="bottom"/>
            <w:hideMark/>
          </w:tcPr>
          <w:p w14:paraId="29FEE7A5"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w:t>
            </w:r>
          </w:p>
        </w:tc>
      </w:tr>
      <w:tr w:rsidR="003B41A7" w:rsidRPr="00AD54FC" w14:paraId="6AB06BE8" w14:textId="77777777" w:rsidTr="003D1CF4">
        <w:tc>
          <w:tcPr>
            <w:tcW w:w="2322" w:type="dxa"/>
            <w:shd w:val="clear" w:color="auto" w:fill="auto"/>
            <w:vAlign w:val="bottom"/>
            <w:hideMark/>
          </w:tcPr>
          <w:p w14:paraId="0C4F077B"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b/>
                <w:spacing w:val="4"/>
                <w:w w:val="103"/>
                <w:sz w:val="16"/>
                <w:szCs w:val="16"/>
                <w:lang w:val="es-ES_tradnl"/>
              </w:rPr>
            </w:pPr>
            <w:r w:rsidRPr="00AD54FC">
              <w:rPr>
                <w:b/>
                <w:bCs/>
                <w:sz w:val="16"/>
                <w:szCs w:val="16"/>
                <w:lang w:val="es-ES_tradnl"/>
              </w:rPr>
              <w:t>Nivel público</w:t>
            </w:r>
          </w:p>
        </w:tc>
        <w:tc>
          <w:tcPr>
            <w:tcW w:w="1668" w:type="dxa"/>
            <w:shd w:val="clear" w:color="auto" w:fill="auto"/>
            <w:vAlign w:val="bottom"/>
          </w:tcPr>
          <w:p w14:paraId="4EDEB57A"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p>
        </w:tc>
        <w:tc>
          <w:tcPr>
            <w:tcW w:w="1669" w:type="dxa"/>
            <w:shd w:val="clear" w:color="auto" w:fill="auto"/>
            <w:vAlign w:val="bottom"/>
          </w:tcPr>
          <w:p w14:paraId="50E4E136"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p>
        </w:tc>
        <w:tc>
          <w:tcPr>
            <w:tcW w:w="1669" w:type="dxa"/>
            <w:shd w:val="clear" w:color="auto" w:fill="auto"/>
            <w:vAlign w:val="bottom"/>
          </w:tcPr>
          <w:p w14:paraId="77A0B0ED"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p>
        </w:tc>
      </w:tr>
      <w:tr w:rsidR="003B41A7" w:rsidRPr="00AD54FC" w14:paraId="2B59BE24" w14:textId="77777777" w:rsidTr="003D1CF4">
        <w:tc>
          <w:tcPr>
            <w:tcW w:w="2322" w:type="dxa"/>
            <w:shd w:val="clear" w:color="auto" w:fill="auto"/>
            <w:vAlign w:val="bottom"/>
            <w:hideMark/>
          </w:tcPr>
          <w:p w14:paraId="0D288E35"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spacing w:val="4"/>
                <w:w w:val="103"/>
                <w:sz w:val="16"/>
                <w:szCs w:val="16"/>
                <w:lang w:val="es-ES_tradnl"/>
              </w:rPr>
            </w:pPr>
            <w:r w:rsidRPr="00AD54FC">
              <w:rPr>
                <w:sz w:val="16"/>
                <w:szCs w:val="16"/>
                <w:lang w:val="es-ES_tradnl"/>
              </w:rPr>
              <w:t>Directora Ejecutiva</w:t>
            </w:r>
          </w:p>
        </w:tc>
        <w:tc>
          <w:tcPr>
            <w:tcW w:w="1668" w:type="dxa"/>
            <w:shd w:val="clear" w:color="auto" w:fill="auto"/>
            <w:vAlign w:val="bottom"/>
            <w:hideMark/>
          </w:tcPr>
          <w:p w14:paraId="67E44272"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w:t>
            </w:r>
          </w:p>
        </w:tc>
        <w:tc>
          <w:tcPr>
            <w:tcW w:w="1669" w:type="dxa"/>
            <w:shd w:val="clear" w:color="auto" w:fill="auto"/>
            <w:vAlign w:val="bottom"/>
            <w:hideMark/>
          </w:tcPr>
          <w:p w14:paraId="3AD5FC49"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0</w:t>
            </w:r>
          </w:p>
        </w:tc>
        <w:tc>
          <w:tcPr>
            <w:tcW w:w="1669" w:type="dxa"/>
            <w:shd w:val="clear" w:color="auto" w:fill="auto"/>
            <w:vAlign w:val="bottom"/>
            <w:hideMark/>
          </w:tcPr>
          <w:p w14:paraId="3E3C5370"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w:t>
            </w:r>
          </w:p>
        </w:tc>
      </w:tr>
      <w:tr w:rsidR="003B41A7" w:rsidRPr="00AD54FC" w14:paraId="3384F135" w14:textId="77777777" w:rsidTr="003D1CF4">
        <w:tc>
          <w:tcPr>
            <w:tcW w:w="2322" w:type="dxa"/>
            <w:shd w:val="clear" w:color="auto" w:fill="auto"/>
            <w:vAlign w:val="bottom"/>
            <w:hideMark/>
          </w:tcPr>
          <w:p w14:paraId="2CE02560"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spacing w:val="4"/>
                <w:w w:val="103"/>
                <w:sz w:val="16"/>
                <w:szCs w:val="16"/>
                <w:lang w:val="es-ES_tradnl"/>
              </w:rPr>
            </w:pPr>
            <w:r w:rsidRPr="00AD54FC">
              <w:rPr>
                <w:sz w:val="16"/>
                <w:szCs w:val="16"/>
                <w:lang w:val="es-ES_tradnl"/>
              </w:rPr>
              <w:t>Directoras Ejecutivas Adjuntas</w:t>
            </w:r>
          </w:p>
        </w:tc>
        <w:tc>
          <w:tcPr>
            <w:tcW w:w="1668" w:type="dxa"/>
            <w:shd w:val="clear" w:color="auto" w:fill="auto"/>
            <w:vAlign w:val="bottom"/>
            <w:hideMark/>
          </w:tcPr>
          <w:p w14:paraId="2E06937E"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w:t>
            </w:r>
          </w:p>
        </w:tc>
        <w:tc>
          <w:tcPr>
            <w:tcW w:w="1669" w:type="dxa"/>
            <w:shd w:val="clear" w:color="auto" w:fill="auto"/>
            <w:vAlign w:val="bottom"/>
            <w:hideMark/>
          </w:tcPr>
          <w:p w14:paraId="4D55046A"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2</w:t>
            </w:r>
          </w:p>
        </w:tc>
        <w:tc>
          <w:tcPr>
            <w:tcW w:w="1669" w:type="dxa"/>
            <w:shd w:val="clear" w:color="auto" w:fill="auto"/>
            <w:vAlign w:val="bottom"/>
            <w:hideMark/>
          </w:tcPr>
          <w:p w14:paraId="519746D3"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3</w:t>
            </w:r>
          </w:p>
        </w:tc>
      </w:tr>
      <w:tr w:rsidR="003B41A7" w:rsidRPr="00AD54FC" w14:paraId="41701F25" w14:textId="77777777" w:rsidTr="003D1CF4">
        <w:tc>
          <w:tcPr>
            <w:tcW w:w="2322" w:type="dxa"/>
            <w:shd w:val="clear" w:color="auto" w:fill="auto"/>
            <w:vAlign w:val="bottom"/>
            <w:hideMark/>
          </w:tcPr>
          <w:p w14:paraId="0E264EF4"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0" w:right="40"/>
              <w:jc w:val="left"/>
              <w:rPr>
                <w:spacing w:val="4"/>
                <w:w w:val="103"/>
                <w:sz w:val="16"/>
                <w:szCs w:val="16"/>
                <w:lang w:val="es-ES_tradnl"/>
              </w:rPr>
            </w:pPr>
            <w:r w:rsidRPr="00AD54FC">
              <w:rPr>
                <w:sz w:val="16"/>
                <w:szCs w:val="16"/>
                <w:lang w:val="es-ES_tradnl"/>
              </w:rPr>
              <w:t>Directoras</w:t>
            </w:r>
          </w:p>
        </w:tc>
        <w:tc>
          <w:tcPr>
            <w:tcW w:w="1668" w:type="dxa"/>
            <w:shd w:val="clear" w:color="auto" w:fill="auto"/>
            <w:vAlign w:val="bottom"/>
            <w:hideMark/>
          </w:tcPr>
          <w:p w14:paraId="6EAFB22A"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12</w:t>
            </w:r>
          </w:p>
        </w:tc>
        <w:tc>
          <w:tcPr>
            <w:tcW w:w="1669" w:type="dxa"/>
            <w:shd w:val="clear" w:color="auto" w:fill="auto"/>
            <w:vAlign w:val="bottom"/>
            <w:hideMark/>
          </w:tcPr>
          <w:p w14:paraId="6552F90E"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11</w:t>
            </w:r>
          </w:p>
        </w:tc>
        <w:tc>
          <w:tcPr>
            <w:tcW w:w="1669" w:type="dxa"/>
            <w:shd w:val="clear" w:color="auto" w:fill="auto"/>
            <w:vAlign w:val="bottom"/>
            <w:hideMark/>
          </w:tcPr>
          <w:p w14:paraId="3B297B68"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40" w:line="210" w:lineRule="exact"/>
              <w:ind w:left="144" w:right="40"/>
              <w:jc w:val="right"/>
              <w:rPr>
                <w:spacing w:val="4"/>
                <w:w w:val="103"/>
                <w:sz w:val="16"/>
                <w:szCs w:val="16"/>
                <w:lang w:val="es-ES_tradnl"/>
              </w:rPr>
            </w:pPr>
            <w:r w:rsidRPr="00AD54FC">
              <w:rPr>
                <w:sz w:val="16"/>
                <w:szCs w:val="16"/>
                <w:lang w:val="es-ES_tradnl"/>
              </w:rPr>
              <w:t>23</w:t>
            </w:r>
          </w:p>
        </w:tc>
      </w:tr>
      <w:tr w:rsidR="003B41A7" w:rsidRPr="00AD54FC" w14:paraId="7285C67E" w14:textId="77777777" w:rsidTr="003D1CF4">
        <w:tc>
          <w:tcPr>
            <w:tcW w:w="2322" w:type="dxa"/>
            <w:tcBorders>
              <w:bottom w:val="single" w:sz="4" w:space="0" w:color="auto"/>
            </w:tcBorders>
            <w:shd w:val="clear" w:color="auto" w:fill="auto"/>
            <w:vAlign w:val="bottom"/>
            <w:hideMark/>
          </w:tcPr>
          <w:p w14:paraId="0567AA88"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81" w:line="210" w:lineRule="exact"/>
              <w:ind w:left="0" w:right="40"/>
              <w:jc w:val="left"/>
              <w:rPr>
                <w:spacing w:val="4"/>
                <w:w w:val="103"/>
                <w:sz w:val="16"/>
                <w:szCs w:val="16"/>
                <w:lang w:val="es-ES_tradnl"/>
              </w:rPr>
            </w:pPr>
            <w:r w:rsidRPr="00AD54FC">
              <w:rPr>
                <w:sz w:val="16"/>
                <w:szCs w:val="16"/>
                <w:lang w:val="es-ES_tradnl"/>
              </w:rPr>
              <w:t>Directoras Adjuntas</w:t>
            </w:r>
          </w:p>
        </w:tc>
        <w:tc>
          <w:tcPr>
            <w:tcW w:w="1668" w:type="dxa"/>
            <w:tcBorders>
              <w:bottom w:val="single" w:sz="4" w:space="0" w:color="auto"/>
            </w:tcBorders>
            <w:shd w:val="clear" w:color="auto" w:fill="auto"/>
            <w:vAlign w:val="bottom"/>
            <w:hideMark/>
          </w:tcPr>
          <w:p w14:paraId="7505DFF2"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81" w:line="210" w:lineRule="exact"/>
              <w:ind w:left="144" w:right="40"/>
              <w:jc w:val="right"/>
              <w:rPr>
                <w:spacing w:val="4"/>
                <w:w w:val="103"/>
                <w:sz w:val="16"/>
                <w:szCs w:val="16"/>
                <w:lang w:val="es-ES_tradnl"/>
              </w:rPr>
            </w:pPr>
            <w:r w:rsidRPr="00AD54FC">
              <w:rPr>
                <w:sz w:val="16"/>
                <w:szCs w:val="16"/>
                <w:lang w:val="es-ES_tradnl"/>
              </w:rPr>
              <w:t>15</w:t>
            </w:r>
          </w:p>
        </w:tc>
        <w:tc>
          <w:tcPr>
            <w:tcW w:w="1669" w:type="dxa"/>
            <w:tcBorders>
              <w:bottom w:val="single" w:sz="4" w:space="0" w:color="auto"/>
            </w:tcBorders>
            <w:shd w:val="clear" w:color="auto" w:fill="auto"/>
            <w:vAlign w:val="bottom"/>
            <w:hideMark/>
          </w:tcPr>
          <w:p w14:paraId="7D6D3E1F"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81" w:line="210" w:lineRule="exact"/>
              <w:ind w:left="144" w:right="40"/>
              <w:jc w:val="right"/>
              <w:rPr>
                <w:spacing w:val="4"/>
                <w:w w:val="103"/>
                <w:sz w:val="16"/>
                <w:szCs w:val="16"/>
                <w:lang w:val="es-ES_tradnl"/>
              </w:rPr>
            </w:pPr>
            <w:r w:rsidRPr="00AD54FC">
              <w:rPr>
                <w:sz w:val="16"/>
                <w:szCs w:val="16"/>
                <w:lang w:val="es-ES_tradnl"/>
              </w:rPr>
              <w:t>6</w:t>
            </w:r>
          </w:p>
        </w:tc>
        <w:tc>
          <w:tcPr>
            <w:tcW w:w="1669" w:type="dxa"/>
            <w:tcBorders>
              <w:bottom w:val="single" w:sz="4" w:space="0" w:color="auto"/>
            </w:tcBorders>
            <w:shd w:val="clear" w:color="auto" w:fill="auto"/>
            <w:vAlign w:val="bottom"/>
            <w:hideMark/>
          </w:tcPr>
          <w:p w14:paraId="62F52B2A"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40" w:after="81" w:line="210" w:lineRule="exact"/>
              <w:ind w:left="144" w:right="40"/>
              <w:jc w:val="right"/>
              <w:rPr>
                <w:spacing w:val="4"/>
                <w:w w:val="103"/>
                <w:sz w:val="16"/>
                <w:szCs w:val="16"/>
                <w:lang w:val="es-ES_tradnl"/>
              </w:rPr>
            </w:pPr>
            <w:r w:rsidRPr="00AD54FC">
              <w:rPr>
                <w:sz w:val="16"/>
                <w:szCs w:val="16"/>
                <w:lang w:val="es-ES_tradnl"/>
              </w:rPr>
              <w:t>21</w:t>
            </w:r>
          </w:p>
        </w:tc>
      </w:tr>
      <w:tr w:rsidR="003B41A7" w:rsidRPr="00AD54FC" w14:paraId="5493D98F" w14:textId="77777777" w:rsidTr="003D1CF4">
        <w:tc>
          <w:tcPr>
            <w:tcW w:w="2322" w:type="dxa"/>
            <w:tcBorders>
              <w:top w:val="single" w:sz="4" w:space="0" w:color="auto"/>
              <w:bottom w:val="single" w:sz="12" w:space="0" w:color="auto"/>
            </w:tcBorders>
            <w:shd w:val="clear" w:color="auto" w:fill="auto"/>
            <w:vAlign w:val="bottom"/>
            <w:hideMark/>
          </w:tcPr>
          <w:p w14:paraId="111CC09E" w14:textId="0B5F1642" w:rsidR="003B41A7" w:rsidRPr="00AD54FC" w:rsidRDefault="00A33A05" w:rsidP="00A33A05">
            <w:pPr>
              <w:pStyle w:val="SingleTxtG"/>
              <w:tabs>
                <w:tab w:val="clear" w:pos="1701"/>
                <w:tab w:val="clear" w:pos="2268"/>
                <w:tab w:val="clear" w:pos="2835"/>
                <w:tab w:val="left" w:pos="288"/>
                <w:tab w:val="left" w:pos="576"/>
                <w:tab w:val="left" w:pos="864"/>
                <w:tab w:val="left" w:pos="1152"/>
              </w:tabs>
              <w:spacing w:before="81" w:after="81" w:line="210" w:lineRule="exact"/>
              <w:ind w:left="0" w:right="40"/>
              <w:jc w:val="left"/>
              <w:rPr>
                <w:b/>
                <w:spacing w:val="4"/>
                <w:w w:val="103"/>
                <w:sz w:val="16"/>
                <w:szCs w:val="16"/>
                <w:lang w:val="es-ES_tradnl"/>
              </w:rPr>
            </w:pPr>
            <w:r w:rsidRPr="00AD54FC">
              <w:rPr>
                <w:sz w:val="16"/>
                <w:szCs w:val="16"/>
                <w:lang w:val="es-ES_tradnl"/>
              </w:rPr>
              <w:tab/>
            </w:r>
            <w:r w:rsidRPr="00AD54FC">
              <w:rPr>
                <w:i/>
                <w:iCs/>
                <w:sz w:val="16"/>
                <w:szCs w:val="16"/>
                <w:lang w:val="es-ES_tradnl"/>
              </w:rPr>
              <w:t>Total</w:t>
            </w:r>
          </w:p>
        </w:tc>
        <w:tc>
          <w:tcPr>
            <w:tcW w:w="1668" w:type="dxa"/>
            <w:tcBorders>
              <w:top w:val="single" w:sz="4" w:space="0" w:color="auto"/>
              <w:bottom w:val="single" w:sz="12" w:space="0" w:color="auto"/>
            </w:tcBorders>
            <w:shd w:val="clear" w:color="auto" w:fill="auto"/>
            <w:vAlign w:val="bottom"/>
            <w:hideMark/>
          </w:tcPr>
          <w:p w14:paraId="17163628"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81" w:after="81" w:line="210" w:lineRule="exact"/>
              <w:ind w:left="144" w:right="40"/>
              <w:jc w:val="right"/>
              <w:rPr>
                <w:b/>
                <w:spacing w:val="4"/>
                <w:w w:val="103"/>
                <w:sz w:val="16"/>
                <w:szCs w:val="16"/>
                <w:lang w:val="es-ES_tradnl"/>
              </w:rPr>
            </w:pPr>
            <w:r w:rsidRPr="00AD54FC">
              <w:rPr>
                <w:b/>
                <w:bCs/>
                <w:sz w:val="16"/>
                <w:szCs w:val="16"/>
                <w:lang w:val="es-ES_tradnl"/>
              </w:rPr>
              <w:t>16</w:t>
            </w:r>
          </w:p>
        </w:tc>
        <w:tc>
          <w:tcPr>
            <w:tcW w:w="1669" w:type="dxa"/>
            <w:tcBorders>
              <w:top w:val="single" w:sz="4" w:space="0" w:color="auto"/>
              <w:bottom w:val="single" w:sz="12" w:space="0" w:color="auto"/>
            </w:tcBorders>
            <w:shd w:val="clear" w:color="auto" w:fill="auto"/>
            <w:vAlign w:val="bottom"/>
            <w:hideMark/>
          </w:tcPr>
          <w:p w14:paraId="4A285E51"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81" w:after="81" w:line="210" w:lineRule="exact"/>
              <w:ind w:left="144" w:right="40"/>
              <w:jc w:val="right"/>
              <w:rPr>
                <w:b/>
                <w:spacing w:val="4"/>
                <w:w w:val="103"/>
                <w:sz w:val="16"/>
                <w:szCs w:val="16"/>
                <w:lang w:val="es-ES_tradnl"/>
              </w:rPr>
            </w:pPr>
            <w:r w:rsidRPr="00AD54FC">
              <w:rPr>
                <w:b/>
                <w:bCs/>
                <w:sz w:val="16"/>
                <w:szCs w:val="16"/>
                <w:lang w:val="es-ES_tradnl"/>
              </w:rPr>
              <w:t>13</w:t>
            </w:r>
          </w:p>
        </w:tc>
        <w:tc>
          <w:tcPr>
            <w:tcW w:w="1669" w:type="dxa"/>
            <w:tcBorders>
              <w:top w:val="single" w:sz="4" w:space="0" w:color="auto"/>
              <w:bottom w:val="single" w:sz="12" w:space="0" w:color="auto"/>
            </w:tcBorders>
            <w:shd w:val="clear" w:color="auto" w:fill="auto"/>
            <w:vAlign w:val="bottom"/>
            <w:hideMark/>
          </w:tcPr>
          <w:p w14:paraId="09B735B3" w14:textId="77777777" w:rsidR="003B41A7" w:rsidRPr="00AD54FC" w:rsidRDefault="003B41A7" w:rsidP="00A33A05">
            <w:pPr>
              <w:pStyle w:val="SingleTxtG"/>
              <w:tabs>
                <w:tab w:val="clear" w:pos="1701"/>
                <w:tab w:val="clear" w:pos="2268"/>
                <w:tab w:val="clear" w:pos="2835"/>
                <w:tab w:val="left" w:pos="288"/>
                <w:tab w:val="left" w:pos="576"/>
                <w:tab w:val="left" w:pos="864"/>
                <w:tab w:val="left" w:pos="1152"/>
              </w:tabs>
              <w:spacing w:before="81" w:after="81" w:line="210" w:lineRule="exact"/>
              <w:ind w:left="144" w:right="40"/>
              <w:jc w:val="right"/>
              <w:rPr>
                <w:b/>
                <w:spacing w:val="4"/>
                <w:w w:val="103"/>
                <w:sz w:val="16"/>
                <w:szCs w:val="16"/>
                <w:lang w:val="es-ES_tradnl"/>
              </w:rPr>
            </w:pPr>
            <w:r w:rsidRPr="00AD54FC">
              <w:rPr>
                <w:b/>
                <w:bCs/>
                <w:sz w:val="16"/>
                <w:szCs w:val="16"/>
                <w:lang w:val="es-ES_tradnl"/>
              </w:rPr>
              <w:t>29</w:t>
            </w:r>
          </w:p>
        </w:tc>
      </w:tr>
    </w:tbl>
    <w:p w14:paraId="2A1AE802" w14:textId="0100887E" w:rsidR="003B41A7" w:rsidRPr="00AD54FC" w:rsidRDefault="003B41A7" w:rsidP="00A33A05">
      <w:pPr>
        <w:pStyle w:val="SingleTxt"/>
        <w:spacing w:after="0" w:line="120" w:lineRule="exact"/>
        <w:rPr>
          <w:sz w:val="10"/>
          <w:lang w:val="es-ES_tradnl"/>
        </w:rPr>
      </w:pPr>
    </w:p>
    <w:p w14:paraId="0C80FBFB" w14:textId="0A7DED4D" w:rsidR="00A33A05" w:rsidRPr="00AD54FC" w:rsidRDefault="00A33A05" w:rsidP="00A33A05">
      <w:pPr>
        <w:pStyle w:val="SingleTxt"/>
        <w:spacing w:after="0" w:line="120" w:lineRule="exact"/>
        <w:rPr>
          <w:sz w:val="10"/>
          <w:lang w:val="es-ES_tradnl"/>
        </w:rPr>
      </w:pPr>
    </w:p>
    <w:p w14:paraId="1C0548F7" w14:textId="77777777" w:rsidR="00A33A05" w:rsidRPr="00AD54FC" w:rsidRDefault="00A33A05" w:rsidP="00A33A05">
      <w:pPr>
        <w:pStyle w:val="SingleTxt"/>
        <w:spacing w:after="0" w:line="120" w:lineRule="exact"/>
        <w:rPr>
          <w:sz w:val="10"/>
          <w:lang w:val="es-ES_tradnl"/>
        </w:rPr>
      </w:pPr>
    </w:p>
    <w:p w14:paraId="68689D9C" w14:textId="60F25F59" w:rsidR="00A33A05" w:rsidRPr="00AD54FC" w:rsidRDefault="00A33A05" w:rsidP="00A33A05">
      <w:pPr>
        <w:pStyle w:val="H1"/>
        <w:ind w:right="1260"/>
        <w:rPr>
          <w:lang w:val="es-ES_tradnl"/>
        </w:rPr>
      </w:pPr>
      <w:r w:rsidRPr="00AD54FC">
        <w:rPr>
          <w:lang w:val="es-ES_tradnl"/>
        </w:rPr>
        <w:tab/>
      </w:r>
      <w:r w:rsidRPr="00AD54FC">
        <w:rPr>
          <w:lang w:val="es-ES_tradnl"/>
        </w:rPr>
        <w:tab/>
      </w:r>
      <w:r w:rsidRPr="00AD54FC">
        <w:rPr>
          <w:bCs/>
          <w:lang w:val="es-ES_tradnl"/>
        </w:rPr>
        <w:t>Estereotipos y prácticas nocivas</w:t>
      </w:r>
      <w:r w:rsidRPr="00AD54FC">
        <w:rPr>
          <w:lang w:val="es-ES_tradnl"/>
        </w:rPr>
        <w:t xml:space="preserve"> </w:t>
      </w:r>
    </w:p>
    <w:p w14:paraId="4D40B92A" w14:textId="470C664F" w:rsidR="00A33A05" w:rsidRPr="00AD54FC" w:rsidRDefault="00A33A05" w:rsidP="00A33A05">
      <w:pPr>
        <w:pStyle w:val="SingleTxt"/>
        <w:spacing w:after="0" w:line="120" w:lineRule="exact"/>
        <w:rPr>
          <w:sz w:val="10"/>
          <w:lang w:val="es-ES_tradnl"/>
        </w:rPr>
      </w:pPr>
    </w:p>
    <w:p w14:paraId="41BDCDAD" w14:textId="29882BAF" w:rsidR="00A33A05" w:rsidRPr="00AD54FC" w:rsidRDefault="00A33A05" w:rsidP="00A33A05">
      <w:pPr>
        <w:pStyle w:val="SingleTxt"/>
        <w:spacing w:after="0" w:line="120" w:lineRule="exact"/>
        <w:rPr>
          <w:sz w:val="10"/>
          <w:lang w:val="es-ES_tradnl"/>
        </w:rPr>
      </w:pPr>
    </w:p>
    <w:p w14:paraId="10734C95" w14:textId="77777777" w:rsidR="00A33A05" w:rsidRPr="00AD54FC" w:rsidRDefault="00A33A05" w:rsidP="00A33A05">
      <w:pPr>
        <w:pStyle w:val="SingleTxt"/>
        <w:rPr>
          <w:lang w:val="es-ES_tradnl"/>
        </w:rPr>
      </w:pPr>
      <w:r w:rsidRPr="00AD54FC">
        <w:rPr>
          <w:lang w:val="es-ES_tradnl"/>
        </w:rPr>
        <w:t>25.</w:t>
      </w:r>
      <w:r w:rsidRPr="00AD54FC">
        <w:rPr>
          <w:lang w:val="es-ES_tradnl"/>
        </w:rPr>
        <w:tab/>
        <w:t xml:space="preserve">La Ley de Atención y Protección de la Infancia (Ley núm. 3 de 2015) prohíbe y penaliza cualquier práctica nociva que se lleve a cabo contra los niños en Namibia. En el año 2020 se realizó un estudio sobre los matrimonios infantiles, cuyas recomendaciones están aplicando todas las partes interesadas. </w:t>
      </w:r>
    </w:p>
    <w:p w14:paraId="324D9A9D" w14:textId="69CA4ABB" w:rsidR="00A33A05" w:rsidRPr="00AD54FC" w:rsidRDefault="00A33A05" w:rsidP="00A33A05">
      <w:pPr>
        <w:pStyle w:val="SingleTxt"/>
        <w:rPr>
          <w:spacing w:val="3"/>
          <w:lang w:val="es-ES_tradnl"/>
        </w:rPr>
      </w:pPr>
      <w:r w:rsidRPr="00AD54FC">
        <w:rPr>
          <w:spacing w:val="3"/>
          <w:lang w:val="es-ES_tradnl"/>
        </w:rPr>
        <w:t>26.</w:t>
      </w:r>
      <w:r w:rsidRPr="00AD54FC">
        <w:rPr>
          <w:spacing w:val="3"/>
          <w:lang w:val="es-ES_tradnl"/>
        </w:rPr>
        <w:tab/>
        <w:t>Además, deseamos informar al Comité de que el Estado parte no tiene intención de abolir la poligamia. La poligamia es parte integral de la cultura africana y el Estado parte no la considera una práctica cultural nociva. La poligamia solo puede convertirse en un delito cuando hablamos de niñas casadas o cuando se obliga a las mujeres a practicarla. En general, la mayoría de las mujeres que mantienen relaciones polígamas lo hacen de forma voluntaria y tales uniones se rigen por las costumbres y prácticas de un determinado grupo étnico. En todo caso, el Gobierno está llevando a cabo consultas con las autoridades tradicionales y otras partes interesadas sobre la revisión de las leyes matrimoniales consuetudinarias existentes y sobre la promulgación de leyes específicas destinadas a aumentar la protección de las mujeres en uniones polígamas.</w:t>
      </w:r>
    </w:p>
    <w:p w14:paraId="10A1D4E2" w14:textId="2B7099A0" w:rsidR="003D1CF4" w:rsidRPr="00AD54FC" w:rsidRDefault="003D1CF4" w:rsidP="003D1CF4">
      <w:pPr>
        <w:pStyle w:val="SingleTxt"/>
        <w:spacing w:after="0" w:line="120" w:lineRule="exact"/>
        <w:rPr>
          <w:sz w:val="10"/>
          <w:lang w:val="es-ES_tradnl"/>
        </w:rPr>
      </w:pPr>
    </w:p>
    <w:p w14:paraId="19C25975" w14:textId="4FEE982C" w:rsidR="003D1CF4" w:rsidRPr="00AD54FC" w:rsidRDefault="003D1CF4" w:rsidP="003D1CF4">
      <w:pPr>
        <w:pStyle w:val="SingleTxt"/>
        <w:spacing w:after="0" w:line="120" w:lineRule="exact"/>
        <w:rPr>
          <w:sz w:val="10"/>
          <w:lang w:val="es-ES_tradnl"/>
        </w:rPr>
      </w:pPr>
    </w:p>
    <w:p w14:paraId="6631527F" w14:textId="79B30D40" w:rsidR="00A33A05" w:rsidRPr="00AD54FC" w:rsidRDefault="00A33A05" w:rsidP="00A33A05">
      <w:pPr>
        <w:pStyle w:val="H1"/>
        <w:ind w:right="1260"/>
        <w:rPr>
          <w:lang w:val="es-ES_tradnl"/>
        </w:rPr>
      </w:pPr>
      <w:r w:rsidRPr="00AD54FC">
        <w:rPr>
          <w:lang w:val="es-ES_tradnl"/>
        </w:rPr>
        <w:tab/>
      </w:r>
      <w:r w:rsidRPr="00AD54FC">
        <w:rPr>
          <w:lang w:val="es-ES_tradnl"/>
        </w:rPr>
        <w:tab/>
      </w:r>
      <w:r w:rsidRPr="00AD54FC">
        <w:rPr>
          <w:bCs/>
          <w:lang w:val="es-ES_tradnl"/>
        </w:rPr>
        <w:t>Violencia de género contra las mujeres</w:t>
      </w:r>
      <w:bookmarkStart w:id="1" w:name="BeginPage"/>
      <w:bookmarkEnd w:id="1"/>
    </w:p>
    <w:p w14:paraId="651053E6" w14:textId="3E6F7DF0" w:rsidR="00A33A05" w:rsidRPr="00AD54FC" w:rsidRDefault="00A33A05" w:rsidP="00A33A05">
      <w:pPr>
        <w:pStyle w:val="SingleTxt"/>
        <w:spacing w:after="0" w:line="120" w:lineRule="exact"/>
        <w:rPr>
          <w:sz w:val="10"/>
          <w:lang w:val="es-ES_tradnl"/>
        </w:rPr>
      </w:pPr>
    </w:p>
    <w:p w14:paraId="563F42CB" w14:textId="53F24115" w:rsidR="00A33A05" w:rsidRPr="00AD54FC" w:rsidRDefault="00A33A05" w:rsidP="00A33A05">
      <w:pPr>
        <w:pStyle w:val="SingleTxt"/>
        <w:spacing w:after="0" w:line="120" w:lineRule="exact"/>
        <w:rPr>
          <w:sz w:val="10"/>
          <w:lang w:val="es-ES_tradnl"/>
        </w:rPr>
      </w:pPr>
    </w:p>
    <w:p w14:paraId="4226A77C" w14:textId="553DFFFD" w:rsidR="00A33A05" w:rsidRPr="00AD54FC" w:rsidRDefault="00A33A05" w:rsidP="00A33A05">
      <w:pPr>
        <w:pStyle w:val="SingleTxt"/>
        <w:rPr>
          <w:spacing w:val="2"/>
          <w:w w:val="102"/>
          <w:lang w:val="es-ES_tradnl"/>
        </w:rPr>
      </w:pPr>
      <w:r w:rsidRPr="00AD54FC">
        <w:rPr>
          <w:lang w:val="es-ES_tradnl"/>
        </w:rPr>
        <w:t>27.</w:t>
      </w:r>
      <w:r w:rsidRPr="00AD54FC">
        <w:rPr>
          <w:lang w:val="es-ES_tradnl"/>
        </w:rPr>
        <w:tab/>
        <w:t>Los trabajadores sociales del Ministerio de Igualdad de Género, Erradicación de la Pobreza y Bienestar Social y del Ministerio de Seguridad forman parte de los servicios esenciales. De este modo, los servicios han podido prestarse sin interrupciones. No obstante, durante el período de confinamiento por la COVID-19 se creó el plan de respuesta contra la violencia de género y la violencia doméstica con el fin de orientar al público sobre cómo denunciar tales situaciones. El plan de respuesta, que formaba parte de la declaración publicada por el Gobierno de Namibia, engloba el proceso y los procedimientos de remisión:</w:t>
      </w:r>
    </w:p>
    <w:p w14:paraId="53B84558" w14:textId="6F12C964" w:rsidR="003D1CF4" w:rsidRPr="00AD54FC" w:rsidRDefault="003D1CF4" w:rsidP="003D1CF4">
      <w:pPr>
        <w:pStyle w:val="SingleTxt"/>
        <w:tabs>
          <w:tab w:val="right" w:pos="1685"/>
        </w:tabs>
        <w:ind w:left="1742" w:hanging="475"/>
        <w:rPr>
          <w:spacing w:val="2"/>
          <w:w w:val="102"/>
          <w:lang w:val="es-ES_tradnl"/>
        </w:rPr>
      </w:pPr>
      <w:r w:rsidRPr="00AD54FC">
        <w:rPr>
          <w:lang w:val="es-ES_tradnl"/>
        </w:rPr>
        <w:tab/>
        <w:t>•</w:t>
      </w:r>
      <w:r w:rsidRPr="00AD54FC">
        <w:rPr>
          <w:lang w:val="es-ES_tradnl"/>
        </w:rPr>
        <w:tab/>
        <w:t xml:space="preserve">El primer punto de respuesta para los niños o adultos necesitados de protección era la denuncia a través de los teléfonos de asistencia 116 o 106 o en la comisaría de policía más cercana; </w:t>
      </w:r>
    </w:p>
    <w:p w14:paraId="5F491ACF" w14:textId="3EC4EF8C" w:rsidR="003D1CF4" w:rsidRPr="00AD54FC" w:rsidRDefault="003D1CF4" w:rsidP="003D1CF4">
      <w:pPr>
        <w:pStyle w:val="SingleTxt"/>
        <w:tabs>
          <w:tab w:val="right" w:pos="1685"/>
        </w:tabs>
        <w:ind w:left="1742" w:hanging="475"/>
        <w:rPr>
          <w:lang w:val="es-ES_tradnl"/>
        </w:rPr>
      </w:pPr>
      <w:r w:rsidRPr="00AD54FC">
        <w:rPr>
          <w:lang w:val="es-ES_tradnl"/>
        </w:rPr>
        <w:tab/>
        <w:t>•</w:t>
      </w:r>
      <w:r w:rsidRPr="00AD54FC">
        <w:rPr>
          <w:lang w:val="es-ES_tradnl"/>
        </w:rPr>
        <w:tab/>
        <w:t xml:space="preserve">Los supervisores regionales (trabajadores sociales de control) eran informados inmediatamente del caso denunciado; </w:t>
      </w:r>
    </w:p>
    <w:p w14:paraId="12965683" w14:textId="2426AF31" w:rsidR="003D1CF4" w:rsidRPr="00AD54FC" w:rsidRDefault="003D1CF4" w:rsidP="003D1CF4">
      <w:pPr>
        <w:pStyle w:val="SingleTxt"/>
        <w:tabs>
          <w:tab w:val="right" w:pos="1685"/>
        </w:tabs>
        <w:ind w:left="1742" w:hanging="475"/>
        <w:rPr>
          <w:lang w:val="es-ES_tradnl"/>
        </w:rPr>
      </w:pPr>
      <w:r w:rsidRPr="00AD54FC">
        <w:rPr>
          <w:lang w:val="es-ES_tradnl"/>
        </w:rPr>
        <w:tab/>
        <w:t>•</w:t>
      </w:r>
      <w:r w:rsidRPr="00AD54FC">
        <w:rPr>
          <w:lang w:val="es-ES_tradnl"/>
        </w:rPr>
        <w:tab/>
        <w:t>El supervisor regional del Ministerio de Igualdad de Género asigna un caso específico de violencia de género o de violencia doméstica al trabajador social designado para que lo aborde según las normas y directrices vigentes.</w:t>
      </w:r>
    </w:p>
    <w:p w14:paraId="2C8194DE" w14:textId="5E1B0954" w:rsidR="003D1CF4" w:rsidRPr="00AD54FC" w:rsidRDefault="003D1CF4" w:rsidP="003D1CF4">
      <w:pPr>
        <w:pStyle w:val="SingleTxt"/>
        <w:rPr>
          <w:lang w:val="es-ES_tradnl"/>
        </w:rPr>
      </w:pPr>
      <w:r w:rsidRPr="00AD54FC">
        <w:rPr>
          <w:lang w:val="es-ES_tradnl"/>
        </w:rPr>
        <w:t>28.</w:t>
      </w:r>
      <w:r w:rsidRPr="00AD54FC">
        <w:rPr>
          <w:lang w:val="es-ES_tradnl"/>
        </w:rPr>
        <w:tab/>
        <w:t>Sobre la base del estudio, se elaboró un nuevo plan de acción nacional prioritario para 2019-2023, titulado "Una llamada a la acción". Debido a los resultados del estudio, se iniciaron diálogos comunitarios dirigidos a los jóvenes en entornos escolares y extraescolares y a la comunidad en general. Además, las sociedades civiles redoblaron sus esfuerzos por hacer participar a los dirigentes tradicionales y a los hombres en general en cuestiones relativas a la violencia de género.</w:t>
      </w:r>
    </w:p>
    <w:p w14:paraId="0238C1BF" w14:textId="77777777" w:rsidR="003D1CF4" w:rsidRPr="00AD54FC" w:rsidRDefault="003D1CF4" w:rsidP="003D1CF4">
      <w:pPr>
        <w:pStyle w:val="SingleTxt"/>
        <w:rPr>
          <w:lang w:val="es-ES_tradnl"/>
        </w:rPr>
      </w:pPr>
      <w:r w:rsidRPr="00AD54FC">
        <w:rPr>
          <w:lang w:val="es-ES_tradnl"/>
        </w:rPr>
        <w:t>29.</w:t>
      </w:r>
      <w:r w:rsidRPr="00AD54FC">
        <w:rPr>
          <w:lang w:val="es-ES_tradnl"/>
        </w:rPr>
        <w:tab/>
        <w:t>Los materiales de la campaña sobre la violencia de género se han traducido a los idiomas locales y se han emitido en la radiotelevisión nacional. La difusión de los materiales sobre la violencia de género se ha ampliado a las emisoras de radio locales privadas.</w:t>
      </w:r>
    </w:p>
    <w:p w14:paraId="566D7F99" w14:textId="60133DAE" w:rsidR="003D1CF4" w:rsidRPr="00AD54FC" w:rsidRDefault="003D1CF4" w:rsidP="003D1CF4">
      <w:pPr>
        <w:pStyle w:val="SingleTxt"/>
        <w:rPr>
          <w:lang w:val="es-ES_tradnl"/>
        </w:rPr>
      </w:pPr>
      <w:r w:rsidRPr="00AD54FC">
        <w:rPr>
          <w:lang w:val="es-ES_tradnl"/>
        </w:rPr>
        <w:t>30.</w:t>
      </w:r>
      <w:r w:rsidRPr="00AD54FC">
        <w:rPr>
          <w:lang w:val="es-ES_tradnl"/>
        </w:rPr>
        <w:tab/>
        <w:t>Todas las víctimas de la violencia de género tienen acceso a órdenes de alejamiento y a servicios de asesoramiento y tratamiento psicosocial ofrecidos por el enfoque multisectorial de las dependencias de investigación de la violencia de género.</w:t>
      </w:r>
    </w:p>
    <w:p w14:paraId="6587A243" w14:textId="77777777" w:rsidR="003D1CF4" w:rsidRPr="00AD54FC" w:rsidRDefault="003D1CF4" w:rsidP="003D1CF4">
      <w:pPr>
        <w:pStyle w:val="SingleTxt"/>
        <w:spacing w:after="0" w:line="120" w:lineRule="exact"/>
        <w:rPr>
          <w:sz w:val="10"/>
          <w:lang w:val="es-ES_tradnl"/>
        </w:rPr>
      </w:pPr>
    </w:p>
    <w:p w14:paraId="1565220F" w14:textId="77777777" w:rsidR="003D1CF4" w:rsidRPr="00AD54FC" w:rsidRDefault="003D1CF4" w:rsidP="003D1CF4">
      <w:pPr>
        <w:pStyle w:val="SingleTxt"/>
        <w:spacing w:after="0" w:line="120" w:lineRule="exact"/>
        <w:rPr>
          <w:sz w:val="10"/>
          <w:lang w:val="es-ES_tradnl"/>
        </w:rPr>
      </w:pPr>
    </w:p>
    <w:p w14:paraId="41C4E7CD" w14:textId="1F68DFF9" w:rsidR="003D1CF4" w:rsidRPr="00AD54FC" w:rsidRDefault="003D1CF4" w:rsidP="003D1CF4">
      <w:pPr>
        <w:pStyle w:val="H1"/>
        <w:ind w:right="1260"/>
        <w:rPr>
          <w:lang w:val="es-ES_tradnl"/>
        </w:rPr>
      </w:pPr>
      <w:r w:rsidRPr="00AD54FC">
        <w:rPr>
          <w:lang w:val="es-ES_tradnl"/>
        </w:rPr>
        <w:tab/>
      </w:r>
      <w:r w:rsidRPr="00AD54FC">
        <w:rPr>
          <w:lang w:val="es-ES_tradnl"/>
        </w:rPr>
        <w:tab/>
      </w:r>
      <w:r w:rsidRPr="00AD54FC">
        <w:rPr>
          <w:bCs/>
          <w:lang w:val="es-ES_tradnl"/>
        </w:rPr>
        <w:t>Información</w:t>
      </w:r>
      <w:r w:rsidRPr="00AD54FC">
        <w:rPr>
          <w:lang w:val="es-ES_tradnl"/>
        </w:rPr>
        <w:t xml:space="preserve"> </w:t>
      </w:r>
    </w:p>
    <w:p w14:paraId="7F282DF1" w14:textId="77777777" w:rsidR="003D1CF4" w:rsidRPr="00AD54FC" w:rsidRDefault="003D1CF4" w:rsidP="003D1CF4">
      <w:pPr>
        <w:pStyle w:val="SingleTxt"/>
        <w:spacing w:after="0" w:line="120" w:lineRule="exact"/>
        <w:rPr>
          <w:sz w:val="10"/>
          <w:lang w:val="es-ES_tradnl"/>
        </w:rPr>
      </w:pPr>
    </w:p>
    <w:p w14:paraId="5A69AC8B" w14:textId="77777777" w:rsidR="003D1CF4" w:rsidRPr="00AD54FC" w:rsidRDefault="003D1CF4" w:rsidP="003D1CF4">
      <w:pPr>
        <w:pStyle w:val="SingleTxt"/>
        <w:spacing w:after="0" w:line="120" w:lineRule="exact"/>
        <w:rPr>
          <w:sz w:val="10"/>
          <w:lang w:val="es-ES_tradnl"/>
        </w:rPr>
      </w:pPr>
    </w:p>
    <w:p w14:paraId="39FD7E70" w14:textId="43777FAB" w:rsidR="003D1CF4" w:rsidRPr="00AD54FC" w:rsidRDefault="003D1CF4" w:rsidP="003D1CF4">
      <w:pPr>
        <w:pStyle w:val="SingleTxt"/>
        <w:rPr>
          <w:lang w:val="es-ES_tradnl"/>
        </w:rPr>
      </w:pPr>
      <w:r w:rsidRPr="00AD54FC">
        <w:rPr>
          <w:lang w:val="es-ES_tradnl"/>
        </w:rPr>
        <w:t>31.</w:t>
      </w:r>
      <w:r w:rsidRPr="00AD54FC">
        <w:rPr>
          <w:lang w:val="es-ES_tradnl"/>
        </w:rPr>
        <w:tab/>
        <w:t xml:space="preserve">En el próximo informe periódico se facilitará información detallada sobre esta consulta. </w:t>
      </w:r>
    </w:p>
    <w:p w14:paraId="4CE855CB" w14:textId="77777777" w:rsidR="003D1CF4" w:rsidRPr="00AD54FC" w:rsidRDefault="003D1CF4" w:rsidP="003D1CF4">
      <w:pPr>
        <w:pStyle w:val="SingleTxt"/>
        <w:rPr>
          <w:lang w:val="es-ES_tradnl"/>
        </w:rPr>
      </w:pPr>
      <w:r w:rsidRPr="00AD54FC">
        <w:rPr>
          <w:lang w:val="es-ES_tradnl"/>
        </w:rPr>
        <w:t>32.</w:t>
      </w:r>
      <w:r w:rsidRPr="00AD54FC">
        <w:rPr>
          <w:lang w:val="es-ES_tradnl"/>
        </w:rPr>
        <w:tab/>
        <w:t xml:space="preserve">La Ley de Lucha contra la Violación (Ley núm. 8 de 2000) sigue siendo objeto de revisión y se encuentra actualmente en trámite parlamentario para posibles modificaciones. </w:t>
      </w:r>
    </w:p>
    <w:p w14:paraId="0830350D" w14:textId="77777777" w:rsidR="003D1CF4" w:rsidRPr="00AD54FC" w:rsidRDefault="003D1CF4" w:rsidP="003D1CF4">
      <w:pPr>
        <w:pStyle w:val="SingleTxt"/>
        <w:rPr>
          <w:lang w:val="es-ES_tradnl"/>
        </w:rPr>
      </w:pPr>
      <w:r w:rsidRPr="00AD54FC">
        <w:rPr>
          <w:lang w:val="es-ES_tradnl"/>
        </w:rPr>
        <w:t>33.</w:t>
      </w:r>
      <w:r w:rsidRPr="00AD54FC">
        <w:rPr>
          <w:lang w:val="es-ES_tradnl"/>
        </w:rPr>
        <w:tab/>
        <w:t xml:space="preserve">En el próximo informe periódico se facilitará información detallada sobre esta consulta. </w:t>
      </w:r>
    </w:p>
    <w:p w14:paraId="4E627148" w14:textId="77777777" w:rsidR="003D1CF4" w:rsidRPr="00AD54FC" w:rsidRDefault="003D1CF4" w:rsidP="003D1CF4">
      <w:pPr>
        <w:pStyle w:val="SingleTxt"/>
        <w:spacing w:after="0" w:line="120" w:lineRule="exact"/>
        <w:rPr>
          <w:sz w:val="10"/>
          <w:lang w:val="es-ES_tradnl"/>
        </w:rPr>
      </w:pPr>
    </w:p>
    <w:p w14:paraId="7B236A48" w14:textId="77777777" w:rsidR="003D1CF4" w:rsidRPr="00AD54FC" w:rsidRDefault="003D1CF4" w:rsidP="003D1CF4">
      <w:pPr>
        <w:pStyle w:val="SingleTxt"/>
        <w:spacing w:after="0" w:line="120" w:lineRule="exact"/>
        <w:rPr>
          <w:sz w:val="10"/>
          <w:lang w:val="es-ES_tradnl"/>
        </w:rPr>
      </w:pPr>
    </w:p>
    <w:p w14:paraId="3C6FE134" w14:textId="31A0A695" w:rsidR="003D1CF4" w:rsidRPr="00AD54FC" w:rsidRDefault="003D1CF4" w:rsidP="003D1CF4">
      <w:pPr>
        <w:pStyle w:val="H1"/>
        <w:ind w:right="1260"/>
        <w:rPr>
          <w:lang w:val="es-ES_tradnl"/>
        </w:rPr>
      </w:pPr>
      <w:r w:rsidRPr="00AD54FC">
        <w:rPr>
          <w:lang w:val="es-ES_tradnl"/>
        </w:rPr>
        <w:tab/>
      </w:r>
      <w:r w:rsidRPr="00AD54FC">
        <w:rPr>
          <w:lang w:val="es-ES_tradnl"/>
        </w:rPr>
        <w:tab/>
      </w:r>
      <w:r w:rsidRPr="00AD54FC">
        <w:rPr>
          <w:bCs/>
          <w:lang w:val="es-ES_tradnl"/>
        </w:rPr>
        <w:t>Refugios</w:t>
      </w:r>
    </w:p>
    <w:p w14:paraId="64555C8B" w14:textId="77777777" w:rsidR="003D1CF4" w:rsidRPr="00AD54FC" w:rsidRDefault="003D1CF4" w:rsidP="003D1CF4">
      <w:pPr>
        <w:pStyle w:val="SingleTxt"/>
        <w:spacing w:after="0" w:line="120" w:lineRule="exact"/>
        <w:rPr>
          <w:sz w:val="10"/>
          <w:lang w:val="es-ES_tradnl"/>
        </w:rPr>
      </w:pPr>
    </w:p>
    <w:p w14:paraId="6A7394DD" w14:textId="77777777" w:rsidR="003D1CF4" w:rsidRPr="00AD54FC" w:rsidRDefault="003D1CF4" w:rsidP="003D1CF4">
      <w:pPr>
        <w:pStyle w:val="SingleTxt"/>
        <w:spacing w:after="0" w:line="120" w:lineRule="exact"/>
        <w:rPr>
          <w:sz w:val="10"/>
          <w:lang w:val="es-ES_tradnl"/>
        </w:rPr>
      </w:pPr>
    </w:p>
    <w:p w14:paraId="2B1F6B8C" w14:textId="27795633" w:rsidR="003D1CF4" w:rsidRPr="00AD54FC" w:rsidRDefault="003D1CF4" w:rsidP="003D1CF4">
      <w:pPr>
        <w:pStyle w:val="SingleTxt"/>
        <w:rPr>
          <w:lang w:val="es-ES_tradnl"/>
        </w:rPr>
      </w:pPr>
      <w:r w:rsidRPr="00AD54FC">
        <w:rPr>
          <w:lang w:val="es-ES_tradnl"/>
        </w:rPr>
        <w:t>34.</w:t>
      </w:r>
      <w:r w:rsidRPr="00AD54FC">
        <w:rPr>
          <w:lang w:val="es-ES_tradnl"/>
        </w:rPr>
        <w:tab/>
        <w:t>A fin de prestar servicios integrales eficaces a las víctimas de la violencia de género y a sus familias, el Gobierno, por conducto del Ministerio de Seguridad, ha establecido 17 dependencias de protección contra la violencia de género en 14 regiones. Las dependencias adoptan un enfoque multisectorial y en ellas participan los siguientes ministerios:</w:t>
      </w:r>
    </w:p>
    <w:p w14:paraId="6F6DA3A9" w14:textId="6F22CC15" w:rsidR="003D1CF4" w:rsidRPr="00AD54FC" w:rsidRDefault="003D1CF4" w:rsidP="003D1CF4">
      <w:pPr>
        <w:pStyle w:val="SingleTxt"/>
        <w:tabs>
          <w:tab w:val="right" w:pos="1685"/>
        </w:tabs>
        <w:ind w:left="1742" w:hanging="475"/>
        <w:rPr>
          <w:spacing w:val="2"/>
          <w:w w:val="102"/>
          <w:lang w:val="es-ES_tradnl"/>
        </w:rPr>
      </w:pPr>
      <w:r w:rsidRPr="00AD54FC">
        <w:rPr>
          <w:lang w:val="es-ES_tradnl"/>
        </w:rPr>
        <w:tab/>
        <w:t>•</w:t>
      </w:r>
      <w:r w:rsidRPr="00AD54FC">
        <w:rPr>
          <w:lang w:val="es-ES_tradnl"/>
        </w:rPr>
        <w:tab/>
        <w:t>Ministerio de Igualdad de Género y Bienestar Infantil, responsable de los servicios de apoyo psicosocial;</w:t>
      </w:r>
    </w:p>
    <w:p w14:paraId="5C2C8760" w14:textId="24FC2DC1" w:rsidR="003D1CF4" w:rsidRPr="00AD54FC" w:rsidRDefault="003D1CF4" w:rsidP="003D1CF4">
      <w:pPr>
        <w:pStyle w:val="SingleTxt"/>
        <w:tabs>
          <w:tab w:val="right" w:pos="1685"/>
        </w:tabs>
        <w:ind w:left="1742" w:hanging="475"/>
        <w:rPr>
          <w:lang w:val="es-ES_tradnl"/>
        </w:rPr>
      </w:pPr>
      <w:r w:rsidRPr="00AD54FC">
        <w:rPr>
          <w:lang w:val="es-ES_tradnl"/>
        </w:rPr>
        <w:tab/>
        <w:t>•</w:t>
      </w:r>
      <w:r w:rsidRPr="00AD54FC">
        <w:rPr>
          <w:lang w:val="es-ES_tradnl"/>
        </w:rPr>
        <w:tab/>
        <w:t>Ministerio de Seguridad, responsable de los servicios de protección; y</w:t>
      </w:r>
    </w:p>
    <w:p w14:paraId="335246D1" w14:textId="7973FCC8" w:rsidR="003D1CF4" w:rsidRPr="00AD54FC" w:rsidRDefault="003D1CF4" w:rsidP="003D1CF4">
      <w:pPr>
        <w:pStyle w:val="SingleTxt"/>
        <w:tabs>
          <w:tab w:val="right" w:pos="1685"/>
        </w:tabs>
        <w:ind w:left="1742" w:hanging="475"/>
        <w:rPr>
          <w:lang w:val="es-ES_tradnl"/>
        </w:rPr>
      </w:pPr>
      <w:r w:rsidRPr="00AD54FC">
        <w:rPr>
          <w:lang w:val="es-ES_tradnl"/>
        </w:rPr>
        <w:tab/>
        <w:t>•</w:t>
      </w:r>
      <w:r w:rsidRPr="00AD54FC">
        <w:rPr>
          <w:lang w:val="es-ES_tradnl"/>
        </w:rPr>
        <w:tab/>
        <w:t>Ministerio de Salud y Servicios Sociales, responsable de los servicios de atención y tratamiento.</w:t>
      </w:r>
    </w:p>
    <w:p w14:paraId="76738AB4" w14:textId="77777777" w:rsidR="003D1CF4" w:rsidRPr="00AD54FC" w:rsidRDefault="003D1CF4" w:rsidP="003D1CF4">
      <w:pPr>
        <w:pStyle w:val="SingleTxt"/>
        <w:rPr>
          <w:spacing w:val="2"/>
          <w:lang w:val="es-ES_tradnl"/>
        </w:rPr>
      </w:pPr>
      <w:r w:rsidRPr="00AD54FC">
        <w:rPr>
          <w:spacing w:val="2"/>
          <w:lang w:val="es-ES_tradnl"/>
        </w:rPr>
        <w:t>35.</w:t>
      </w:r>
      <w:r w:rsidRPr="00AD54FC">
        <w:rPr>
          <w:spacing w:val="2"/>
          <w:lang w:val="es-ES_tradnl"/>
        </w:rPr>
        <w:tab/>
        <w:t xml:space="preserve">En lo que respecta al establecimiento de refugios temporales para las supervivientes de la violencia de género y las víctimas de la trata, el Ministerio de Igualdad de Género y Bienestar Infantil y las partes interesadas han establecido refugios en nueve regiones. En 2018 se renovaron tres refugios para acoger a las víctimas de la trata de personas. Los procedimientos operativos estándar sobre la violencia de género y la puesta en funcionamiento de refugios también se concluyeron en 2018 para facilitar la remisión de los casos de violencia de género, incluidas las víctimas de la trata de personas. La organización </w:t>
      </w:r>
      <w:proofErr w:type="spellStart"/>
      <w:r w:rsidRPr="00AD54FC">
        <w:rPr>
          <w:spacing w:val="2"/>
          <w:lang w:val="es-ES_tradnl"/>
        </w:rPr>
        <w:t>LifeLine</w:t>
      </w:r>
      <w:proofErr w:type="spellEnd"/>
      <w:r w:rsidRPr="00AD54FC">
        <w:rPr>
          <w:spacing w:val="2"/>
          <w:lang w:val="es-ES_tradnl"/>
        </w:rPr>
        <w:t>/</w:t>
      </w:r>
      <w:proofErr w:type="spellStart"/>
      <w:r w:rsidRPr="00AD54FC">
        <w:rPr>
          <w:spacing w:val="2"/>
          <w:lang w:val="es-ES_tradnl"/>
        </w:rPr>
        <w:t>ChildLine</w:t>
      </w:r>
      <w:proofErr w:type="spellEnd"/>
      <w:r w:rsidRPr="00AD54FC">
        <w:rPr>
          <w:spacing w:val="2"/>
          <w:lang w:val="es-ES_tradnl"/>
        </w:rPr>
        <w:t xml:space="preserve"> también cuenta con un teléfono de asistencia para las víctimas de la violencia de género (106) que complementa la labor de la Policía de Namibia ofreciendo servicios de asesoramiento y remitiendo a la Policía de Namibia los casos de violencia de género y de trata de personas.</w:t>
      </w:r>
    </w:p>
    <w:p w14:paraId="499CFFDF" w14:textId="77777777" w:rsidR="003D1CF4" w:rsidRPr="00AD54FC" w:rsidRDefault="003D1CF4" w:rsidP="003D1CF4">
      <w:pPr>
        <w:pStyle w:val="SingleTxt"/>
        <w:rPr>
          <w:lang w:val="es-ES_tradnl"/>
        </w:rPr>
      </w:pPr>
      <w:r w:rsidRPr="00AD54FC">
        <w:rPr>
          <w:lang w:val="es-ES_tradnl"/>
        </w:rPr>
        <w:t>36.</w:t>
      </w:r>
      <w:r w:rsidRPr="00AD54FC">
        <w:rPr>
          <w:lang w:val="es-ES_tradnl"/>
        </w:rPr>
        <w:tab/>
        <w:t>La pandemia de COVID-19 ha afectado a la puesta en funcionamiento de estos refugios; no obstante, hay tres refugios privados, parcialmente financiados por el Gobierno, que están plenamente operativos.</w:t>
      </w:r>
    </w:p>
    <w:p w14:paraId="5B7A6075" w14:textId="77777777" w:rsidR="003D1CF4" w:rsidRPr="00AD54FC" w:rsidRDefault="003D1CF4" w:rsidP="003D1CF4">
      <w:pPr>
        <w:pStyle w:val="SingleTxt"/>
        <w:spacing w:after="0" w:line="120" w:lineRule="exact"/>
        <w:rPr>
          <w:sz w:val="10"/>
          <w:lang w:val="es-ES_tradnl"/>
        </w:rPr>
      </w:pPr>
    </w:p>
    <w:p w14:paraId="4725D34A" w14:textId="77777777" w:rsidR="003D1CF4" w:rsidRPr="00AD54FC" w:rsidRDefault="003D1CF4" w:rsidP="003D1CF4">
      <w:pPr>
        <w:pStyle w:val="SingleTxt"/>
        <w:spacing w:after="0" w:line="120" w:lineRule="exact"/>
        <w:rPr>
          <w:sz w:val="10"/>
          <w:lang w:val="es-ES_tradnl"/>
        </w:rPr>
      </w:pPr>
    </w:p>
    <w:p w14:paraId="2710D7D1" w14:textId="00D359BA" w:rsidR="003D1CF4" w:rsidRPr="00AD54FC" w:rsidRDefault="003D1CF4" w:rsidP="003D1CF4">
      <w:pPr>
        <w:pStyle w:val="H1"/>
        <w:ind w:right="1260"/>
        <w:rPr>
          <w:lang w:val="es-ES_tradnl"/>
        </w:rPr>
      </w:pPr>
      <w:r w:rsidRPr="00AD54FC">
        <w:rPr>
          <w:lang w:val="es-ES_tradnl"/>
        </w:rPr>
        <w:tab/>
      </w:r>
      <w:r w:rsidRPr="00AD54FC">
        <w:rPr>
          <w:lang w:val="es-ES_tradnl"/>
        </w:rPr>
        <w:tab/>
      </w:r>
      <w:r w:rsidRPr="00AD54FC">
        <w:rPr>
          <w:bCs/>
          <w:lang w:val="es-ES_tradnl"/>
        </w:rPr>
        <w:t>Trata y explotación de la prostitución</w:t>
      </w:r>
      <w:r w:rsidRPr="00AD54FC">
        <w:rPr>
          <w:lang w:val="es-ES_tradnl"/>
        </w:rPr>
        <w:t xml:space="preserve"> </w:t>
      </w:r>
    </w:p>
    <w:p w14:paraId="39AC120C" w14:textId="77777777" w:rsidR="003D1CF4" w:rsidRPr="00AD54FC" w:rsidRDefault="003D1CF4" w:rsidP="003D1CF4">
      <w:pPr>
        <w:pStyle w:val="SingleTxt"/>
        <w:spacing w:after="0" w:line="120" w:lineRule="exact"/>
        <w:rPr>
          <w:sz w:val="10"/>
          <w:lang w:val="es-ES_tradnl"/>
        </w:rPr>
      </w:pPr>
    </w:p>
    <w:p w14:paraId="5A2FD48E" w14:textId="77777777" w:rsidR="003D1CF4" w:rsidRPr="00AD54FC" w:rsidRDefault="003D1CF4" w:rsidP="003D1CF4">
      <w:pPr>
        <w:pStyle w:val="SingleTxt"/>
        <w:spacing w:after="0" w:line="120" w:lineRule="exact"/>
        <w:rPr>
          <w:sz w:val="10"/>
          <w:lang w:val="es-ES_tradnl"/>
        </w:rPr>
      </w:pPr>
    </w:p>
    <w:p w14:paraId="4C34438B" w14:textId="193D27E2" w:rsidR="003D1CF4" w:rsidRPr="00AD54FC" w:rsidRDefault="003D1CF4" w:rsidP="003D1CF4">
      <w:pPr>
        <w:pStyle w:val="SingleTxt"/>
        <w:rPr>
          <w:lang w:val="es-ES_tradnl"/>
        </w:rPr>
      </w:pPr>
      <w:r w:rsidRPr="00AD54FC">
        <w:rPr>
          <w:lang w:val="es-ES_tradnl"/>
        </w:rPr>
        <w:t>37.</w:t>
      </w:r>
      <w:r w:rsidRPr="00AD54FC">
        <w:rPr>
          <w:lang w:val="es-ES_tradnl"/>
        </w:rPr>
        <w:tab/>
        <w:t xml:space="preserve">En el próximo informe periódico se facilitará información detallada sobre esta consulta. </w:t>
      </w:r>
    </w:p>
    <w:p w14:paraId="0C100471" w14:textId="77777777" w:rsidR="003D1CF4" w:rsidRPr="00AD54FC" w:rsidRDefault="003D1CF4" w:rsidP="003D1CF4">
      <w:pPr>
        <w:pStyle w:val="SingleTxt"/>
        <w:rPr>
          <w:lang w:val="es-ES_tradnl"/>
        </w:rPr>
      </w:pPr>
      <w:r w:rsidRPr="00AD54FC">
        <w:rPr>
          <w:lang w:val="es-ES_tradnl"/>
        </w:rPr>
        <w:t>38.</w:t>
      </w:r>
      <w:r w:rsidRPr="00AD54FC">
        <w:rPr>
          <w:lang w:val="es-ES_tradnl"/>
        </w:rPr>
        <w:tab/>
        <w:t>Namibia proporcionó asistencia directa a las víctimas de la trata. El apoyo y la asistencia incluyeron servicios médicos, de alojamiento, de salud mental, de transporte, de asistencia educativa, de reintegración y de retorno seguro.</w:t>
      </w:r>
    </w:p>
    <w:p w14:paraId="5D870777" w14:textId="77777777" w:rsidR="003D1CF4" w:rsidRPr="00AD54FC" w:rsidRDefault="003D1CF4" w:rsidP="003D1CF4">
      <w:pPr>
        <w:pStyle w:val="SingleTxt"/>
        <w:rPr>
          <w:lang w:val="es-ES_tradnl"/>
        </w:rPr>
      </w:pPr>
      <w:r w:rsidRPr="00AD54FC">
        <w:rPr>
          <w:lang w:val="es-ES_tradnl"/>
        </w:rPr>
        <w:t>39.</w:t>
      </w:r>
      <w:r w:rsidRPr="00AD54FC">
        <w:rPr>
          <w:lang w:val="es-ES_tradnl"/>
        </w:rPr>
        <w:tab/>
        <w:t xml:space="preserve">La campaña, que continúa por todo el país, fue puesta en marcha por la Vice Primera </w:t>
      </w:r>
      <w:proofErr w:type="gramStart"/>
      <w:r w:rsidRPr="00AD54FC">
        <w:rPr>
          <w:lang w:val="es-ES_tradnl"/>
        </w:rPr>
        <w:t>Ministra</w:t>
      </w:r>
      <w:proofErr w:type="gramEnd"/>
      <w:r w:rsidRPr="00AD54FC">
        <w:rPr>
          <w:lang w:val="es-ES_tradnl"/>
        </w:rPr>
        <w:t xml:space="preserve"> y Ministra de Relaciones Internacionales y Cooperación el 29 de marzo de 2019. El material de la campaña incluía bolígrafos, estuches de lápices, carteles, vallas publicitarias, cordones y pulseras con la etiqueta: "Abrid los ojos, namibios, la trata de personas existe". La campaña se está ampliando a todos los puertos de entrada.</w:t>
      </w:r>
    </w:p>
    <w:p w14:paraId="203644B6" w14:textId="77777777" w:rsidR="003D1CF4" w:rsidRPr="00AD54FC" w:rsidRDefault="003D1CF4" w:rsidP="003D1CF4">
      <w:pPr>
        <w:pStyle w:val="SingleTxt"/>
        <w:rPr>
          <w:lang w:val="es-ES_tradnl"/>
        </w:rPr>
      </w:pPr>
      <w:r w:rsidRPr="00AD54FC">
        <w:rPr>
          <w:lang w:val="es-ES_tradnl"/>
        </w:rPr>
        <w:t>40.</w:t>
      </w:r>
      <w:r w:rsidRPr="00AD54FC">
        <w:rPr>
          <w:lang w:val="es-ES_tradnl"/>
        </w:rPr>
        <w:tab/>
        <w:t>El Gobierno, con el apoyo de la Organización Internacional para las Migraciones, ha mejorado tres refugios para acoger tanto a supervivientes de la violencia de género como a víctimas de la trata de personas.</w:t>
      </w:r>
    </w:p>
    <w:p w14:paraId="5CF6C3D8" w14:textId="77777777" w:rsidR="003D1CF4" w:rsidRPr="00AD54FC" w:rsidRDefault="003D1CF4" w:rsidP="003D1CF4">
      <w:pPr>
        <w:pStyle w:val="SingleTxt"/>
        <w:rPr>
          <w:lang w:val="es-ES_tradnl"/>
        </w:rPr>
      </w:pPr>
      <w:r w:rsidRPr="00AD54FC">
        <w:rPr>
          <w:lang w:val="es-ES_tradnl"/>
        </w:rPr>
        <w:t>41.</w:t>
      </w:r>
      <w:r w:rsidRPr="00AD54FC">
        <w:rPr>
          <w:lang w:val="es-ES_tradnl"/>
        </w:rPr>
        <w:tab/>
        <w:t xml:space="preserve">En el próximo informe periódico se facilitará información detallada sobre esta consulta. </w:t>
      </w:r>
    </w:p>
    <w:p w14:paraId="51F93E17" w14:textId="77777777" w:rsidR="003D1CF4" w:rsidRPr="00AD54FC" w:rsidRDefault="003D1CF4" w:rsidP="003D1CF4">
      <w:pPr>
        <w:pStyle w:val="SingleTxt"/>
        <w:spacing w:after="0" w:line="120" w:lineRule="exact"/>
        <w:rPr>
          <w:sz w:val="10"/>
          <w:lang w:val="es-ES_tradnl"/>
        </w:rPr>
      </w:pPr>
    </w:p>
    <w:p w14:paraId="7BBCE579" w14:textId="77777777" w:rsidR="003D1CF4" w:rsidRPr="00AD54FC" w:rsidRDefault="003D1CF4" w:rsidP="003D1CF4">
      <w:pPr>
        <w:pStyle w:val="SingleTxt"/>
        <w:spacing w:after="0" w:line="120" w:lineRule="exact"/>
        <w:rPr>
          <w:sz w:val="10"/>
          <w:lang w:val="es-ES_tradnl"/>
        </w:rPr>
      </w:pPr>
    </w:p>
    <w:p w14:paraId="01C42B7C" w14:textId="61CFCB73" w:rsidR="003D1CF4" w:rsidRPr="00AD54FC" w:rsidRDefault="003D1CF4" w:rsidP="003D1CF4">
      <w:pPr>
        <w:pStyle w:val="H1"/>
        <w:ind w:right="1260"/>
        <w:rPr>
          <w:lang w:val="es-ES_tradnl"/>
        </w:rPr>
      </w:pPr>
      <w:r w:rsidRPr="00AD54FC">
        <w:rPr>
          <w:lang w:val="es-ES_tradnl"/>
        </w:rPr>
        <w:tab/>
      </w:r>
      <w:r w:rsidRPr="00AD54FC">
        <w:rPr>
          <w:lang w:val="es-ES_tradnl"/>
        </w:rPr>
        <w:tab/>
      </w:r>
      <w:r w:rsidRPr="00AD54FC">
        <w:rPr>
          <w:bCs/>
          <w:lang w:val="es-ES_tradnl"/>
        </w:rPr>
        <w:t>Participación en la vida política y pública</w:t>
      </w:r>
    </w:p>
    <w:p w14:paraId="09D53468" w14:textId="77777777" w:rsidR="003D1CF4" w:rsidRPr="00AD54FC" w:rsidRDefault="003D1CF4" w:rsidP="003D1CF4">
      <w:pPr>
        <w:pStyle w:val="SingleTxt"/>
        <w:spacing w:after="0" w:line="120" w:lineRule="exact"/>
        <w:rPr>
          <w:sz w:val="10"/>
          <w:lang w:val="es-ES_tradnl"/>
        </w:rPr>
      </w:pPr>
    </w:p>
    <w:p w14:paraId="136D299C" w14:textId="77777777" w:rsidR="003D1CF4" w:rsidRPr="00AD54FC" w:rsidRDefault="003D1CF4" w:rsidP="003D1CF4">
      <w:pPr>
        <w:pStyle w:val="SingleTxt"/>
        <w:spacing w:after="0" w:line="120" w:lineRule="exact"/>
        <w:rPr>
          <w:sz w:val="10"/>
          <w:lang w:val="es-ES_tradnl"/>
        </w:rPr>
      </w:pPr>
    </w:p>
    <w:p w14:paraId="5DC4EABE" w14:textId="5348302E"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La mujer en la política y la adopción de decisiones</w:t>
      </w:r>
    </w:p>
    <w:p w14:paraId="3FF7E5CC" w14:textId="77777777" w:rsidR="003D1CF4" w:rsidRPr="00AD54FC" w:rsidRDefault="003D1CF4" w:rsidP="003D1CF4">
      <w:pPr>
        <w:pStyle w:val="SingleTxt"/>
        <w:spacing w:after="0" w:line="120" w:lineRule="exact"/>
        <w:rPr>
          <w:sz w:val="10"/>
          <w:lang w:val="es-ES_tradnl"/>
        </w:rPr>
      </w:pPr>
    </w:p>
    <w:p w14:paraId="666E6BCA" w14:textId="68F359EE" w:rsidR="003D1CF4" w:rsidRPr="00AD54FC" w:rsidRDefault="003D1CF4" w:rsidP="003D1CF4">
      <w:pPr>
        <w:pStyle w:val="SingleTxt"/>
        <w:rPr>
          <w:spacing w:val="2"/>
          <w:w w:val="102"/>
          <w:lang w:val="es-ES_tradnl"/>
        </w:rPr>
      </w:pPr>
      <w:r w:rsidRPr="00AD54FC">
        <w:rPr>
          <w:lang w:val="es-ES_tradnl"/>
        </w:rPr>
        <w:t>42.</w:t>
      </w:r>
      <w:r w:rsidRPr="00AD54FC">
        <w:rPr>
          <w:lang w:val="es-ES_tradnl"/>
        </w:rPr>
        <w:tab/>
        <w:t xml:space="preserve">Namibia ha alcanzado importantes logros en cuanto a la participación de las mujeres en la política y en los puestos decisorios, especialmente la mejora de la representación femenina en la Asamblea Nacional, que ha pasado del 25,6 % en 2014 al 41,7 % en la actualidad; el 48 % de los concejales; el 47 % de los viceministros, etcétera. Las mujeres también ocupan los cargos de </w:t>
      </w:r>
      <w:proofErr w:type="gramStart"/>
      <w:r w:rsidRPr="00AD54FC">
        <w:rPr>
          <w:lang w:val="es-ES_tradnl"/>
        </w:rPr>
        <w:t>Primera Ministra</w:t>
      </w:r>
      <w:proofErr w:type="gramEnd"/>
      <w:r w:rsidRPr="00AD54FC">
        <w:rPr>
          <w:lang w:val="es-ES_tradnl"/>
        </w:rPr>
        <w:t>, Vice Primera Ministra, Presidenta del Consejo Nacional y Vicepresidenta de la Asamblea Nacional. Namibia recibió el premio de la campaña "</w:t>
      </w:r>
      <w:proofErr w:type="spellStart"/>
      <w:r w:rsidRPr="00AD54FC">
        <w:rPr>
          <w:lang w:val="es-ES_tradnl"/>
        </w:rPr>
        <w:t>Gender</w:t>
      </w:r>
      <w:proofErr w:type="spellEnd"/>
      <w:r w:rsidRPr="00AD54FC">
        <w:rPr>
          <w:lang w:val="es-ES_tradnl"/>
        </w:rPr>
        <w:t xml:space="preserve"> </w:t>
      </w:r>
      <w:proofErr w:type="spellStart"/>
      <w:r w:rsidRPr="00AD54FC">
        <w:rPr>
          <w:lang w:val="es-ES_tradnl"/>
        </w:rPr>
        <w:t>Is</w:t>
      </w:r>
      <w:proofErr w:type="spellEnd"/>
      <w:r w:rsidRPr="00AD54FC">
        <w:rPr>
          <w:lang w:val="es-ES_tradnl"/>
        </w:rPr>
        <w:t xml:space="preserve"> </w:t>
      </w:r>
      <w:proofErr w:type="spellStart"/>
      <w:r w:rsidRPr="00AD54FC">
        <w:rPr>
          <w:lang w:val="es-ES_tradnl"/>
        </w:rPr>
        <w:t>My</w:t>
      </w:r>
      <w:proofErr w:type="spellEnd"/>
      <w:r w:rsidRPr="00AD54FC">
        <w:rPr>
          <w:lang w:val="es-ES_tradnl"/>
        </w:rPr>
        <w:t xml:space="preserve"> Agenda" de 2017, como reconocimiento a los avances realizados en la promoción de la igualdad de género, el empoderamiento de las mujeres y el fomento de la representación de las mujeres en los principales puestos decisorios. Además, Namibia ha sido galardonada con el premio al mejor país africano por los progresos alcanzados en la integración de la igualdad de género en la lucha contra la corrupción.</w:t>
      </w:r>
    </w:p>
    <w:p w14:paraId="04DA8476" w14:textId="77777777" w:rsidR="003D1CF4" w:rsidRPr="00AD54FC" w:rsidRDefault="003D1CF4" w:rsidP="003D1CF4">
      <w:pPr>
        <w:pStyle w:val="SingleTxt"/>
        <w:spacing w:after="0" w:line="120" w:lineRule="exact"/>
        <w:rPr>
          <w:sz w:val="10"/>
          <w:lang w:val="es-ES_tradnl"/>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5"/>
        <w:gridCol w:w="4925"/>
      </w:tblGrid>
      <w:tr w:rsidR="003D1CF4" w:rsidRPr="00AD54FC" w14:paraId="383C8B3C" w14:textId="77777777" w:rsidTr="003D1CF4">
        <w:trPr>
          <w:tblHeader/>
        </w:trPr>
        <w:tc>
          <w:tcPr>
            <w:tcW w:w="4925" w:type="dxa"/>
            <w:tcBorders>
              <w:top w:val="single" w:sz="4" w:space="0" w:color="auto"/>
              <w:bottom w:val="single" w:sz="12" w:space="0" w:color="auto"/>
            </w:tcBorders>
            <w:shd w:val="clear" w:color="auto" w:fill="auto"/>
            <w:vAlign w:val="bottom"/>
          </w:tcPr>
          <w:p w14:paraId="15D197D9"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szCs w:val="14"/>
                <w:lang w:val="es-ES_tradnl"/>
              </w:rPr>
            </w:pPr>
            <w:r w:rsidRPr="00AD54FC">
              <w:rPr>
                <w:i/>
                <w:iCs/>
                <w:sz w:val="14"/>
                <w:szCs w:val="14"/>
                <w:lang w:val="es-ES_tradnl"/>
              </w:rPr>
              <w:t>Decisiones</w:t>
            </w:r>
          </w:p>
        </w:tc>
        <w:tc>
          <w:tcPr>
            <w:tcW w:w="4925" w:type="dxa"/>
            <w:tcBorders>
              <w:top w:val="single" w:sz="4" w:space="0" w:color="auto"/>
              <w:bottom w:val="single" w:sz="12" w:space="0" w:color="auto"/>
            </w:tcBorders>
            <w:shd w:val="clear" w:color="auto" w:fill="auto"/>
            <w:vAlign w:val="bottom"/>
          </w:tcPr>
          <w:p w14:paraId="24BB15B5"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4"/>
                <w:lang w:val="es-ES_tradnl"/>
              </w:rPr>
            </w:pPr>
            <w:r w:rsidRPr="00AD54FC">
              <w:rPr>
                <w:i/>
                <w:iCs/>
                <w:sz w:val="14"/>
                <w:szCs w:val="14"/>
                <w:lang w:val="es-ES_tradnl"/>
              </w:rPr>
              <w:t>Explicación y medidas clave</w:t>
            </w:r>
            <w:r w:rsidRPr="00AD54FC">
              <w:rPr>
                <w:sz w:val="14"/>
                <w:szCs w:val="14"/>
                <w:lang w:val="es-ES_tradnl"/>
              </w:rPr>
              <w:t xml:space="preserve"> </w:t>
            </w:r>
          </w:p>
        </w:tc>
      </w:tr>
      <w:tr w:rsidR="003D1CF4" w:rsidRPr="00AD54FC" w14:paraId="415DA143" w14:textId="77777777" w:rsidTr="003D1CF4">
        <w:trPr>
          <w:trHeight w:hRule="exact" w:val="115"/>
          <w:tblHeader/>
        </w:trPr>
        <w:tc>
          <w:tcPr>
            <w:tcW w:w="4925" w:type="dxa"/>
            <w:tcBorders>
              <w:top w:val="single" w:sz="12" w:space="0" w:color="auto"/>
            </w:tcBorders>
            <w:shd w:val="clear" w:color="auto" w:fill="auto"/>
            <w:vAlign w:val="bottom"/>
          </w:tcPr>
          <w:p w14:paraId="32EB3F4E"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s-ES_tradnl"/>
              </w:rPr>
            </w:pPr>
          </w:p>
        </w:tc>
        <w:tc>
          <w:tcPr>
            <w:tcW w:w="4925" w:type="dxa"/>
            <w:tcBorders>
              <w:top w:val="single" w:sz="12" w:space="0" w:color="auto"/>
            </w:tcBorders>
            <w:shd w:val="clear" w:color="auto" w:fill="auto"/>
            <w:vAlign w:val="bottom"/>
          </w:tcPr>
          <w:p w14:paraId="05E871A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s-ES_tradnl"/>
              </w:rPr>
            </w:pPr>
          </w:p>
        </w:tc>
      </w:tr>
      <w:tr w:rsidR="003D1CF4" w:rsidRPr="000C632A" w14:paraId="2F4EC701" w14:textId="77777777" w:rsidTr="003D1CF4">
        <w:tc>
          <w:tcPr>
            <w:tcW w:w="4925" w:type="dxa"/>
            <w:shd w:val="clear" w:color="auto" w:fill="auto"/>
          </w:tcPr>
          <w:p w14:paraId="05B64568"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_tradnl"/>
              </w:rPr>
            </w:pPr>
            <w:r w:rsidRPr="00AD54FC">
              <w:rPr>
                <w:lang w:val="es-ES_tradnl"/>
              </w:rPr>
              <w:t>i) Traducir las leyes y políticas en medidas concretas, como las cuotas legislativas sobre la representación de las mujeres en la política, incluida la aplicación del artículo 5 del Protocolo de la SADC sobre el Género y el Desarrollo, relativo a las medidas especiales y su implementación.</w:t>
            </w:r>
          </w:p>
        </w:tc>
        <w:tc>
          <w:tcPr>
            <w:tcW w:w="4925" w:type="dxa"/>
            <w:shd w:val="clear" w:color="auto" w:fill="auto"/>
          </w:tcPr>
          <w:p w14:paraId="1739E8A8"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_tradnl"/>
              </w:rPr>
            </w:pPr>
            <w:r w:rsidRPr="00AD54FC">
              <w:rPr>
                <w:lang w:val="es-ES_tradnl"/>
              </w:rPr>
              <w:t>La Ley de Acción Afirmativa (Empleo) (Ley núm. 29 de 1998) prevé medidas para alcanzar la igualdad de oportunidades en el empleo, de conformidad con el artículo 10 y el artículo 23 de la Constitución de Namibia; para hacer posible la creación de la Comisión de Igualdad en el Empleo; para corregir, mediante planes adecuados de acción afirmativa, las situaciones de desventaja en el empleo que sufren las personas de los grupos designados, como consecuencia de leyes y prácticas discriminatorias del pasado; para establecer procedimientos que contribuyan a la eliminación de la discriminación en el empleo; y para regular otras cuestiones accesorias.</w:t>
            </w:r>
          </w:p>
          <w:p w14:paraId="3C915AA2" w14:textId="1CF8DF9B"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_tradnl"/>
              </w:rPr>
            </w:pPr>
            <w:r w:rsidRPr="00AD54FC">
              <w:rPr>
                <w:lang w:val="es-ES_tradnl"/>
              </w:rPr>
              <w:t>La Política Nacional de Género (2010-2020) también cuenta con una estrategia para facilitar un entorno propicio para las mujeres en los puestos decisorios, involucrándolas en la sensibilización en materia de género y proporcionando formación, orientación y oportunidades para que las mujeres desempeñen un papel activo y vocal en las decisiones importantes.</w:t>
            </w:r>
          </w:p>
        </w:tc>
      </w:tr>
      <w:tr w:rsidR="003D1CF4" w:rsidRPr="000C632A" w14:paraId="48B3C180" w14:textId="77777777" w:rsidTr="003D1CF4">
        <w:tc>
          <w:tcPr>
            <w:tcW w:w="4925" w:type="dxa"/>
            <w:shd w:val="clear" w:color="auto" w:fill="auto"/>
          </w:tcPr>
          <w:p w14:paraId="7C353625"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_tradnl"/>
              </w:rPr>
            </w:pPr>
            <w:proofErr w:type="spellStart"/>
            <w:r w:rsidRPr="00AD54FC">
              <w:rPr>
                <w:lang w:val="es-ES_tradnl"/>
              </w:rPr>
              <w:t>ii</w:t>
            </w:r>
            <w:proofErr w:type="spellEnd"/>
            <w:r w:rsidRPr="00AD54FC">
              <w:rPr>
                <w:lang w:val="es-ES_tradnl"/>
              </w:rPr>
              <w:t>) Documentar e intercambiar buenas prácticas y experiencias sobre las iniciativas para aplicar efectivamente las disposiciones normativas a fin de fortalecer la participación de las mujeres en la política y en las plataformas de adopción de decisiones.</w:t>
            </w:r>
          </w:p>
        </w:tc>
        <w:tc>
          <w:tcPr>
            <w:tcW w:w="4925" w:type="dxa"/>
            <w:shd w:val="clear" w:color="auto" w:fill="auto"/>
          </w:tcPr>
          <w:p w14:paraId="70230C07"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s-ES_tradnl"/>
              </w:rPr>
            </w:pPr>
            <w:r w:rsidRPr="00AD54FC">
              <w:rPr>
                <w:spacing w:val="2"/>
                <w:lang w:val="es-ES_tradnl"/>
              </w:rPr>
              <w:t xml:space="preserve">El Gobierno, a través del Ministerio de Igualdad de Género, Erradicación de la Pobreza y Bienestar Social, ha puesto en marcha un programa sobre las mujeres en la política y la adopción de decisiones, en colaboración con IDEA Internacional, y desde 2014 celebra talleres anuales con el objetivo de respaldar el desempeño de las mujeres parlamentarias en las funciones de elaboración de leyes, representación y supervisión. </w:t>
            </w:r>
          </w:p>
          <w:p w14:paraId="5E23DF57" w14:textId="39A0FD52"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_tradnl"/>
              </w:rPr>
            </w:pPr>
            <w:r w:rsidRPr="00AD54FC">
              <w:rPr>
                <w:lang w:val="es-ES_tradnl"/>
              </w:rPr>
              <w:t>Fortalecer la capacidad de las mujeres parlamentarias para participar en las funciones parlamentarias (elaboración de leyes, representación y supervisión);</w:t>
            </w:r>
          </w:p>
          <w:p w14:paraId="01178AB5" w14:textId="410E56C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s-ES_tradnl"/>
              </w:rPr>
            </w:pPr>
            <w:r w:rsidRPr="00AD54FC">
              <w:rPr>
                <w:spacing w:val="2"/>
                <w:lang w:val="es-ES_tradnl"/>
              </w:rPr>
              <w:t>Mejorar la comprensión y los conocimientos de las mujeres parlamentarias a la hora de abordar las cuestiones relacionadas con el género en la elaboración de leyes, la representación y la supervisión;</w:t>
            </w:r>
          </w:p>
          <w:p w14:paraId="5074C3C3" w14:textId="0B9C2A83"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_tradnl"/>
              </w:rPr>
            </w:pPr>
            <w:r w:rsidRPr="00AD54FC">
              <w:rPr>
                <w:lang w:val="es-ES_tradnl"/>
              </w:rPr>
              <w:t>Explorar cómo las mujeres parlamentarias pueden colaborar en el Parlamento y compartir "buenas prácticas" acerca de los cambios que pueden impulsar las propias mujeres a través de sus funciones parlamentarias;</w:t>
            </w:r>
          </w:p>
          <w:p w14:paraId="21C4B2CB"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s-ES_tradnl"/>
              </w:rPr>
            </w:pPr>
            <w:r w:rsidRPr="00AD54FC">
              <w:rPr>
                <w:spacing w:val="2"/>
                <w:lang w:val="es-ES_tradnl"/>
              </w:rPr>
              <w:t>Capacitar y orientar a las mujeres parlamentarias sobre sus responsabilidades parlamentarias y de supervisión;</w:t>
            </w:r>
          </w:p>
          <w:p w14:paraId="206B1FE8" w14:textId="637BDC70"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s-ES_tradnl"/>
              </w:rPr>
            </w:pPr>
            <w:r w:rsidRPr="00AD54FC">
              <w:rPr>
                <w:spacing w:val="2"/>
                <w:lang w:val="es-ES_tradnl"/>
              </w:rPr>
              <w:t>El partido gobernante, SWAPO, ha puesto en marcha medidas para permitir la igualdad de representación entre hombres y mujeres utilizando el "estilo cebra" en su lista electoral, lo que ha hecho posible la presencia de más mujeres en la Asamblea Nacional; sin embargo, no ocurre lo mismo con el Consejo Nacional.</w:t>
            </w:r>
          </w:p>
        </w:tc>
      </w:tr>
      <w:tr w:rsidR="003D1CF4" w:rsidRPr="000C632A" w14:paraId="5A51A3A3" w14:textId="77777777" w:rsidTr="003D1CF4">
        <w:tc>
          <w:tcPr>
            <w:tcW w:w="4925" w:type="dxa"/>
            <w:tcBorders>
              <w:bottom w:val="single" w:sz="12" w:space="0" w:color="auto"/>
            </w:tcBorders>
            <w:shd w:val="clear" w:color="auto" w:fill="auto"/>
          </w:tcPr>
          <w:p w14:paraId="33132A83"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_tradnl"/>
              </w:rPr>
            </w:pPr>
            <w:proofErr w:type="spellStart"/>
            <w:r w:rsidRPr="00AD54FC">
              <w:rPr>
                <w:lang w:val="es-ES_tradnl"/>
              </w:rPr>
              <w:t>iii</w:t>
            </w:r>
            <w:proofErr w:type="spellEnd"/>
            <w:r w:rsidRPr="00AD54FC">
              <w:rPr>
                <w:lang w:val="es-ES_tradnl"/>
              </w:rPr>
              <w:t>) Los Estados Miembros deben seguir alentando a las mujeres candidatas a presentarse y designar a las candidatas adecuadas para los puestos que queden vacantes en la Secretaría de la SADC.</w:t>
            </w:r>
          </w:p>
        </w:tc>
        <w:tc>
          <w:tcPr>
            <w:tcW w:w="4925" w:type="dxa"/>
            <w:tcBorders>
              <w:bottom w:val="single" w:sz="12" w:space="0" w:color="auto"/>
            </w:tcBorders>
            <w:shd w:val="clear" w:color="auto" w:fill="auto"/>
          </w:tcPr>
          <w:p w14:paraId="0152A35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_tradnl"/>
              </w:rPr>
            </w:pPr>
            <w:r w:rsidRPr="00AD54FC">
              <w:rPr>
                <w:lang w:val="es-ES_tradnl"/>
              </w:rPr>
              <w:t>Siempre que la Secretaría de la Comunidad de África Meridional para el Desarrollo (SADC) informa de puestos vacantes, el punto de contacto de la SADC, el Ministerio de Relaciones Internacionales y Cooperación, los difunde ampliamente para que puedan presentarse candidatos interesados, haciendo hincapié en que sean mujeres quienes soliciten los puestos vacantes.</w:t>
            </w:r>
          </w:p>
        </w:tc>
      </w:tr>
    </w:tbl>
    <w:p w14:paraId="78FB1D6A" w14:textId="12A70D56" w:rsidR="003D1CF4" w:rsidRPr="00AD54FC" w:rsidRDefault="003D1CF4" w:rsidP="003D1CF4">
      <w:pPr>
        <w:pStyle w:val="SingleTxt"/>
        <w:spacing w:after="0" w:line="120" w:lineRule="exact"/>
        <w:rPr>
          <w:sz w:val="10"/>
          <w:lang w:val="es-ES_tradnl"/>
        </w:rPr>
      </w:pPr>
    </w:p>
    <w:p w14:paraId="2DB74F6B" w14:textId="6C6E9808" w:rsidR="003D1CF4" w:rsidRPr="00AD54FC" w:rsidRDefault="003D1CF4" w:rsidP="003D1CF4">
      <w:pPr>
        <w:pStyle w:val="SingleTxt"/>
        <w:spacing w:after="0" w:line="120" w:lineRule="exact"/>
        <w:rPr>
          <w:sz w:val="10"/>
          <w:lang w:val="es-ES_tradnl"/>
        </w:rPr>
      </w:pPr>
    </w:p>
    <w:p w14:paraId="69CB54C7" w14:textId="38804975" w:rsidR="003D1CF4" w:rsidRPr="00AD54FC" w:rsidRDefault="003D1CF4" w:rsidP="003D1CF4">
      <w:pPr>
        <w:pStyle w:val="SingleTxt"/>
        <w:spacing w:after="0" w:line="120" w:lineRule="exact"/>
        <w:rPr>
          <w:sz w:val="10"/>
          <w:lang w:val="es-ES_tradnl"/>
        </w:rPr>
      </w:pPr>
    </w:p>
    <w:p w14:paraId="54A47154" w14:textId="77777777" w:rsidR="003D1CF4" w:rsidRPr="00AD54FC" w:rsidRDefault="003D1CF4" w:rsidP="003D1CF4">
      <w:pPr>
        <w:pStyle w:val="H1"/>
        <w:ind w:right="1260"/>
        <w:rPr>
          <w:lang w:val="es-ES_tradnl"/>
        </w:rPr>
      </w:pPr>
      <w:r w:rsidRPr="00AD54FC">
        <w:rPr>
          <w:lang w:val="es-ES_tradnl"/>
        </w:rPr>
        <w:tab/>
      </w:r>
      <w:r w:rsidRPr="00AD54FC">
        <w:rPr>
          <w:lang w:val="es-ES_tradnl"/>
        </w:rPr>
        <w:tab/>
      </w:r>
      <w:r w:rsidRPr="00AD54FC">
        <w:rPr>
          <w:bCs/>
          <w:lang w:val="es-ES_tradnl"/>
        </w:rPr>
        <w:t>Estadísticas sobre la mujer en la política y la adopción de decisiones</w:t>
      </w:r>
      <w:r w:rsidRPr="00AD54FC">
        <w:rPr>
          <w:lang w:val="es-ES_tradnl"/>
        </w:rPr>
        <w:t xml:space="preserve"> </w:t>
      </w:r>
    </w:p>
    <w:p w14:paraId="3510A0CD" w14:textId="77777777" w:rsidR="003D1CF4" w:rsidRPr="00AD54FC" w:rsidRDefault="003D1CF4" w:rsidP="003D1CF4">
      <w:pPr>
        <w:pStyle w:val="SingleTxt"/>
        <w:keepNext/>
        <w:keepLines/>
        <w:spacing w:after="0" w:line="120" w:lineRule="exact"/>
        <w:rPr>
          <w:sz w:val="10"/>
          <w:lang w:val="es-ES_tradnl"/>
        </w:rPr>
      </w:pPr>
    </w:p>
    <w:p w14:paraId="3F81E9DD" w14:textId="77777777" w:rsidR="003D1CF4" w:rsidRPr="00AD54FC" w:rsidRDefault="003D1CF4" w:rsidP="003D1CF4">
      <w:pPr>
        <w:pStyle w:val="SingleTxt"/>
        <w:keepNext/>
        <w:keepLines/>
        <w:spacing w:after="0" w:line="120" w:lineRule="exact"/>
        <w:rPr>
          <w:sz w:val="10"/>
          <w:lang w:val="es-ES_tradnl"/>
        </w:rPr>
      </w:pPr>
    </w:p>
    <w:p w14:paraId="66C4648B" w14:textId="77777777" w:rsidR="003D1CF4" w:rsidRPr="00AD54FC" w:rsidRDefault="003D1CF4" w:rsidP="003D1CF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D54FC">
        <w:rPr>
          <w:b w:val="0"/>
          <w:bCs/>
          <w:lang w:val="es-ES_tradnl"/>
        </w:rPr>
        <w:tab/>
      </w:r>
      <w:r w:rsidRPr="00AD54FC">
        <w:rPr>
          <w:b w:val="0"/>
          <w:bCs/>
          <w:lang w:val="es-ES_tradnl"/>
        </w:rPr>
        <w:tab/>
        <w:t>Cuadro 1</w:t>
      </w:r>
    </w:p>
    <w:p w14:paraId="439C8D3D" w14:textId="438348A2" w:rsidR="003D1CF4" w:rsidRPr="00AD54FC" w:rsidRDefault="003D1CF4" w:rsidP="003D1CF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Las mujeres en la política</w:t>
      </w:r>
    </w:p>
    <w:p w14:paraId="6771EAA3" w14:textId="77777777" w:rsidR="003D1CF4" w:rsidRPr="00AD54FC" w:rsidRDefault="003D1CF4" w:rsidP="00230647">
      <w:pPr>
        <w:pStyle w:val="SingleTxt"/>
        <w:keepNext/>
        <w:spacing w:after="0" w:line="120" w:lineRule="exact"/>
        <w:rPr>
          <w:sz w:val="10"/>
          <w:lang w:val="es-ES_tradnl"/>
        </w:rPr>
      </w:pPr>
    </w:p>
    <w:p w14:paraId="6959241E" w14:textId="77777777" w:rsidR="003D1CF4" w:rsidRPr="00AD54FC" w:rsidRDefault="003D1CF4" w:rsidP="00230647">
      <w:pPr>
        <w:pStyle w:val="SingleTxt"/>
        <w:keepNext/>
        <w:spacing w:after="0" w:line="120" w:lineRule="exact"/>
        <w:rPr>
          <w:sz w:val="10"/>
          <w:lang w:val="es-ES_tradnl"/>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3"/>
        <w:gridCol w:w="2547"/>
        <w:gridCol w:w="1134"/>
        <w:gridCol w:w="1539"/>
        <w:gridCol w:w="967"/>
      </w:tblGrid>
      <w:tr w:rsidR="003D1CF4" w:rsidRPr="00AD54FC" w14:paraId="1A14C678" w14:textId="77777777" w:rsidTr="001F7C93">
        <w:trPr>
          <w:tblHeader/>
        </w:trPr>
        <w:tc>
          <w:tcPr>
            <w:tcW w:w="2423" w:type="dxa"/>
            <w:tcBorders>
              <w:top w:val="single" w:sz="4" w:space="0" w:color="auto"/>
              <w:bottom w:val="single" w:sz="12" w:space="0" w:color="auto"/>
            </w:tcBorders>
            <w:shd w:val="clear" w:color="auto" w:fill="auto"/>
            <w:vAlign w:val="bottom"/>
          </w:tcPr>
          <w:p w14:paraId="0A77310A"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0" w:right="43"/>
              <w:rPr>
                <w:i/>
                <w:sz w:val="14"/>
                <w:szCs w:val="14"/>
                <w:lang w:val="es-ES_tradnl"/>
              </w:rPr>
            </w:pPr>
            <w:r w:rsidRPr="00AD54FC">
              <w:rPr>
                <w:i/>
                <w:iCs/>
                <w:sz w:val="14"/>
                <w:szCs w:val="14"/>
                <w:lang w:val="es-ES_tradnl"/>
              </w:rPr>
              <w:t>Categoría</w:t>
            </w:r>
          </w:p>
        </w:tc>
        <w:tc>
          <w:tcPr>
            <w:tcW w:w="2547" w:type="dxa"/>
            <w:tcBorders>
              <w:top w:val="single" w:sz="4" w:space="0" w:color="auto"/>
              <w:bottom w:val="single" w:sz="12" w:space="0" w:color="auto"/>
            </w:tcBorders>
            <w:shd w:val="clear" w:color="auto" w:fill="auto"/>
            <w:vAlign w:val="bottom"/>
          </w:tcPr>
          <w:p w14:paraId="19A10907" w14:textId="1C67E506"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144" w:right="43"/>
              <w:jc w:val="right"/>
              <w:rPr>
                <w:i/>
                <w:sz w:val="14"/>
                <w:szCs w:val="14"/>
                <w:lang w:val="es-ES_tradnl"/>
              </w:rPr>
            </w:pPr>
          </w:p>
        </w:tc>
        <w:tc>
          <w:tcPr>
            <w:tcW w:w="1134" w:type="dxa"/>
            <w:tcBorders>
              <w:top w:val="single" w:sz="4" w:space="0" w:color="auto"/>
              <w:bottom w:val="single" w:sz="12" w:space="0" w:color="auto"/>
            </w:tcBorders>
            <w:shd w:val="clear" w:color="auto" w:fill="auto"/>
            <w:vAlign w:val="bottom"/>
          </w:tcPr>
          <w:p w14:paraId="51E41474" w14:textId="4F6B4810"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Número total de puestos/plazas</w:t>
            </w:r>
          </w:p>
        </w:tc>
        <w:tc>
          <w:tcPr>
            <w:tcW w:w="1539" w:type="dxa"/>
            <w:tcBorders>
              <w:top w:val="single" w:sz="4" w:space="0" w:color="auto"/>
              <w:bottom w:val="single" w:sz="12" w:space="0" w:color="auto"/>
            </w:tcBorders>
            <w:shd w:val="clear" w:color="auto" w:fill="auto"/>
            <w:vAlign w:val="bottom"/>
          </w:tcPr>
          <w:p w14:paraId="35F187D9" w14:textId="203B20CF"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Número de puestos ocupados por mujeres</w:t>
            </w:r>
          </w:p>
        </w:tc>
        <w:tc>
          <w:tcPr>
            <w:tcW w:w="967" w:type="dxa"/>
            <w:tcBorders>
              <w:top w:val="single" w:sz="4" w:space="0" w:color="auto"/>
              <w:bottom w:val="single" w:sz="12" w:space="0" w:color="auto"/>
            </w:tcBorders>
            <w:shd w:val="clear" w:color="auto" w:fill="auto"/>
            <w:vAlign w:val="bottom"/>
          </w:tcPr>
          <w:p w14:paraId="0DF56448" w14:textId="558EC526"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Porcentaje de mujeres</w:t>
            </w:r>
          </w:p>
        </w:tc>
      </w:tr>
      <w:tr w:rsidR="003D1CF4" w:rsidRPr="00AD54FC" w14:paraId="5DC054DB" w14:textId="77777777" w:rsidTr="001F7C93">
        <w:trPr>
          <w:trHeight w:hRule="exact" w:val="115"/>
          <w:tblHeader/>
        </w:trPr>
        <w:tc>
          <w:tcPr>
            <w:tcW w:w="2423" w:type="dxa"/>
            <w:tcBorders>
              <w:top w:val="single" w:sz="12" w:space="0" w:color="auto"/>
            </w:tcBorders>
            <w:shd w:val="clear" w:color="auto" w:fill="auto"/>
            <w:vAlign w:val="bottom"/>
          </w:tcPr>
          <w:p w14:paraId="7C0932E5"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2547" w:type="dxa"/>
            <w:tcBorders>
              <w:top w:val="single" w:sz="12" w:space="0" w:color="auto"/>
            </w:tcBorders>
            <w:shd w:val="clear" w:color="auto" w:fill="auto"/>
            <w:vAlign w:val="bottom"/>
          </w:tcPr>
          <w:p w14:paraId="07F27E8B"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134" w:type="dxa"/>
            <w:tcBorders>
              <w:top w:val="single" w:sz="12" w:space="0" w:color="auto"/>
            </w:tcBorders>
            <w:shd w:val="clear" w:color="auto" w:fill="auto"/>
            <w:vAlign w:val="bottom"/>
          </w:tcPr>
          <w:p w14:paraId="7CED5E01"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539" w:type="dxa"/>
            <w:tcBorders>
              <w:top w:val="single" w:sz="12" w:space="0" w:color="auto"/>
            </w:tcBorders>
            <w:shd w:val="clear" w:color="auto" w:fill="auto"/>
            <w:vAlign w:val="bottom"/>
          </w:tcPr>
          <w:p w14:paraId="393C3F74"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67" w:type="dxa"/>
            <w:tcBorders>
              <w:top w:val="single" w:sz="12" w:space="0" w:color="auto"/>
            </w:tcBorders>
            <w:shd w:val="clear" w:color="auto" w:fill="auto"/>
            <w:vAlign w:val="bottom"/>
          </w:tcPr>
          <w:p w14:paraId="575B1EFB"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3D1CF4" w:rsidRPr="00AD54FC" w14:paraId="00454A0E" w14:textId="77777777" w:rsidTr="001F7C93">
        <w:tc>
          <w:tcPr>
            <w:tcW w:w="2423" w:type="dxa"/>
            <w:shd w:val="clear" w:color="auto" w:fill="auto"/>
            <w:vAlign w:val="bottom"/>
          </w:tcPr>
          <w:p w14:paraId="2A0EB8CB" w14:textId="023A229A" w:rsidR="003D1CF4" w:rsidRPr="00AD54FC" w:rsidRDefault="003D1CF4" w:rsidP="002160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r w:rsidRPr="00AD54FC">
              <w:rPr>
                <w:sz w:val="16"/>
                <w:szCs w:val="16"/>
                <w:lang w:val="es-ES_tradnl"/>
              </w:rPr>
              <w:t xml:space="preserve">Representación en el Consejo de </w:t>
            </w:r>
            <w:proofErr w:type="gramStart"/>
            <w:r w:rsidRPr="00AD54FC">
              <w:rPr>
                <w:sz w:val="16"/>
                <w:szCs w:val="16"/>
                <w:lang w:val="es-ES_tradnl"/>
              </w:rPr>
              <w:t>Ministros</w:t>
            </w:r>
            <w:proofErr w:type="gramEnd"/>
          </w:p>
        </w:tc>
        <w:tc>
          <w:tcPr>
            <w:tcW w:w="2547" w:type="dxa"/>
            <w:shd w:val="clear" w:color="auto" w:fill="auto"/>
            <w:vAlign w:val="bottom"/>
          </w:tcPr>
          <w:p w14:paraId="11D41D5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left"/>
              <w:rPr>
                <w:sz w:val="16"/>
                <w:szCs w:val="16"/>
                <w:lang w:val="es-ES_tradnl"/>
              </w:rPr>
            </w:pPr>
            <w:r w:rsidRPr="00AD54FC">
              <w:rPr>
                <w:sz w:val="16"/>
                <w:szCs w:val="16"/>
                <w:lang w:val="es-ES_tradnl"/>
              </w:rPr>
              <w:t xml:space="preserve">Primeras </w:t>
            </w:r>
            <w:proofErr w:type="gramStart"/>
            <w:r w:rsidRPr="00AD54FC">
              <w:rPr>
                <w:sz w:val="16"/>
                <w:szCs w:val="16"/>
                <w:lang w:val="es-ES_tradnl"/>
              </w:rPr>
              <w:t>Ministras</w:t>
            </w:r>
            <w:proofErr w:type="gramEnd"/>
          </w:p>
        </w:tc>
        <w:tc>
          <w:tcPr>
            <w:tcW w:w="1134" w:type="dxa"/>
            <w:shd w:val="clear" w:color="auto" w:fill="auto"/>
            <w:vAlign w:val="bottom"/>
          </w:tcPr>
          <w:p w14:paraId="1177358E"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w:t>
            </w:r>
          </w:p>
        </w:tc>
        <w:tc>
          <w:tcPr>
            <w:tcW w:w="1539" w:type="dxa"/>
            <w:shd w:val="clear" w:color="auto" w:fill="auto"/>
            <w:vAlign w:val="bottom"/>
          </w:tcPr>
          <w:p w14:paraId="254E47FA"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w:t>
            </w:r>
          </w:p>
        </w:tc>
        <w:tc>
          <w:tcPr>
            <w:tcW w:w="967" w:type="dxa"/>
            <w:shd w:val="clear" w:color="auto" w:fill="auto"/>
            <w:vAlign w:val="bottom"/>
          </w:tcPr>
          <w:p w14:paraId="472C0EE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100 %</w:t>
            </w:r>
          </w:p>
        </w:tc>
      </w:tr>
      <w:tr w:rsidR="003D1CF4" w:rsidRPr="00AD54FC" w14:paraId="536AEB46" w14:textId="77777777" w:rsidTr="001F7C93">
        <w:tc>
          <w:tcPr>
            <w:tcW w:w="2423" w:type="dxa"/>
            <w:shd w:val="clear" w:color="auto" w:fill="auto"/>
            <w:vAlign w:val="bottom"/>
          </w:tcPr>
          <w:p w14:paraId="7D36B826" w14:textId="77777777" w:rsidR="003D1CF4" w:rsidRPr="00AD54FC" w:rsidRDefault="003D1CF4" w:rsidP="002160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p>
        </w:tc>
        <w:tc>
          <w:tcPr>
            <w:tcW w:w="2547" w:type="dxa"/>
            <w:shd w:val="clear" w:color="auto" w:fill="auto"/>
            <w:vAlign w:val="bottom"/>
          </w:tcPr>
          <w:p w14:paraId="37438B6F"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left"/>
              <w:rPr>
                <w:sz w:val="16"/>
                <w:szCs w:val="16"/>
                <w:lang w:val="es-ES_tradnl"/>
              </w:rPr>
            </w:pPr>
            <w:r w:rsidRPr="00AD54FC">
              <w:rPr>
                <w:sz w:val="16"/>
                <w:szCs w:val="16"/>
                <w:lang w:val="es-ES_tradnl"/>
              </w:rPr>
              <w:t xml:space="preserve">Vice Primeras </w:t>
            </w:r>
            <w:proofErr w:type="gramStart"/>
            <w:r w:rsidRPr="00AD54FC">
              <w:rPr>
                <w:sz w:val="16"/>
                <w:szCs w:val="16"/>
                <w:lang w:val="es-ES_tradnl"/>
              </w:rPr>
              <w:t>Ministras</w:t>
            </w:r>
            <w:proofErr w:type="gramEnd"/>
          </w:p>
        </w:tc>
        <w:tc>
          <w:tcPr>
            <w:tcW w:w="1134" w:type="dxa"/>
            <w:shd w:val="clear" w:color="auto" w:fill="auto"/>
            <w:vAlign w:val="bottom"/>
          </w:tcPr>
          <w:p w14:paraId="3548EC54"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w:t>
            </w:r>
          </w:p>
        </w:tc>
        <w:tc>
          <w:tcPr>
            <w:tcW w:w="1539" w:type="dxa"/>
            <w:shd w:val="clear" w:color="auto" w:fill="auto"/>
            <w:vAlign w:val="bottom"/>
          </w:tcPr>
          <w:p w14:paraId="499F2589"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w:t>
            </w:r>
          </w:p>
        </w:tc>
        <w:tc>
          <w:tcPr>
            <w:tcW w:w="967" w:type="dxa"/>
            <w:shd w:val="clear" w:color="auto" w:fill="auto"/>
            <w:vAlign w:val="bottom"/>
          </w:tcPr>
          <w:p w14:paraId="796FDC7F"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100 %</w:t>
            </w:r>
          </w:p>
        </w:tc>
      </w:tr>
      <w:tr w:rsidR="003D1CF4" w:rsidRPr="00AD54FC" w14:paraId="60FC47DD" w14:textId="77777777" w:rsidTr="001F7C93">
        <w:tc>
          <w:tcPr>
            <w:tcW w:w="2423" w:type="dxa"/>
            <w:shd w:val="clear" w:color="auto" w:fill="auto"/>
            <w:vAlign w:val="bottom"/>
          </w:tcPr>
          <w:p w14:paraId="47D0AF13" w14:textId="77777777" w:rsidR="003D1CF4" w:rsidRPr="00AD54FC" w:rsidRDefault="003D1CF4" w:rsidP="002160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p>
        </w:tc>
        <w:tc>
          <w:tcPr>
            <w:tcW w:w="2547" w:type="dxa"/>
            <w:shd w:val="clear" w:color="auto" w:fill="auto"/>
            <w:vAlign w:val="bottom"/>
          </w:tcPr>
          <w:p w14:paraId="2BD95328" w14:textId="4CE3FABF"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left"/>
              <w:rPr>
                <w:sz w:val="16"/>
                <w:szCs w:val="16"/>
                <w:lang w:val="es-ES_tradnl"/>
              </w:rPr>
            </w:pPr>
            <w:r w:rsidRPr="00AD54FC">
              <w:rPr>
                <w:sz w:val="16"/>
                <w:szCs w:val="16"/>
                <w:lang w:val="es-ES_tradnl"/>
              </w:rPr>
              <w:t>Ministras</w:t>
            </w:r>
          </w:p>
        </w:tc>
        <w:tc>
          <w:tcPr>
            <w:tcW w:w="1134" w:type="dxa"/>
            <w:shd w:val="clear" w:color="auto" w:fill="auto"/>
            <w:vAlign w:val="bottom"/>
          </w:tcPr>
          <w:p w14:paraId="4B57E48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21</w:t>
            </w:r>
          </w:p>
        </w:tc>
        <w:tc>
          <w:tcPr>
            <w:tcW w:w="1539" w:type="dxa"/>
            <w:shd w:val="clear" w:color="auto" w:fill="auto"/>
            <w:vAlign w:val="bottom"/>
          </w:tcPr>
          <w:p w14:paraId="05E79F7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8</w:t>
            </w:r>
          </w:p>
        </w:tc>
        <w:tc>
          <w:tcPr>
            <w:tcW w:w="967" w:type="dxa"/>
            <w:shd w:val="clear" w:color="auto" w:fill="auto"/>
            <w:vAlign w:val="bottom"/>
          </w:tcPr>
          <w:p w14:paraId="21DE1C9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38 %</w:t>
            </w:r>
          </w:p>
        </w:tc>
      </w:tr>
      <w:tr w:rsidR="003D1CF4" w:rsidRPr="00AD54FC" w14:paraId="39AB7BDE" w14:textId="77777777" w:rsidTr="001F7C93">
        <w:tc>
          <w:tcPr>
            <w:tcW w:w="2423" w:type="dxa"/>
            <w:shd w:val="clear" w:color="auto" w:fill="auto"/>
            <w:vAlign w:val="bottom"/>
          </w:tcPr>
          <w:p w14:paraId="495DD628" w14:textId="77777777" w:rsidR="003D1CF4" w:rsidRPr="00AD54FC" w:rsidRDefault="003D1CF4" w:rsidP="002160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p>
        </w:tc>
        <w:tc>
          <w:tcPr>
            <w:tcW w:w="2547" w:type="dxa"/>
            <w:shd w:val="clear" w:color="auto" w:fill="auto"/>
            <w:vAlign w:val="bottom"/>
          </w:tcPr>
          <w:p w14:paraId="2FED9373"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left"/>
              <w:rPr>
                <w:sz w:val="16"/>
                <w:szCs w:val="16"/>
                <w:lang w:val="es-ES_tradnl"/>
              </w:rPr>
            </w:pPr>
            <w:r w:rsidRPr="00AD54FC">
              <w:rPr>
                <w:sz w:val="16"/>
                <w:szCs w:val="16"/>
                <w:lang w:val="es-ES_tradnl"/>
              </w:rPr>
              <w:t>Viceministras</w:t>
            </w:r>
          </w:p>
        </w:tc>
        <w:tc>
          <w:tcPr>
            <w:tcW w:w="1134" w:type="dxa"/>
            <w:shd w:val="clear" w:color="auto" w:fill="auto"/>
            <w:vAlign w:val="bottom"/>
          </w:tcPr>
          <w:p w14:paraId="483E713A"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17</w:t>
            </w:r>
          </w:p>
        </w:tc>
        <w:tc>
          <w:tcPr>
            <w:tcW w:w="1539" w:type="dxa"/>
            <w:shd w:val="clear" w:color="auto" w:fill="auto"/>
            <w:vAlign w:val="bottom"/>
          </w:tcPr>
          <w:p w14:paraId="1E8A9EBB"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12</w:t>
            </w:r>
          </w:p>
        </w:tc>
        <w:tc>
          <w:tcPr>
            <w:tcW w:w="967" w:type="dxa"/>
            <w:shd w:val="clear" w:color="auto" w:fill="auto"/>
            <w:vAlign w:val="bottom"/>
          </w:tcPr>
          <w:p w14:paraId="46F82B8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70,5 %</w:t>
            </w:r>
          </w:p>
        </w:tc>
      </w:tr>
      <w:tr w:rsidR="003D1CF4" w:rsidRPr="00AD54FC" w14:paraId="01D89200" w14:textId="77777777" w:rsidTr="001F7C93">
        <w:tc>
          <w:tcPr>
            <w:tcW w:w="2423" w:type="dxa"/>
            <w:shd w:val="clear" w:color="auto" w:fill="auto"/>
            <w:vAlign w:val="bottom"/>
          </w:tcPr>
          <w:p w14:paraId="02BBBD9B" w14:textId="77777777" w:rsidR="003D1CF4" w:rsidRPr="00AD54FC" w:rsidRDefault="003D1CF4" w:rsidP="002160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r w:rsidRPr="00AD54FC">
              <w:rPr>
                <w:sz w:val="16"/>
                <w:szCs w:val="16"/>
                <w:lang w:val="es-ES_tradnl"/>
              </w:rPr>
              <w:t>Representación en el Parlamento:</w:t>
            </w:r>
          </w:p>
        </w:tc>
        <w:tc>
          <w:tcPr>
            <w:tcW w:w="2547" w:type="dxa"/>
            <w:shd w:val="clear" w:color="auto" w:fill="auto"/>
            <w:vAlign w:val="bottom"/>
          </w:tcPr>
          <w:p w14:paraId="7765A17F"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p>
        </w:tc>
        <w:tc>
          <w:tcPr>
            <w:tcW w:w="1134" w:type="dxa"/>
            <w:shd w:val="clear" w:color="auto" w:fill="auto"/>
            <w:vAlign w:val="bottom"/>
          </w:tcPr>
          <w:p w14:paraId="10F17C34"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p>
        </w:tc>
        <w:tc>
          <w:tcPr>
            <w:tcW w:w="1539" w:type="dxa"/>
            <w:shd w:val="clear" w:color="auto" w:fill="auto"/>
            <w:vAlign w:val="bottom"/>
          </w:tcPr>
          <w:p w14:paraId="1B369310"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p>
        </w:tc>
        <w:tc>
          <w:tcPr>
            <w:tcW w:w="967" w:type="dxa"/>
            <w:shd w:val="clear" w:color="auto" w:fill="auto"/>
            <w:vAlign w:val="bottom"/>
          </w:tcPr>
          <w:p w14:paraId="17B47AD2"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p>
        </w:tc>
      </w:tr>
      <w:tr w:rsidR="003D1CF4" w:rsidRPr="00AD54FC" w14:paraId="0B616858" w14:textId="77777777" w:rsidTr="001F7C93">
        <w:tc>
          <w:tcPr>
            <w:tcW w:w="2423" w:type="dxa"/>
            <w:shd w:val="clear" w:color="auto" w:fill="auto"/>
            <w:vAlign w:val="bottom"/>
          </w:tcPr>
          <w:p w14:paraId="6C65B6F4" w14:textId="77777777" w:rsidR="003D1CF4" w:rsidRPr="00AD54FC" w:rsidRDefault="003D1CF4" w:rsidP="002160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pacing w:val="2"/>
                <w:sz w:val="16"/>
                <w:szCs w:val="16"/>
                <w:lang w:val="es-ES_tradnl"/>
              </w:rPr>
            </w:pPr>
            <w:r w:rsidRPr="00AD54FC">
              <w:rPr>
                <w:spacing w:val="2"/>
                <w:sz w:val="16"/>
                <w:szCs w:val="16"/>
                <w:lang w:val="es-ES_tradnl"/>
              </w:rPr>
              <w:t>Asamblea Nacional (cámara baja):</w:t>
            </w:r>
          </w:p>
        </w:tc>
        <w:tc>
          <w:tcPr>
            <w:tcW w:w="2547" w:type="dxa"/>
            <w:shd w:val="clear" w:color="auto" w:fill="auto"/>
            <w:vAlign w:val="bottom"/>
          </w:tcPr>
          <w:p w14:paraId="1528AE40" w14:textId="4D791502"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p>
        </w:tc>
        <w:tc>
          <w:tcPr>
            <w:tcW w:w="1134" w:type="dxa"/>
            <w:shd w:val="clear" w:color="auto" w:fill="auto"/>
            <w:vAlign w:val="bottom"/>
          </w:tcPr>
          <w:p w14:paraId="54B17E2D" w14:textId="2F915251"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104</w:t>
            </w:r>
          </w:p>
        </w:tc>
        <w:tc>
          <w:tcPr>
            <w:tcW w:w="1539" w:type="dxa"/>
            <w:shd w:val="clear" w:color="auto" w:fill="auto"/>
            <w:vAlign w:val="bottom"/>
          </w:tcPr>
          <w:p w14:paraId="384275A4" w14:textId="7D10BA10"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46</w:t>
            </w:r>
          </w:p>
        </w:tc>
        <w:tc>
          <w:tcPr>
            <w:tcW w:w="967" w:type="dxa"/>
            <w:shd w:val="clear" w:color="auto" w:fill="auto"/>
            <w:vAlign w:val="bottom"/>
          </w:tcPr>
          <w:p w14:paraId="68A7E0A1" w14:textId="24F40539"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44 %</w:t>
            </w:r>
          </w:p>
        </w:tc>
      </w:tr>
      <w:tr w:rsidR="003D1CF4" w:rsidRPr="00AD54FC" w14:paraId="27857755" w14:textId="77777777" w:rsidTr="001F7C93">
        <w:tc>
          <w:tcPr>
            <w:tcW w:w="2423" w:type="dxa"/>
            <w:shd w:val="clear" w:color="auto" w:fill="auto"/>
            <w:vAlign w:val="bottom"/>
          </w:tcPr>
          <w:p w14:paraId="32ECA201" w14:textId="77777777" w:rsidR="003D1CF4" w:rsidRPr="00AD54FC" w:rsidRDefault="003D1CF4" w:rsidP="002160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r w:rsidRPr="00AD54FC">
              <w:rPr>
                <w:sz w:val="16"/>
                <w:szCs w:val="16"/>
                <w:lang w:val="es-ES_tradnl"/>
              </w:rPr>
              <w:t>Consejo Nacional (cámara baja):</w:t>
            </w:r>
          </w:p>
        </w:tc>
        <w:tc>
          <w:tcPr>
            <w:tcW w:w="2547" w:type="dxa"/>
            <w:shd w:val="clear" w:color="auto" w:fill="auto"/>
            <w:vAlign w:val="bottom"/>
          </w:tcPr>
          <w:p w14:paraId="3B0FD662" w14:textId="3927C611"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p>
        </w:tc>
        <w:tc>
          <w:tcPr>
            <w:tcW w:w="1134" w:type="dxa"/>
            <w:shd w:val="clear" w:color="auto" w:fill="auto"/>
            <w:vAlign w:val="bottom"/>
          </w:tcPr>
          <w:p w14:paraId="69A03528" w14:textId="750FC8D6"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42</w:t>
            </w:r>
          </w:p>
        </w:tc>
        <w:tc>
          <w:tcPr>
            <w:tcW w:w="1539" w:type="dxa"/>
            <w:shd w:val="clear" w:color="auto" w:fill="auto"/>
            <w:vAlign w:val="bottom"/>
          </w:tcPr>
          <w:p w14:paraId="42242B47" w14:textId="05BEFD44"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6</w:t>
            </w:r>
          </w:p>
        </w:tc>
        <w:tc>
          <w:tcPr>
            <w:tcW w:w="967" w:type="dxa"/>
            <w:shd w:val="clear" w:color="auto" w:fill="auto"/>
            <w:vAlign w:val="bottom"/>
          </w:tcPr>
          <w:p w14:paraId="009D2447" w14:textId="4079231D"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14,28 %</w:t>
            </w:r>
          </w:p>
        </w:tc>
      </w:tr>
      <w:tr w:rsidR="003D1CF4" w:rsidRPr="00AD54FC" w14:paraId="45B365E4" w14:textId="77777777" w:rsidTr="001F7C93">
        <w:tc>
          <w:tcPr>
            <w:tcW w:w="2423" w:type="dxa"/>
            <w:tcBorders>
              <w:bottom w:val="single" w:sz="12" w:space="0" w:color="auto"/>
            </w:tcBorders>
            <w:shd w:val="clear" w:color="auto" w:fill="auto"/>
            <w:vAlign w:val="bottom"/>
          </w:tcPr>
          <w:p w14:paraId="463FD2EB" w14:textId="77777777" w:rsidR="003D1CF4" w:rsidRPr="00AD54FC" w:rsidRDefault="003D1CF4" w:rsidP="002160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r w:rsidRPr="00AD54FC">
              <w:rPr>
                <w:sz w:val="16"/>
                <w:szCs w:val="16"/>
                <w:lang w:val="es-ES_tradnl"/>
              </w:rPr>
              <w:t xml:space="preserve">Representación de las embajadoras </w:t>
            </w:r>
          </w:p>
        </w:tc>
        <w:tc>
          <w:tcPr>
            <w:tcW w:w="2547" w:type="dxa"/>
            <w:tcBorders>
              <w:bottom w:val="single" w:sz="12" w:space="0" w:color="auto"/>
            </w:tcBorders>
            <w:shd w:val="clear" w:color="auto" w:fill="auto"/>
            <w:vAlign w:val="bottom"/>
          </w:tcPr>
          <w:p w14:paraId="198B5AF3" w14:textId="45E659EF"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p>
        </w:tc>
        <w:tc>
          <w:tcPr>
            <w:tcW w:w="1134" w:type="dxa"/>
            <w:tcBorders>
              <w:bottom w:val="single" w:sz="12" w:space="0" w:color="auto"/>
            </w:tcBorders>
            <w:shd w:val="clear" w:color="auto" w:fill="auto"/>
            <w:vAlign w:val="bottom"/>
          </w:tcPr>
          <w:p w14:paraId="122CE8B5" w14:textId="7998AAA8"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106</w:t>
            </w:r>
          </w:p>
        </w:tc>
        <w:tc>
          <w:tcPr>
            <w:tcW w:w="1539" w:type="dxa"/>
            <w:tcBorders>
              <w:bottom w:val="single" w:sz="12" w:space="0" w:color="auto"/>
            </w:tcBorders>
            <w:shd w:val="clear" w:color="auto" w:fill="auto"/>
            <w:vAlign w:val="bottom"/>
          </w:tcPr>
          <w:p w14:paraId="5FE825B8" w14:textId="0B06BA2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78</w:t>
            </w:r>
          </w:p>
        </w:tc>
        <w:tc>
          <w:tcPr>
            <w:tcW w:w="967" w:type="dxa"/>
            <w:tcBorders>
              <w:bottom w:val="single" w:sz="12" w:space="0" w:color="auto"/>
            </w:tcBorders>
            <w:shd w:val="clear" w:color="auto" w:fill="auto"/>
            <w:vAlign w:val="bottom"/>
          </w:tcPr>
          <w:p w14:paraId="67FBE5FF" w14:textId="0244ED59"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73,5 %</w:t>
            </w:r>
          </w:p>
        </w:tc>
      </w:tr>
    </w:tbl>
    <w:p w14:paraId="145DCB77" w14:textId="338012BE" w:rsidR="003D1CF4" w:rsidRPr="00AD54FC" w:rsidRDefault="003D1CF4" w:rsidP="003D1CF4">
      <w:pPr>
        <w:pStyle w:val="SingleTxt"/>
        <w:spacing w:after="0" w:line="120" w:lineRule="exact"/>
        <w:rPr>
          <w:sz w:val="10"/>
          <w:lang w:val="es-ES_tradnl"/>
        </w:rPr>
      </w:pPr>
    </w:p>
    <w:p w14:paraId="535BDB96" w14:textId="0603FE29" w:rsidR="003D1CF4" w:rsidRPr="00AD54FC" w:rsidRDefault="003D1CF4" w:rsidP="003D1CF4">
      <w:pPr>
        <w:pStyle w:val="SingleTxt"/>
        <w:spacing w:after="0" w:line="120" w:lineRule="exact"/>
        <w:rPr>
          <w:sz w:val="10"/>
          <w:lang w:val="es-ES_tradnl"/>
        </w:rPr>
      </w:pPr>
    </w:p>
    <w:p w14:paraId="6C054831" w14:textId="391E2A9D"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D54FC">
        <w:rPr>
          <w:b w:val="0"/>
          <w:bCs/>
          <w:lang w:val="es-ES_tradnl"/>
        </w:rPr>
        <w:tab/>
      </w:r>
      <w:r w:rsidRPr="00AD54FC">
        <w:rPr>
          <w:b w:val="0"/>
          <w:bCs/>
          <w:lang w:val="es-ES_tradnl"/>
        </w:rPr>
        <w:tab/>
        <w:t>Cuadro 2</w:t>
      </w:r>
    </w:p>
    <w:p w14:paraId="6D5359D6" w14:textId="6119E2C9"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Las mujeres en los puestos directivos del sector público</w:t>
      </w:r>
    </w:p>
    <w:p w14:paraId="4DB2E6F3" w14:textId="77777777" w:rsidR="003D1CF4" w:rsidRPr="00AD54FC" w:rsidRDefault="003D1CF4" w:rsidP="003D1CF4">
      <w:pPr>
        <w:pStyle w:val="SingleTxt"/>
        <w:spacing w:after="0" w:line="120" w:lineRule="exact"/>
        <w:rPr>
          <w:sz w:val="10"/>
          <w:lang w:val="es-ES_tradnl"/>
        </w:rPr>
      </w:pPr>
    </w:p>
    <w:p w14:paraId="7A22E847" w14:textId="77777777" w:rsidR="003D1CF4" w:rsidRPr="00AD54FC" w:rsidRDefault="003D1CF4" w:rsidP="003D1CF4">
      <w:pPr>
        <w:pStyle w:val="SingleTxt"/>
        <w:spacing w:after="0" w:line="120" w:lineRule="exact"/>
        <w:rPr>
          <w:sz w:val="10"/>
          <w:lang w:val="es-ES_tradnl"/>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76"/>
        <w:gridCol w:w="1134"/>
        <w:gridCol w:w="1533"/>
        <w:gridCol w:w="969"/>
      </w:tblGrid>
      <w:tr w:rsidR="003D1CF4" w:rsidRPr="00AD54FC" w14:paraId="014B9CC9" w14:textId="77777777" w:rsidTr="001F7C93">
        <w:trPr>
          <w:tblHeader/>
        </w:trPr>
        <w:tc>
          <w:tcPr>
            <w:tcW w:w="4976" w:type="dxa"/>
            <w:tcBorders>
              <w:top w:val="single" w:sz="4" w:space="0" w:color="auto"/>
              <w:bottom w:val="single" w:sz="12" w:space="0" w:color="auto"/>
            </w:tcBorders>
            <w:shd w:val="clear" w:color="auto" w:fill="auto"/>
            <w:vAlign w:val="bottom"/>
          </w:tcPr>
          <w:p w14:paraId="47ECAD15"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0" w:right="43"/>
              <w:rPr>
                <w:i/>
                <w:sz w:val="14"/>
                <w:szCs w:val="14"/>
                <w:lang w:val="es-ES_tradnl"/>
              </w:rPr>
            </w:pPr>
            <w:r w:rsidRPr="00AD54FC">
              <w:rPr>
                <w:i/>
                <w:iCs/>
                <w:sz w:val="14"/>
                <w:szCs w:val="14"/>
                <w:lang w:val="es-ES_tradnl"/>
              </w:rPr>
              <w:t>Categoría</w:t>
            </w:r>
          </w:p>
        </w:tc>
        <w:tc>
          <w:tcPr>
            <w:tcW w:w="1134" w:type="dxa"/>
            <w:tcBorders>
              <w:top w:val="single" w:sz="4" w:space="0" w:color="auto"/>
              <w:bottom w:val="single" w:sz="12" w:space="0" w:color="auto"/>
            </w:tcBorders>
            <w:shd w:val="clear" w:color="auto" w:fill="auto"/>
            <w:vAlign w:val="bottom"/>
          </w:tcPr>
          <w:p w14:paraId="5DB8C942"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Número total de puestos</w:t>
            </w:r>
          </w:p>
        </w:tc>
        <w:tc>
          <w:tcPr>
            <w:tcW w:w="1533" w:type="dxa"/>
            <w:tcBorders>
              <w:top w:val="single" w:sz="4" w:space="0" w:color="auto"/>
              <w:bottom w:val="single" w:sz="12" w:space="0" w:color="auto"/>
            </w:tcBorders>
            <w:shd w:val="clear" w:color="auto" w:fill="auto"/>
            <w:vAlign w:val="bottom"/>
          </w:tcPr>
          <w:p w14:paraId="150DBF86"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Número de puestos ocupados por mujeres</w:t>
            </w:r>
          </w:p>
        </w:tc>
        <w:tc>
          <w:tcPr>
            <w:tcW w:w="969" w:type="dxa"/>
            <w:tcBorders>
              <w:top w:val="single" w:sz="4" w:space="0" w:color="auto"/>
              <w:bottom w:val="single" w:sz="12" w:space="0" w:color="auto"/>
            </w:tcBorders>
            <w:shd w:val="clear" w:color="auto" w:fill="auto"/>
            <w:vAlign w:val="bottom"/>
          </w:tcPr>
          <w:p w14:paraId="4B79234A"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Porcentaje de mujeres</w:t>
            </w:r>
          </w:p>
        </w:tc>
      </w:tr>
      <w:tr w:rsidR="003D1CF4" w:rsidRPr="00AD54FC" w14:paraId="12C0E261" w14:textId="77777777" w:rsidTr="001F7C93">
        <w:trPr>
          <w:trHeight w:hRule="exact" w:val="115"/>
          <w:tblHeader/>
        </w:trPr>
        <w:tc>
          <w:tcPr>
            <w:tcW w:w="4976" w:type="dxa"/>
            <w:tcBorders>
              <w:top w:val="single" w:sz="12" w:space="0" w:color="auto"/>
            </w:tcBorders>
            <w:shd w:val="clear" w:color="auto" w:fill="auto"/>
            <w:vAlign w:val="bottom"/>
          </w:tcPr>
          <w:p w14:paraId="0C70D520"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134" w:type="dxa"/>
            <w:tcBorders>
              <w:top w:val="single" w:sz="12" w:space="0" w:color="auto"/>
            </w:tcBorders>
            <w:shd w:val="clear" w:color="auto" w:fill="auto"/>
            <w:vAlign w:val="bottom"/>
          </w:tcPr>
          <w:p w14:paraId="5FACDC81"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533" w:type="dxa"/>
            <w:tcBorders>
              <w:top w:val="single" w:sz="12" w:space="0" w:color="auto"/>
            </w:tcBorders>
            <w:shd w:val="clear" w:color="auto" w:fill="auto"/>
            <w:vAlign w:val="bottom"/>
          </w:tcPr>
          <w:p w14:paraId="05941D54"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69" w:type="dxa"/>
            <w:tcBorders>
              <w:top w:val="single" w:sz="12" w:space="0" w:color="auto"/>
            </w:tcBorders>
            <w:shd w:val="clear" w:color="auto" w:fill="auto"/>
            <w:vAlign w:val="bottom"/>
          </w:tcPr>
          <w:p w14:paraId="1E35D88A"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3D1CF4" w:rsidRPr="00AD54FC" w14:paraId="3613385B" w14:textId="77777777" w:rsidTr="001F7C93">
        <w:tc>
          <w:tcPr>
            <w:tcW w:w="4976" w:type="dxa"/>
            <w:shd w:val="clear" w:color="auto" w:fill="auto"/>
            <w:vAlign w:val="bottom"/>
          </w:tcPr>
          <w:p w14:paraId="4CCA88C3" w14:textId="55545DCC" w:rsidR="003D1CF4" w:rsidRPr="00AD54FC" w:rsidRDefault="003D1CF4" w:rsidP="00BA4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r w:rsidRPr="00AD54FC">
              <w:rPr>
                <w:sz w:val="16"/>
                <w:szCs w:val="16"/>
                <w:lang w:val="es-ES_tradnl"/>
              </w:rPr>
              <w:t xml:space="preserve">Secretarias permanentes / </w:t>
            </w:r>
            <w:proofErr w:type="gramStart"/>
            <w:r w:rsidRPr="00AD54FC">
              <w:rPr>
                <w:sz w:val="16"/>
                <w:szCs w:val="16"/>
                <w:lang w:val="es-ES_tradnl"/>
              </w:rPr>
              <w:t>Secretarias</w:t>
            </w:r>
            <w:proofErr w:type="gramEnd"/>
            <w:r w:rsidRPr="00AD54FC">
              <w:rPr>
                <w:sz w:val="16"/>
                <w:szCs w:val="16"/>
                <w:lang w:val="es-ES_tradnl"/>
              </w:rPr>
              <w:t xml:space="preserve"> principales / Directoras generales / Directoras ejecutivas </w:t>
            </w:r>
          </w:p>
        </w:tc>
        <w:tc>
          <w:tcPr>
            <w:tcW w:w="1134" w:type="dxa"/>
            <w:shd w:val="clear" w:color="auto" w:fill="auto"/>
            <w:vAlign w:val="bottom"/>
          </w:tcPr>
          <w:p w14:paraId="10ED6E18"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29</w:t>
            </w:r>
          </w:p>
        </w:tc>
        <w:tc>
          <w:tcPr>
            <w:tcW w:w="1533" w:type="dxa"/>
            <w:shd w:val="clear" w:color="auto" w:fill="auto"/>
            <w:vAlign w:val="bottom"/>
          </w:tcPr>
          <w:p w14:paraId="7FA55812"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10</w:t>
            </w:r>
          </w:p>
        </w:tc>
        <w:tc>
          <w:tcPr>
            <w:tcW w:w="969" w:type="dxa"/>
            <w:shd w:val="clear" w:color="auto" w:fill="auto"/>
            <w:vAlign w:val="bottom"/>
          </w:tcPr>
          <w:p w14:paraId="0530A414"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 xml:space="preserve">34 % </w:t>
            </w:r>
          </w:p>
        </w:tc>
      </w:tr>
      <w:tr w:rsidR="003D1CF4" w:rsidRPr="00AD54FC" w14:paraId="1B99CCDE" w14:textId="77777777" w:rsidTr="001F7C93">
        <w:tc>
          <w:tcPr>
            <w:tcW w:w="4976" w:type="dxa"/>
            <w:shd w:val="clear" w:color="auto" w:fill="auto"/>
            <w:vAlign w:val="bottom"/>
          </w:tcPr>
          <w:p w14:paraId="1A65D187" w14:textId="7BAE8F20" w:rsidR="003D1CF4" w:rsidRPr="00AD54FC" w:rsidRDefault="003D1CF4" w:rsidP="00BA4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r w:rsidRPr="00AD54FC">
              <w:rPr>
                <w:sz w:val="16"/>
                <w:szCs w:val="16"/>
                <w:lang w:val="es-ES_tradnl"/>
              </w:rPr>
              <w:t xml:space="preserve">Secretarias permanentes adjuntas / </w:t>
            </w:r>
            <w:proofErr w:type="gramStart"/>
            <w:r w:rsidRPr="00AD54FC">
              <w:rPr>
                <w:sz w:val="16"/>
                <w:szCs w:val="16"/>
                <w:lang w:val="es-ES_tradnl"/>
              </w:rPr>
              <w:t>Secretarias</w:t>
            </w:r>
            <w:proofErr w:type="gramEnd"/>
            <w:r w:rsidRPr="00AD54FC">
              <w:rPr>
                <w:sz w:val="16"/>
                <w:szCs w:val="16"/>
                <w:lang w:val="es-ES_tradnl"/>
              </w:rPr>
              <w:t xml:space="preserve"> principales adjuntas / Directoras generales adjuntas / Directoras ejecutivas adjuntas </w:t>
            </w:r>
          </w:p>
        </w:tc>
        <w:tc>
          <w:tcPr>
            <w:tcW w:w="1134" w:type="dxa"/>
            <w:shd w:val="clear" w:color="auto" w:fill="auto"/>
            <w:vAlign w:val="bottom"/>
          </w:tcPr>
          <w:p w14:paraId="4F23F30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47</w:t>
            </w:r>
          </w:p>
        </w:tc>
        <w:tc>
          <w:tcPr>
            <w:tcW w:w="1533" w:type="dxa"/>
            <w:shd w:val="clear" w:color="auto" w:fill="auto"/>
            <w:vAlign w:val="bottom"/>
          </w:tcPr>
          <w:p w14:paraId="312FE662"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19</w:t>
            </w:r>
          </w:p>
        </w:tc>
        <w:tc>
          <w:tcPr>
            <w:tcW w:w="969" w:type="dxa"/>
            <w:shd w:val="clear" w:color="auto" w:fill="auto"/>
            <w:vAlign w:val="bottom"/>
          </w:tcPr>
          <w:p w14:paraId="15A5FAF9"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40 %</w:t>
            </w:r>
          </w:p>
        </w:tc>
      </w:tr>
      <w:tr w:rsidR="003D1CF4" w:rsidRPr="00AD54FC" w14:paraId="42FEE796" w14:textId="77777777" w:rsidTr="001F7C93">
        <w:tc>
          <w:tcPr>
            <w:tcW w:w="4976" w:type="dxa"/>
            <w:tcBorders>
              <w:bottom w:val="single" w:sz="12" w:space="0" w:color="auto"/>
            </w:tcBorders>
            <w:shd w:val="clear" w:color="auto" w:fill="auto"/>
            <w:vAlign w:val="bottom"/>
          </w:tcPr>
          <w:p w14:paraId="76553324" w14:textId="77777777" w:rsidR="003D1CF4" w:rsidRPr="00AD54FC" w:rsidRDefault="003D1CF4" w:rsidP="00BA42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jc w:val="left"/>
              <w:rPr>
                <w:sz w:val="16"/>
                <w:szCs w:val="16"/>
                <w:lang w:val="es-ES_tradnl"/>
              </w:rPr>
            </w:pPr>
            <w:r w:rsidRPr="00AD54FC">
              <w:rPr>
                <w:sz w:val="16"/>
                <w:szCs w:val="16"/>
                <w:lang w:val="es-ES_tradnl"/>
              </w:rPr>
              <w:t>Directoras</w:t>
            </w:r>
          </w:p>
        </w:tc>
        <w:tc>
          <w:tcPr>
            <w:tcW w:w="1134" w:type="dxa"/>
            <w:tcBorders>
              <w:bottom w:val="single" w:sz="12" w:space="0" w:color="auto"/>
            </w:tcBorders>
            <w:shd w:val="clear" w:color="auto" w:fill="auto"/>
            <w:vAlign w:val="bottom"/>
          </w:tcPr>
          <w:p w14:paraId="3D97EBC2"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162</w:t>
            </w:r>
          </w:p>
        </w:tc>
        <w:tc>
          <w:tcPr>
            <w:tcW w:w="1533" w:type="dxa"/>
            <w:tcBorders>
              <w:bottom w:val="single" w:sz="12" w:space="0" w:color="auto"/>
            </w:tcBorders>
            <w:shd w:val="clear" w:color="auto" w:fill="auto"/>
            <w:vAlign w:val="bottom"/>
          </w:tcPr>
          <w:p w14:paraId="083C38B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60</w:t>
            </w:r>
          </w:p>
        </w:tc>
        <w:tc>
          <w:tcPr>
            <w:tcW w:w="969" w:type="dxa"/>
            <w:tcBorders>
              <w:bottom w:val="single" w:sz="12" w:space="0" w:color="auto"/>
            </w:tcBorders>
            <w:shd w:val="clear" w:color="auto" w:fill="auto"/>
            <w:vAlign w:val="bottom"/>
          </w:tcPr>
          <w:p w14:paraId="0959542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37 %</w:t>
            </w:r>
          </w:p>
        </w:tc>
      </w:tr>
    </w:tbl>
    <w:p w14:paraId="5ED542AB" w14:textId="209F2C2F" w:rsidR="003D1CF4" w:rsidRPr="00AD54FC" w:rsidRDefault="003D1CF4" w:rsidP="003D1CF4">
      <w:pPr>
        <w:pStyle w:val="SingleTxt"/>
        <w:spacing w:after="0" w:line="120" w:lineRule="exact"/>
        <w:rPr>
          <w:sz w:val="10"/>
          <w:lang w:val="es-ES_tradnl"/>
        </w:rPr>
      </w:pPr>
    </w:p>
    <w:p w14:paraId="156ECF15" w14:textId="570B2175" w:rsidR="003D1CF4" w:rsidRPr="00AD54FC" w:rsidRDefault="003D1CF4" w:rsidP="003D1CF4">
      <w:pPr>
        <w:pStyle w:val="SingleTxt"/>
        <w:spacing w:after="0" w:line="120" w:lineRule="exact"/>
        <w:rPr>
          <w:sz w:val="10"/>
          <w:lang w:val="es-ES_tradnl"/>
        </w:rPr>
      </w:pPr>
    </w:p>
    <w:p w14:paraId="3EAC7A56" w14:textId="77777777"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D54FC">
        <w:rPr>
          <w:b w:val="0"/>
          <w:bCs/>
          <w:lang w:val="es-ES_tradnl"/>
        </w:rPr>
        <w:tab/>
      </w:r>
      <w:r w:rsidRPr="00AD54FC">
        <w:rPr>
          <w:b w:val="0"/>
          <w:bCs/>
          <w:lang w:val="es-ES_tradnl"/>
        </w:rPr>
        <w:tab/>
        <w:t>Cuadro 3</w:t>
      </w:r>
    </w:p>
    <w:p w14:paraId="366B923B" w14:textId="578803B4"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Las mujeres en la judicatura</w:t>
      </w:r>
      <w:r w:rsidRPr="00AD54FC">
        <w:rPr>
          <w:lang w:val="es-ES_tradnl"/>
        </w:rPr>
        <w:t xml:space="preserve"> </w:t>
      </w:r>
    </w:p>
    <w:p w14:paraId="45D1C939" w14:textId="77777777" w:rsidR="003D1CF4" w:rsidRPr="00AD54FC" w:rsidRDefault="003D1CF4" w:rsidP="003D1CF4">
      <w:pPr>
        <w:pStyle w:val="SingleTxt"/>
        <w:spacing w:after="0" w:line="120" w:lineRule="exact"/>
        <w:rPr>
          <w:sz w:val="10"/>
          <w:lang w:val="es-ES_tradnl"/>
        </w:rPr>
      </w:pPr>
    </w:p>
    <w:p w14:paraId="47F4FBE1" w14:textId="77777777" w:rsidR="003D1CF4" w:rsidRPr="00AD54FC" w:rsidRDefault="003D1CF4" w:rsidP="003D1CF4">
      <w:pPr>
        <w:pStyle w:val="SingleTxt"/>
        <w:spacing w:after="0" w:line="120" w:lineRule="exact"/>
        <w:rPr>
          <w:sz w:val="10"/>
          <w:lang w:val="es-ES_tradnl"/>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76"/>
        <w:gridCol w:w="1134"/>
        <w:gridCol w:w="1533"/>
        <w:gridCol w:w="969"/>
      </w:tblGrid>
      <w:tr w:rsidR="003D1CF4" w:rsidRPr="00AD54FC" w14:paraId="517A6121" w14:textId="77777777" w:rsidTr="001F7C93">
        <w:trPr>
          <w:tblHeader/>
        </w:trPr>
        <w:tc>
          <w:tcPr>
            <w:tcW w:w="4976" w:type="dxa"/>
            <w:tcBorders>
              <w:top w:val="single" w:sz="4" w:space="0" w:color="auto"/>
              <w:bottom w:val="single" w:sz="12" w:space="0" w:color="auto"/>
            </w:tcBorders>
            <w:shd w:val="clear" w:color="auto" w:fill="auto"/>
            <w:vAlign w:val="bottom"/>
          </w:tcPr>
          <w:p w14:paraId="58C075A5"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0" w:right="43"/>
              <w:rPr>
                <w:i/>
                <w:sz w:val="14"/>
                <w:szCs w:val="14"/>
                <w:lang w:val="es-ES_tradnl"/>
              </w:rPr>
            </w:pPr>
            <w:r w:rsidRPr="00AD54FC">
              <w:rPr>
                <w:i/>
                <w:iCs/>
                <w:sz w:val="14"/>
                <w:szCs w:val="14"/>
                <w:lang w:val="es-ES_tradnl"/>
              </w:rPr>
              <w:t>Categoría</w:t>
            </w:r>
            <w:r w:rsidRPr="00AD54FC">
              <w:rPr>
                <w:sz w:val="14"/>
                <w:szCs w:val="14"/>
                <w:lang w:val="es-ES_tradnl"/>
              </w:rPr>
              <w:t xml:space="preserve"> </w:t>
            </w:r>
          </w:p>
        </w:tc>
        <w:tc>
          <w:tcPr>
            <w:tcW w:w="1134" w:type="dxa"/>
            <w:tcBorders>
              <w:top w:val="single" w:sz="4" w:space="0" w:color="auto"/>
              <w:bottom w:val="single" w:sz="12" w:space="0" w:color="auto"/>
            </w:tcBorders>
            <w:shd w:val="clear" w:color="auto" w:fill="auto"/>
            <w:vAlign w:val="bottom"/>
          </w:tcPr>
          <w:p w14:paraId="6A6E25A3" w14:textId="311ADBB1"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Número total de puestos/plazas</w:t>
            </w:r>
          </w:p>
        </w:tc>
        <w:tc>
          <w:tcPr>
            <w:tcW w:w="1533" w:type="dxa"/>
            <w:tcBorders>
              <w:top w:val="single" w:sz="4" w:space="0" w:color="auto"/>
              <w:bottom w:val="single" w:sz="12" w:space="0" w:color="auto"/>
            </w:tcBorders>
            <w:shd w:val="clear" w:color="auto" w:fill="auto"/>
            <w:vAlign w:val="bottom"/>
          </w:tcPr>
          <w:p w14:paraId="1EA6D13B"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Número de puestos ocupados por mujeres</w:t>
            </w:r>
          </w:p>
        </w:tc>
        <w:tc>
          <w:tcPr>
            <w:tcW w:w="969" w:type="dxa"/>
            <w:tcBorders>
              <w:top w:val="single" w:sz="4" w:space="0" w:color="auto"/>
              <w:bottom w:val="single" w:sz="12" w:space="0" w:color="auto"/>
            </w:tcBorders>
            <w:shd w:val="clear" w:color="auto" w:fill="auto"/>
            <w:vAlign w:val="bottom"/>
          </w:tcPr>
          <w:p w14:paraId="00B5974F"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Porcentaje de mujeres</w:t>
            </w:r>
          </w:p>
        </w:tc>
      </w:tr>
      <w:tr w:rsidR="003D1CF4" w:rsidRPr="00AD54FC" w14:paraId="6AB62D4B" w14:textId="77777777" w:rsidTr="001F7C93">
        <w:trPr>
          <w:trHeight w:hRule="exact" w:val="115"/>
          <w:tblHeader/>
        </w:trPr>
        <w:tc>
          <w:tcPr>
            <w:tcW w:w="4976" w:type="dxa"/>
            <w:tcBorders>
              <w:top w:val="single" w:sz="12" w:space="0" w:color="auto"/>
            </w:tcBorders>
            <w:shd w:val="clear" w:color="auto" w:fill="auto"/>
            <w:vAlign w:val="bottom"/>
          </w:tcPr>
          <w:p w14:paraId="6B5FB3BB"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134" w:type="dxa"/>
            <w:tcBorders>
              <w:top w:val="single" w:sz="12" w:space="0" w:color="auto"/>
            </w:tcBorders>
            <w:shd w:val="clear" w:color="auto" w:fill="auto"/>
            <w:vAlign w:val="bottom"/>
          </w:tcPr>
          <w:p w14:paraId="517EFAB4"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533" w:type="dxa"/>
            <w:tcBorders>
              <w:top w:val="single" w:sz="12" w:space="0" w:color="auto"/>
            </w:tcBorders>
            <w:shd w:val="clear" w:color="auto" w:fill="auto"/>
            <w:vAlign w:val="bottom"/>
          </w:tcPr>
          <w:p w14:paraId="0F64A947"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69" w:type="dxa"/>
            <w:tcBorders>
              <w:top w:val="single" w:sz="12" w:space="0" w:color="auto"/>
            </w:tcBorders>
            <w:shd w:val="clear" w:color="auto" w:fill="auto"/>
            <w:vAlign w:val="bottom"/>
          </w:tcPr>
          <w:p w14:paraId="23BED320"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3D1CF4" w:rsidRPr="00AD54FC" w14:paraId="12987DBE" w14:textId="77777777" w:rsidTr="001F7C93">
        <w:tc>
          <w:tcPr>
            <w:tcW w:w="4976" w:type="dxa"/>
            <w:shd w:val="clear" w:color="auto" w:fill="auto"/>
            <w:vAlign w:val="bottom"/>
          </w:tcPr>
          <w:p w14:paraId="5EED0801"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rPr>
                <w:sz w:val="17"/>
                <w:lang w:val="es-ES_tradnl"/>
              </w:rPr>
            </w:pPr>
            <w:r w:rsidRPr="00AD54FC">
              <w:rPr>
                <w:lang w:val="es-ES_tradnl"/>
              </w:rPr>
              <w:t>Presidenta de la Corte Suprema</w:t>
            </w:r>
          </w:p>
        </w:tc>
        <w:tc>
          <w:tcPr>
            <w:tcW w:w="1134" w:type="dxa"/>
            <w:shd w:val="clear" w:color="auto" w:fill="auto"/>
            <w:vAlign w:val="bottom"/>
          </w:tcPr>
          <w:p w14:paraId="4658EB93"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1</w:t>
            </w:r>
          </w:p>
        </w:tc>
        <w:tc>
          <w:tcPr>
            <w:tcW w:w="1533" w:type="dxa"/>
            <w:shd w:val="clear" w:color="auto" w:fill="auto"/>
            <w:vAlign w:val="bottom"/>
          </w:tcPr>
          <w:p w14:paraId="5C523EBE"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0</w:t>
            </w:r>
          </w:p>
        </w:tc>
        <w:tc>
          <w:tcPr>
            <w:tcW w:w="969" w:type="dxa"/>
            <w:shd w:val="clear" w:color="auto" w:fill="auto"/>
            <w:vAlign w:val="bottom"/>
          </w:tcPr>
          <w:p w14:paraId="5A3DDEC8"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0 %</w:t>
            </w:r>
          </w:p>
        </w:tc>
      </w:tr>
      <w:tr w:rsidR="003D1CF4" w:rsidRPr="00AD54FC" w14:paraId="6C8F7C11" w14:textId="77777777" w:rsidTr="001F7C93">
        <w:tc>
          <w:tcPr>
            <w:tcW w:w="4976" w:type="dxa"/>
            <w:shd w:val="clear" w:color="auto" w:fill="auto"/>
            <w:vAlign w:val="bottom"/>
          </w:tcPr>
          <w:p w14:paraId="7F1CA8C1"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rPr>
                <w:sz w:val="17"/>
                <w:lang w:val="es-ES_tradnl"/>
              </w:rPr>
            </w:pPr>
            <w:r w:rsidRPr="00AD54FC">
              <w:rPr>
                <w:lang w:val="es-ES_tradnl"/>
              </w:rPr>
              <w:t>Presidenta de la Corte</w:t>
            </w:r>
          </w:p>
        </w:tc>
        <w:tc>
          <w:tcPr>
            <w:tcW w:w="1134" w:type="dxa"/>
            <w:shd w:val="clear" w:color="auto" w:fill="auto"/>
            <w:vAlign w:val="bottom"/>
          </w:tcPr>
          <w:p w14:paraId="0982DFF0"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1</w:t>
            </w:r>
          </w:p>
        </w:tc>
        <w:tc>
          <w:tcPr>
            <w:tcW w:w="1533" w:type="dxa"/>
            <w:shd w:val="clear" w:color="auto" w:fill="auto"/>
            <w:vAlign w:val="bottom"/>
          </w:tcPr>
          <w:p w14:paraId="7CD5BC59"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0</w:t>
            </w:r>
          </w:p>
        </w:tc>
        <w:tc>
          <w:tcPr>
            <w:tcW w:w="969" w:type="dxa"/>
            <w:shd w:val="clear" w:color="auto" w:fill="auto"/>
            <w:vAlign w:val="bottom"/>
          </w:tcPr>
          <w:p w14:paraId="2EA78B15"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0 %</w:t>
            </w:r>
          </w:p>
        </w:tc>
      </w:tr>
      <w:tr w:rsidR="003D1CF4" w:rsidRPr="00AD54FC" w14:paraId="267A2D3E" w14:textId="77777777" w:rsidTr="001F7C93">
        <w:tc>
          <w:tcPr>
            <w:tcW w:w="4976" w:type="dxa"/>
            <w:shd w:val="clear" w:color="auto" w:fill="auto"/>
            <w:vAlign w:val="bottom"/>
          </w:tcPr>
          <w:p w14:paraId="57979767"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rPr>
                <w:sz w:val="17"/>
                <w:lang w:val="es-ES_tradnl"/>
              </w:rPr>
            </w:pPr>
            <w:r w:rsidRPr="00AD54FC">
              <w:rPr>
                <w:lang w:val="es-ES_tradnl"/>
              </w:rPr>
              <w:t>Juezas</w:t>
            </w:r>
          </w:p>
        </w:tc>
        <w:tc>
          <w:tcPr>
            <w:tcW w:w="1134" w:type="dxa"/>
            <w:shd w:val="clear" w:color="auto" w:fill="auto"/>
            <w:vAlign w:val="bottom"/>
          </w:tcPr>
          <w:p w14:paraId="6D9834B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21</w:t>
            </w:r>
          </w:p>
        </w:tc>
        <w:tc>
          <w:tcPr>
            <w:tcW w:w="1533" w:type="dxa"/>
            <w:shd w:val="clear" w:color="auto" w:fill="auto"/>
            <w:vAlign w:val="bottom"/>
          </w:tcPr>
          <w:p w14:paraId="032C2D33"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7</w:t>
            </w:r>
          </w:p>
        </w:tc>
        <w:tc>
          <w:tcPr>
            <w:tcW w:w="969" w:type="dxa"/>
            <w:shd w:val="clear" w:color="auto" w:fill="auto"/>
            <w:vAlign w:val="bottom"/>
          </w:tcPr>
          <w:p w14:paraId="50CEBECA"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33 %</w:t>
            </w:r>
          </w:p>
        </w:tc>
      </w:tr>
      <w:tr w:rsidR="003D1CF4" w:rsidRPr="00AD54FC" w14:paraId="2B24841F" w14:textId="77777777" w:rsidTr="001F7C93">
        <w:tc>
          <w:tcPr>
            <w:tcW w:w="4976" w:type="dxa"/>
            <w:shd w:val="clear" w:color="auto" w:fill="auto"/>
            <w:vAlign w:val="bottom"/>
          </w:tcPr>
          <w:p w14:paraId="3826768B"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rPr>
                <w:sz w:val="17"/>
                <w:lang w:val="es-ES_tradnl"/>
              </w:rPr>
            </w:pPr>
            <w:r w:rsidRPr="00AD54FC">
              <w:rPr>
                <w:lang w:val="es-ES_tradnl"/>
              </w:rPr>
              <w:t>Secretarias</w:t>
            </w:r>
          </w:p>
        </w:tc>
        <w:tc>
          <w:tcPr>
            <w:tcW w:w="1134" w:type="dxa"/>
            <w:shd w:val="clear" w:color="auto" w:fill="auto"/>
            <w:vAlign w:val="bottom"/>
          </w:tcPr>
          <w:p w14:paraId="369E963A"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1</w:t>
            </w:r>
          </w:p>
        </w:tc>
        <w:tc>
          <w:tcPr>
            <w:tcW w:w="1533" w:type="dxa"/>
            <w:shd w:val="clear" w:color="auto" w:fill="auto"/>
            <w:vAlign w:val="bottom"/>
          </w:tcPr>
          <w:p w14:paraId="7CF5FFD7"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1</w:t>
            </w:r>
          </w:p>
        </w:tc>
        <w:tc>
          <w:tcPr>
            <w:tcW w:w="969" w:type="dxa"/>
            <w:shd w:val="clear" w:color="auto" w:fill="auto"/>
            <w:vAlign w:val="bottom"/>
          </w:tcPr>
          <w:p w14:paraId="0464D3F8"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100 %</w:t>
            </w:r>
          </w:p>
        </w:tc>
      </w:tr>
      <w:tr w:rsidR="003D1CF4" w:rsidRPr="00AD54FC" w14:paraId="1A5C56BC" w14:textId="77777777" w:rsidTr="001F7C93">
        <w:tc>
          <w:tcPr>
            <w:tcW w:w="4976" w:type="dxa"/>
            <w:shd w:val="clear" w:color="auto" w:fill="auto"/>
            <w:vAlign w:val="bottom"/>
          </w:tcPr>
          <w:p w14:paraId="32ED677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rPr>
                <w:sz w:val="17"/>
                <w:lang w:val="es-ES_tradnl"/>
              </w:rPr>
            </w:pPr>
            <w:r w:rsidRPr="00AD54FC">
              <w:rPr>
                <w:lang w:val="es-ES_tradnl"/>
              </w:rPr>
              <w:t>Magistrada Superior</w:t>
            </w:r>
          </w:p>
        </w:tc>
        <w:tc>
          <w:tcPr>
            <w:tcW w:w="1134" w:type="dxa"/>
            <w:shd w:val="clear" w:color="auto" w:fill="auto"/>
            <w:vAlign w:val="bottom"/>
          </w:tcPr>
          <w:p w14:paraId="58A7F229"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1</w:t>
            </w:r>
          </w:p>
        </w:tc>
        <w:tc>
          <w:tcPr>
            <w:tcW w:w="1533" w:type="dxa"/>
            <w:shd w:val="clear" w:color="auto" w:fill="auto"/>
            <w:vAlign w:val="bottom"/>
          </w:tcPr>
          <w:p w14:paraId="3E02013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1</w:t>
            </w:r>
          </w:p>
        </w:tc>
        <w:tc>
          <w:tcPr>
            <w:tcW w:w="969" w:type="dxa"/>
            <w:shd w:val="clear" w:color="auto" w:fill="auto"/>
            <w:vAlign w:val="bottom"/>
          </w:tcPr>
          <w:p w14:paraId="6DF63BA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100 %</w:t>
            </w:r>
          </w:p>
        </w:tc>
      </w:tr>
      <w:tr w:rsidR="003D1CF4" w:rsidRPr="00AD54FC" w14:paraId="61F02AAE" w14:textId="77777777" w:rsidTr="001F7C93">
        <w:tc>
          <w:tcPr>
            <w:tcW w:w="4976" w:type="dxa"/>
            <w:tcBorders>
              <w:bottom w:val="single" w:sz="12" w:space="0" w:color="auto"/>
            </w:tcBorders>
            <w:shd w:val="clear" w:color="auto" w:fill="auto"/>
            <w:vAlign w:val="bottom"/>
          </w:tcPr>
          <w:p w14:paraId="63781993"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rPr>
                <w:sz w:val="17"/>
                <w:lang w:val="es-ES_tradnl"/>
              </w:rPr>
            </w:pPr>
            <w:r w:rsidRPr="00AD54FC">
              <w:rPr>
                <w:lang w:val="es-ES_tradnl"/>
              </w:rPr>
              <w:t>Magistradas</w:t>
            </w:r>
          </w:p>
        </w:tc>
        <w:tc>
          <w:tcPr>
            <w:tcW w:w="1134" w:type="dxa"/>
            <w:tcBorders>
              <w:bottom w:val="single" w:sz="12" w:space="0" w:color="auto"/>
            </w:tcBorders>
            <w:shd w:val="clear" w:color="auto" w:fill="auto"/>
            <w:vAlign w:val="bottom"/>
          </w:tcPr>
          <w:p w14:paraId="117A0DD9"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93</w:t>
            </w:r>
          </w:p>
        </w:tc>
        <w:tc>
          <w:tcPr>
            <w:tcW w:w="1533" w:type="dxa"/>
            <w:tcBorders>
              <w:bottom w:val="single" w:sz="12" w:space="0" w:color="auto"/>
            </w:tcBorders>
            <w:shd w:val="clear" w:color="auto" w:fill="auto"/>
            <w:vAlign w:val="bottom"/>
          </w:tcPr>
          <w:p w14:paraId="1271F176"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46</w:t>
            </w:r>
          </w:p>
        </w:tc>
        <w:tc>
          <w:tcPr>
            <w:tcW w:w="969" w:type="dxa"/>
            <w:tcBorders>
              <w:bottom w:val="single" w:sz="12" w:space="0" w:color="auto"/>
            </w:tcBorders>
            <w:shd w:val="clear" w:color="auto" w:fill="auto"/>
            <w:vAlign w:val="bottom"/>
          </w:tcPr>
          <w:p w14:paraId="3848F51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7"/>
                <w:lang w:val="es-ES_tradnl"/>
              </w:rPr>
            </w:pPr>
            <w:r w:rsidRPr="00AD54FC">
              <w:rPr>
                <w:lang w:val="es-ES_tradnl"/>
              </w:rPr>
              <w:t>49,5 %</w:t>
            </w:r>
          </w:p>
        </w:tc>
      </w:tr>
    </w:tbl>
    <w:p w14:paraId="0ED18BB8" w14:textId="77777777" w:rsidR="003D1CF4" w:rsidRPr="00AD54FC" w:rsidRDefault="003D1CF4" w:rsidP="003D1CF4">
      <w:pPr>
        <w:pStyle w:val="SingleTxt"/>
        <w:spacing w:after="0" w:line="120" w:lineRule="exact"/>
        <w:rPr>
          <w:sz w:val="10"/>
          <w:lang w:val="es-ES_tradnl"/>
        </w:rPr>
      </w:pPr>
    </w:p>
    <w:p w14:paraId="5E96E875" w14:textId="48415E75" w:rsidR="003D1CF4" w:rsidRPr="00AD54FC" w:rsidRDefault="003D1CF4" w:rsidP="003D1CF4">
      <w:pPr>
        <w:pStyle w:val="FootnoteText"/>
        <w:tabs>
          <w:tab w:val="clear" w:pos="418"/>
          <w:tab w:val="right" w:pos="1476"/>
          <w:tab w:val="left" w:pos="1548"/>
          <w:tab w:val="right" w:pos="1836"/>
          <w:tab w:val="left" w:pos="1908"/>
        </w:tabs>
        <w:spacing w:line="200" w:lineRule="exact"/>
        <w:ind w:left="1555" w:hanging="288"/>
        <w:rPr>
          <w:lang w:val="es-ES_tradnl"/>
        </w:rPr>
      </w:pPr>
      <w:r w:rsidRPr="00AD54FC">
        <w:rPr>
          <w:lang w:val="es-ES_tradnl"/>
        </w:rPr>
        <w:t xml:space="preserve">Corte Suprema: La Corte Suprema está formada exclusivamente por hombres, con alguna que otra jueza designada para intervenir ocasionalmente. </w:t>
      </w:r>
    </w:p>
    <w:p w14:paraId="5E60B3DB" w14:textId="77777777" w:rsidR="003D1CF4" w:rsidRPr="00AD54FC" w:rsidRDefault="003D1CF4" w:rsidP="003D1CF4">
      <w:pPr>
        <w:pStyle w:val="FootnoteText"/>
        <w:tabs>
          <w:tab w:val="clear" w:pos="418"/>
          <w:tab w:val="right" w:pos="1476"/>
          <w:tab w:val="left" w:pos="1548"/>
          <w:tab w:val="right" w:pos="1836"/>
          <w:tab w:val="left" w:pos="1908"/>
        </w:tabs>
        <w:spacing w:line="200" w:lineRule="exact"/>
        <w:ind w:left="1555" w:hanging="288"/>
        <w:rPr>
          <w:lang w:val="es-ES_tradnl"/>
        </w:rPr>
      </w:pPr>
      <w:r w:rsidRPr="00AD54FC">
        <w:rPr>
          <w:lang w:val="es-ES_tradnl"/>
        </w:rPr>
        <w:t xml:space="preserve">Tribunal Superior: Toda la correspondencia debe dirigirse a la Dirección Ejecutiva. En 2016 el Tribunal Superior estaba compuesto por once (11) hombres y tres (3) mujeres, es decir, un 79 % de hombres y un 21 % de mujeres. Sin embargo, esta situación ha cambiado radicalmente en los últimos cinco años, de tal manera que en 2021 el Tribunal Superior estaba formado por once (11) hombres y ocho (8) mujeres, a saber, un 58 % de representación masculina y un 42 % de representación femenina. </w:t>
      </w:r>
    </w:p>
    <w:p w14:paraId="7E0A2F0B" w14:textId="77777777" w:rsidR="003D1CF4" w:rsidRPr="00AD54FC" w:rsidRDefault="003D1CF4" w:rsidP="003D1CF4">
      <w:pPr>
        <w:pStyle w:val="SingleTxt"/>
        <w:spacing w:after="0" w:line="120" w:lineRule="exact"/>
        <w:rPr>
          <w:sz w:val="10"/>
          <w:lang w:val="es-ES_tradnl"/>
        </w:rPr>
      </w:pPr>
    </w:p>
    <w:p w14:paraId="2885E239" w14:textId="77777777" w:rsidR="003D1CF4" w:rsidRPr="00AD54FC" w:rsidRDefault="003D1CF4" w:rsidP="003D1CF4">
      <w:pPr>
        <w:pStyle w:val="SingleTxt"/>
        <w:spacing w:after="0" w:line="120" w:lineRule="exact"/>
        <w:rPr>
          <w:sz w:val="10"/>
          <w:lang w:val="es-ES_tradnl"/>
        </w:rPr>
      </w:pPr>
    </w:p>
    <w:p w14:paraId="67A5D9A7" w14:textId="77777777"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D54FC">
        <w:rPr>
          <w:b w:val="0"/>
          <w:bCs/>
          <w:lang w:val="es-ES_tradnl"/>
        </w:rPr>
        <w:tab/>
      </w:r>
      <w:r w:rsidRPr="00AD54FC">
        <w:rPr>
          <w:b w:val="0"/>
          <w:bCs/>
          <w:lang w:val="es-ES_tradnl"/>
        </w:rPr>
        <w:tab/>
        <w:t>Cuadro 4</w:t>
      </w:r>
    </w:p>
    <w:p w14:paraId="3EE0D337" w14:textId="540745F0"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Las mujeres dirigentes en las empresas públicas</w:t>
      </w:r>
      <w:r w:rsidRPr="00AD54FC">
        <w:rPr>
          <w:lang w:val="es-ES_tradnl"/>
        </w:rPr>
        <w:t xml:space="preserve"> </w:t>
      </w:r>
    </w:p>
    <w:p w14:paraId="63B509AE" w14:textId="77777777" w:rsidR="003D1CF4" w:rsidRPr="00AD54FC" w:rsidRDefault="003D1CF4" w:rsidP="003D1CF4">
      <w:pPr>
        <w:pStyle w:val="SingleTxt"/>
        <w:spacing w:after="0" w:line="120" w:lineRule="exact"/>
        <w:rPr>
          <w:sz w:val="10"/>
          <w:lang w:val="es-ES_tradnl"/>
        </w:rPr>
      </w:pPr>
    </w:p>
    <w:p w14:paraId="6869000A" w14:textId="77777777" w:rsidR="003D1CF4" w:rsidRPr="00AD54FC" w:rsidRDefault="003D1CF4" w:rsidP="003D1CF4">
      <w:pPr>
        <w:pStyle w:val="SingleTxt"/>
        <w:spacing w:after="0" w:line="120" w:lineRule="exact"/>
        <w:rPr>
          <w:sz w:val="10"/>
          <w:lang w:val="es-ES_tradnl"/>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76"/>
        <w:gridCol w:w="1134"/>
        <w:gridCol w:w="1533"/>
        <w:gridCol w:w="969"/>
      </w:tblGrid>
      <w:tr w:rsidR="003D1CF4" w:rsidRPr="00AD54FC" w14:paraId="4DF59D85" w14:textId="77777777" w:rsidTr="00D026E4">
        <w:trPr>
          <w:tblHeader/>
        </w:trPr>
        <w:tc>
          <w:tcPr>
            <w:tcW w:w="4976" w:type="dxa"/>
            <w:tcBorders>
              <w:top w:val="single" w:sz="4" w:space="0" w:color="auto"/>
              <w:bottom w:val="single" w:sz="12" w:space="0" w:color="auto"/>
            </w:tcBorders>
            <w:shd w:val="clear" w:color="auto" w:fill="auto"/>
            <w:vAlign w:val="bottom"/>
          </w:tcPr>
          <w:p w14:paraId="131751A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0" w:right="43"/>
              <w:rPr>
                <w:i/>
                <w:sz w:val="14"/>
                <w:szCs w:val="14"/>
                <w:lang w:val="es-ES_tradnl"/>
              </w:rPr>
            </w:pPr>
          </w:p>
        </w:tc>
        <w:tc>
          <w:tcPr>
            <w:tcW w:w="1134" w:type="dxa"/>
            <w:tcBorders>
              <w:top w:val="single" w:sz="4" w:space="0" w:color="auto"/>
              <w:bottom w:val="single" w:sz="12" w:space="0" w:color="auto"/>
            </w:tcBorders>
            <w:shd w:val="clear" w:color="auto" w:fill="auto"/>
            <w:vAlign w:val="bottom"/>
          </w:tcPr>
          <w:p w14:paraId="00A4E850"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Número total de puestos</w:t>
            </w:r>
          </w:p>
        </w:tc>
        <w:tc>
          <w:tcPr>
            <w:tcW w:w="1533" w:type="dxa"/>
            <w:tcBorders>
              <w:top w:val="single" w:sz="4" w:space="0" w:color="auto"/>
              <w:bottom w:val="single" w:sz="12" w:space="0" w:color="auto"/>
            </w:tcBorders>
            <w:shd w:val="clear" w:color="auto" w:fill="auto"/>
            <w:vAlign w:val="bottom"/>
          </w:tcPr>
          <w:p w14:paraId="5170FAB6"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Número de puestos ocupados por mujeres</w:t>
            </w:r>
          </w:p>
        </w:tc>
        <w:tc>
          <w:tcPr>
            <w:tcW w:w="969" w:type="dxa"/>
            <w:tcBorders>
              <w:top w:val="single" w:sz="4" w:space="0" w:color="auto"/>
              <w:bottom w:val="single" w:sz="12" w:space="0" w:color="auto"/>
            </w:tcBorders>
            <w:shd w:val="clear" w:color="auto" w:fill="auto"/>
            <w:vAlign w:val="bottom"/>
          </w:tcPr>
          <w:p w14:paraId="764EF40D"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50" w:lineRule="exact"/>
              <w:ind w:left="43" w:right="43"/>
              <w:jc w:val="right"/>
              <w:rPr>
                <w:i/>
                <w:spacing w:val="2"/>
                <w:w w:val="101"/>
                <w:sz w:val="14"/>
                <w:szCs w:val="14"/>
                <w:lang w:val="es-ES_tradnl"/>
              </w:rPr>
            </w:pPr>
            <w:r w:rsidRPr="00AD54FC">
              <w:rPr>
                <w:i/>
                <w:iCs/>
                <w:sz w:val="14"/>
                <w:szCs w:val="14"/>
                <w:lang w:val="es-ES_tradnl"/>
              </w:rPr>
              <w:t>Porcentaje de mujeres</w:t>
            </w:r>
          </w:p>
        </w:tc>
      </w:tr>
      <w:tr w:rsidR="003D1CF4" w:rsidRPr="00AD54FC" w14:paraId="4A46DC39" w14:textId="77777777" w:rsidTr="00D026E4">
        <w:trPr>
          <w:trHeight w:hRule="exact" w:val="115"/>
          <w:tblHeader/>
        </w:trPr>
        <w:tc>
          <w:tcPr>
            <w:tcW w:w="4976" w:type="dxa"/>
            <w:tcBorders>
              <w:top w:val="single" w:sz="12" w:space="0" w:color="auto"/>
            </w:tcBorders>
            <w:shd w:val="clear" w:color="auto" w:fill="auto"/>
            <w:vAlign w:val="bottom"/>
          </w:tcPr>
          <w:p w14:paraId="6D317355"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134" w:type="dxa"/>
            <w:tcBorders>
              <w:top w:val="single" w:sz="12" w:space="0" w:color="auto"/>
            </w:tcBorders>
            <w:shd w:val="clear" w:color="auto" w:fill="auto"/>
            <w:vAlign w:val="bottom"/>
          </w:tcPr>
          <w:p w14:paraId="1D2281F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533" w:type="dxa"/>
            <w:tcBorders>
              <w:top w:val="single" w:sz="12" w:space="0" w:color="auto"/>
            </w:tcBorders>
            <w:shd w:val="clear" w:color="auto" w:fill="auto"/>
            <w:vAlign w:val="bottom"/>
          </w:tcPr>
          <w:p w14:paraId="4FE16EFF"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69" w:type="dxa"/>
            <w:tcBorders>
              <w:top w:val="single" w:sz="12" w:space="0" w:color="auto"/>
            </w:tcBorders>
            <w:shd w:val="clear" w:color="auto" w:fill="auto"/>
            <w:vAlign w:val="bottom"/>
          </w:tcPr>
          <w:p w14:paraId="166C0D4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3D1CF4" w:rsidRPr="00AD54FC" w14:paraId="106C9FF1" w14:textId="77777777" w:rsidTr="00D026E4">
        <w:tc>
          <w:tcPr>
            <w:tcW w:w="4976" w:type="dxa"/>
            <w:tcBorders>
              <w:bottom w:val="single" w:sz="12" w:space="0" w:color="auto"/>
            </w:tcBorders>
            <w:shd w:val="clear" w:color="auto" w:fill="auto"/>
            <w:vAlign w:val="bottom"/>
          </w:tcPr>
          <w:p w14:paraId="62A8C876" w14:textId="68017865"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0" w:right="43"/>
              <w:rPr>
                <w:spacing w:val="2"/>
                <w:w w:val="102"/>
                <w:sz w:val="16"/>
                <w:szCs w:val="16"/>
                <w:lang w:val="es-ES_tradnl"/>
              </w:rPr>
            </w:pPr>
            <w:r w:rsidRPr="00AD54FC">
              <w:rPr>
                <w:sz w:val="16"/>
                <w:szCs w:val="16"/>
                <w:lang w:val="es-ES_tradnl"/>
              </w:rPr>
              <w:t xml:space="preserve">Directoras generalas de empresas públicas </w:t>
            </w:r>
          </w:p>
        </w:tc>
        <w:tc>
          <w:tcPr>
            <w:tcW w:w="1134" w:type="dxa"/>
            <w:tcBorders>
              <w:bottom w:val="single" w:sz="12" w:space="0" w:color="auto"/>
            </w:tcBorders>
            <w:shd w:val="clear" w:color="auto" w:fill="auto"/>
            <w:vAlign w:val="bottom"/>
          </w:tcPr>
          <w:p w14:paraId="001F4C36"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80</w:t>
            </w:r>
          </w:p>
        </w:tc>
        <w:tc>
          <w:tcPr>
            <w:tcW w:w="1533" w:type="dxa"/>
            <w:tcBorders>
              <w:bottom w:val="single" w:sz="12" w:space="0" w:color="auto"/>
            </w:tcBorders>
            <w:shd w:val="clear" w:color="auto" w:fill="auto"/>
            <w:vAlign w:val="bottom"/>
          </w:tcPr>
          <w:p w14:paraId="4BBB51F6"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12</w:t>
            </w:r>
          </w:p>
        </w:tc>
        <w:tc>
          <w:tcPr>
            <w:tcW w:w="969" w:type="dxa"/>
            <w:tcBorders>
              <w:bottom w:val="single" w:sz="12" w:space="0" w:color="auto"/>
            </w:tcBorders>
            <w:shd w:val="clear" w:color="auto" w:fill="auto"/>
            <w:vAlign w:val="bottom"/>
          </w:tcPr>
          <w:p w14:paraId="6C4439DC" w14:textId="77777777" w:rsidR="003D1CF4" w:rsidRPr="00AD54FC" w:rsidRDefault="003D1CF4" w:rsidP="003D1C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2" w:lineRule="exact"/>
              <w:ind w:left="144" w:right="43"/>
              <w:jc w:val="right"/>
              <w:rPr>
                <w:sz w:val="16"/>
                <w:szCs w:val="16"/>
                <w:lang w:val="es-ES_tradnl"/>
              </w:rPr>
            </w:pPr>
            <w:r w:rsidRPr="00AD54FC">
              <w:rPr>
                <w:sz w:val="16"/>
                <w:szCs w:val="16"/>
                <w:lang w:val="es-ES_tradnl"/>
              </w:rPr>
              <w:t>15 %</w:t>
            </w:r>
          </w:p>
        </w:tc>
      </w:tr>
    </w:tbl>
    <w:p w14:paraId="69A237DF" w14:textId="77777777" w:rsidR="001A41C6" w:rsidRPr="00AD54FC" w:rsidRDefault="001A41C6" w:rsidP="001A41C6">
      <w:pPr>
        <w:pStyle w:val="SingleTxt"/>
        <w:spacing w:after="0" w:line="120" w:lineRule="exact"/>
        <w:rPr>
          <w:sz w:val="10"/>
          <w:lang w:val="es-ES_tradnl"/>
        </w:rPr>
      </w:pPr>
    </w:p>
    <w:p w14:paraId="0F4666F7" w14:textId="77777777" w:rsidR="001A41C6" w:rsidRPr="00AD54FC" w:rsidRDefault="001A41C6" w:rsidP="001A41C6">
      <w:pPr>
        <w:pStyle w:val="SingleTxt"/>
        <w:spacing w:after="0" w:line="120" w:lineRule="exact"/>
        <w:rPr>
          <w:sz w:val="10"/>
          <w:lang w:val="es-ES_tradnl"/>
        </w:rPr>
      </w:pPr>
    </w:p>
    <w:p w14:paraId="447D7997" w14:textId="02CE87B9" w:rsidR="003D1CF4" w:rsidRPr="00AD54FC" w:rsidRDefault="003D1CF4" w:rsidP="003D1CF4">
      <w:pPr>
        <w:pStyle w:val="H1"/>
        <w:ind w:right="1260"/>
        <w:rPr>
          <w:lang w:val="es-ES_tradnl"/>
        </w:rPr>
      </w:pPr>
      <w:r w:rsidRPr="00AD54FC">
        <w:rPr>
          <w:lang w:val="es-ES_tradnl"/>
        </w:rPr>
        <w:tab/>
      </w:r>
      <w:r w:rsidRPr="00AD54FC">
        <w:rPr>
          <w:lang w:val="es-ES_tradnl"/>
        </w:rPr>
        <w:tab/>
      </w:r>
      <w:r w:rsidRPr="00AD54FC">
        <w:rPr>
          <w:bCs/>
          <w:lang w:val="es-ES_tradnl"/>
        </w:rPr>
        <w:t>El empoderamiento económico de las mujeres</w:t>
      </w:r>
    </w:p>
    <w:p w14:paraId="6D11FE1A" w14:textId="77777777" w:rsidR="003D1CF4" w:rsidRPr="00AD54FC" w:rsidRDefault="003D1CF4" w:rsidP="003D1CF4">
      <w:pPr>
        <w:pStyle w:val="SingleTxt"/>
        <w:spacing w:after="0" w:line="120" w:lineRule="exact"/>
        <w:rPr>
          <w:sz w:val="10"/>
          <w:lang w:val="es-ES_tradnl"/>
        </w:rPr>
      </w:pPr>
    </w:p>
    <w:p w14:paraId="5E9A204F" w14:textId="77777777" w:rsidR="003D1CF4" w:rsidRPr="00AD54FC" w:rsidRDefault="003D1CF4" w:rsidP="003D1CF4">
      <w:pPr>
        <w:pStyle w:val="SingleTxt"/>
        <w:spacing w:after="0" w:line="120" w:lineRule="exact"/>
        <w:rPr>
          <w:sz w:val="10"/>
          <w:lang w:val="es-ES_tradnl"/>
        </w:rPr>
      </w:pPr>
    </w:p>
    <w:p w14:paraId="741A4617" w14:textId="77777777"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D54FC">
        <w:rPr>
          <w:b w:val="0"/>
          <w:bCs/>
          <w:lang w:val="es-ES_tradnl"/>
        </w:rPr>
        <w:tab/>
      </w:r>
      <w:r w:rsidRPr="00AD54FC">
        <w:rPr>
          <w:b w:val="0"/>
          <w:bCs/>
          <w:lang w:val="es-ES_tradnl"/>
        </w:rPr>
        <w:tab/>
        <w:t>Cuadro 5</w:t>
      </w:r>
    </w:p>
    <w:p w14:paraId="1CAE7E75" w14:textId="28AD0741" w:rsidR="003D1CF4" w:rsidRPr="00AD54FC" w:rsidRDefault="003D1CF4" w:rsidP="003D1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Empleo y adopción de decisiones económicas</w:t>
      </w:r>
    </w:p>
    <w:p w14:paraId="2FE2DA6E" w14:textId="77777777" w:rsidR="003D1CF4" w:rsidRPr="00AD54FC" w:rsidRDefault="003D1CF4" w:rsidP="003D1CF4">
      <w:pPr>
        <w:pStyle w:val="SingleTxt"/>
        <w:spacing w:after="0" w:line="120" w:lineRule="exact"/>
        <w:rPr>
          <w:sz w:val="10"/>
          <w:lang w:val="es-ES_tradnl"/>
        </w:rPr>
      </w:pPr>
    </w:p>
    <w:p w14:paraId="09C871EA" w14:textId="77777777" w:rsidR="003D1CF4" w:rsidRPr="00AD54FC" w:rsidRDefault="003D1CF4" w:rsidP="003D1CF4">
      <w:pPr>
        <w:pStyle w:val="SingleTxt"/>
        <w:spacing w:after="0" w:line="120" w:lineRule="exact"/>
        <w:rPr>
          <w:sz w:val="10"/>
          <w:lang w:val="es-ES_tradnl"/>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33"/>
        <w:gridCol w:w="1260"/>
        <w:gridCol w:w="1710"/>
        <w:gridCol w:w="1509"/>
      </w:tblGrid>
      <w:tr w:rsidR="0049190F" w:rsidRPr="00AD54FC" w14:paraId="58FC7BAF" w14:textId="77777777" w:rsidTr="0049190F">
        <w:trPr>
          <w:tblHeader/>
        </w:trPr>
        <w:tc>
          <w:tcPr>
            <w:tcW w:w="4133" w:type="dxa"/>
            <w:tcBorders>
              <w:top w:val="single" w:sz="4" w:space="0" w:color="auto"/>
              <w:bottom w:val="single" w:sz="12" w:space="0" w:color="auto"/>
            </w:tcBorders>
            <w:shd w:val="clear" w:color="auto" w:fill="auto"/>
            <w:vAlign w:val="bottom"/>
          </w:tcPr>
          <w:p w14:paraId="64861A35"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szCs w:val="14"/>
                <w:lang w:val="es-ES_tradnl"/>
              </w:rPr>
            </w:pPr>
            <w:r w:rsidRPr="00AD54FC">
              <w:rPr>
                <w:i/>
                <w:iCs/>
                <w:sz w:val="14"/>
                <w:szCs w:val="14"/>
                <w:lang w:val="es-ES_tradnl"/>
              </w:rPr>
              <w:t>Tasa de desempleo</w:t>
            </w:r>
          </w:p>
        </w:tc>
        <w:tc>
          <w:tcPr>
            <w:tcW w:w="1260" w:type="dxa"/>
            <w:tcBorders>
              <w:top w:val="single" w:sz="4" w:space="0" w:color="auto"/>
              <w:bottom w:val="single" w:sz="12" w:space="0" w:color="auto"/>
            </w:tcBorders>
            <w:shd w:val="clear" w:color="auto" w:fill="auto"/>
            <w:vAlign w:val="bottom"/>
          </w:tcPr>
          <w:p w14:paraId="07A8486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s-ES_tradnl"/>
              </w:rPr>
            </w:pPr>
            <w:r w:rsidRPr="00AD54FC">
              <w:rPr>
                <w:i/>
                <w:iCs/>
                <w:sz w:val="14"/>
                <w:szCs w:val="14"/>
                <w:lang w:val="es-ES_tradnl"/>
              </w:rPr>
              <w:t>Número total de desempleados</w:t>
            </w:r>
          </w:p>
        </w:tc>
        <w:tc>
          <w:tcPr>
            <w:tcW w:w="1710" w:type="dxa"/>
            <w:tcBorders>
              <w:top w:val="single" w:sz="4" w:space="0" w:color="auto"/>
              <w:bottom w:val="single" w:sz="12" w:space="0" w:color="auto"/>
            </w:tcBorders>
            <w:shd w:val="clear" w:color="auto" w:fill="auto"/>
            <w:vAlign w:val="bottom"/>
          </w:tcPr>
          <w:p w14:paraId="5DEE9FDC" w14:textId="665BCC1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s-ES_tradnl"/>
              </w:rPr>
            </w:pPr>
            <w:r w:rsidRPr="00AD54FC">
              <w:rPr>
                <w:i/>
                <w:iCs/>
                <w:sz w:val="14"/>
                <w:szCs w:val="14"/>
                <w:lang w:val="es-ES_tradnl"/>
              </w:rPr>
              <w:t>Número de mujeres desempleadas</w:t>
            </w:r>
          </w:p>
        </w:tc>
        <w:tc>
          <w:tcPr>
            <w:tcW w:w="1509" w:type="dxa"/>
            <w:tcBorders>
              <w:top w:val="single" w:sz="4" w:space="0" w:color="auto"/>
              <w:bottom w:val="single" w:sz="12" w:space="0" w:color="auto"/>
            </w:tcBorders>
            <w:shd w:val="clear" w:color="auto" w:fill="auto"/>
            <w:vAlign w:val="bottom"/>
          </w:tcPr>
          <w:p w14:paraId="2677B23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pacing w:val="1"/>
                <w:sz w:val="14"/>
                <w:szCs w:val="14"/>
                <w:lang w:val="es-ES_tradnl"/>
              </w:rPr>
            </w:pPr>
            <w:r w:rsidRPr="00AD54FC">
              <w:rPr>
                <w:i/>
                <w:iCs/>
                <w:spacing w:val="1"/>
                <w:sz w:val="14"/>
                <w:szCs w:val="14"/>
                <w:lang w:val="es-ES_tradnl"/>
              </w:rPr>
              <w:t>Porcentaje de mujeres desempleadas</w:t>
            </w:r>
          </w:p>
        </w:tc>
      </w:tr>
      <w:tr w:rsidR="0049190F" w:rsidRPr="00AD54FC" w14:paraId="1C9527C0" w14:textId="77777777" w:rsidTr="0049190F">
        <w:trPr>
          <w:trHeight w:hRule="exact" w:val="115"/>
          <w:tblHeader/>
        </w:trPr>
        <w:tc>
          <w:tcPr>
            <w:tcW w:w="4133" w:type="dxa"/>
            <w:tcBorders>
              <w:top w:val="single" w:sz="12" w:space="0" w:color="auto"/>
            </w:tcBorders>
            <w:shd w:val="clear" w:color="auto" w:fill="auto"/>
            <w:vAlign w:val="bottom"/>
          </w:tcPr>
          <w:p w14:paraId="7BAAC77F"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1260" w:type="dxa"/>
            <w:tcBorders>
              <w:top w:val="single" w:sz="12" w:space="0" w:color="auto"/>
            </w:tcBorders>
            <w:shd w:val="clear" w:color="auto" w:fill="auto"/>
            <w:vAlign w:val="bottom"/>
          </w:tcPr>
          <w:p w14:paraId="61B4549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710" w:type="dxa"/>
            <w:tcBorders>
              <w:top w:val="single" w:sz="12" w:space="0" w:color="auto"/>
            </w:tcBorders>
            <w:shd w:val="clear" w:color="auto" w:fill="auto"/>
            <w:vAlign w:val="bottom"/>
          </w:tcPr>
          <w:p w14:paraId="5E1EE01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509" w:type="dxa"/>
            <w:tcBorders>
              <w:top w:val="single" w:sz="12" w:space="0" w:color="auto"/>
            </w:tcBorders>
            <w:shd w:val="clear" w:color="auto" w:fill="auto"/>
            <w:vAlign w:val="bottom"/>
          </w:tcPr>
          <w:p w14:paraId="61873F5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49190F" w:rsidRPr="00AD54FC" w14:paraId="3688FBFE" w14:textId="77777777" w:rsidTr="0049190F">
        <w:tc>
          <w:tcPr>
            <w:tcW w:w="4133" w:type="dxa"/>
            <w:shd w:val="clear" w:color="auto" w:fill="auto"/>
            <w:vAlign w:val="bottom"/>
          </w:tcPr>
          <w:p w14:paraId="6921E002"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Tasa de desempleo de las mujeres (según la última encuesta de población activa de 2018)</w:t>
            </w:r>
          </w:p>
        </w:tc>
        <w:tc>
          <w:tcPr>
            <w:tcW w:w="1260" w:type="dxa"/>
            <w:shd w:val="clear" w:color="auto" w:fill="auto"/>
            <w:vAlign w:val="bottom"/>
          </w:tcPr>
          <w:p w14:paraId="539B9B18" w14:textId="38BABA63"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364 411</w:t>
            </w:r>
          </w:p>
        </w:tc>
        <w:tc>
          <w:tcPr>
            <w:tcW w:w="1710" w:type="dxa"/>
            <w:shd w:val="clear" w:color="auto" w:fill="auto"/>
            <w:vAlign w:val="bottom"/>
          </w:tcPr>
          <w:p w14:paraId="1399D6EA" w14:textId="6DBC16C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190 507</w:t>
            </w:r>
          </w:p>
        </w:tc>
        <w:tc>
          <w:tcPr>
            <w:tcW w:w="1509" w:type="dxa"/>
            <w:shd w:val="clear" w:color="auto" w:fill="auto"/>
            <w:vAlign w:val="bottom"/>
          </w:tcPr>
          <w:p w14:paraId="0FD697C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52,3 %</w:t>
            </w:r>
          </w:p>
        </w:tc>
      </w:tr>
      <w:tr w:rsidR="0049190F" w:rsidRPr="00AD54FC" w14:paraId="273BB239" w14:textId="77777777" w:rsidTr="0049190F">
        <w:tc>
          <w:tcPr>
            <w:tcW w:w="4133" w:type="dxa"/>
            <w:shd w:val="clear" w:color="auto" w:fill="auto"/>
            <w:vAlign w:val="bottom"/>
          </w:tcPr>
          <w:p w14:paraId="4038052F"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¿Qué porcentaje de puestos decisorios ocupan las mujeres en los principales ministerios económicos?</w:t>
            </w:r>
          </w:p>
        </w:tc>
        <w:tc>
          <w:tcPr>
            <w:tcW w:w="1260" w:type="dxa"/>
            <w:shd w:val="clear" w:color="auto" w:fill="auto"/>
            <w:vAlign w:val="bottom"/>
          </w:tcPr>
          <w:p w14:paraId="402BA19C" w14:textId="532CBCFF"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0"/>
              <w:jc w:val="right"/>
              <w:rPr>
                <w:b/>
                <w:bCs/>
                <w:spacing w:val="2"/>
                <w:w w:val="102"/>
                <w:sz w:val="16"/>
                <w:szCs w:val="16"/>
                <w:lang w:val="es-ES_tradnl"/>
              </w:rPr>
            </w:pPr>
            <w:r w:rsidRPr="00AD54FC">
              <w:rPr>
                <w:b/>
                <w:bCs/>
                <w:sz w:val="16"/>
                <w:szCs w:val="16"/>
                <w:lang w:val="es-ES_tradnl"/>
              </w:rPr>
              <w:t>Número total de puestos</w:t>
            </w:r>
          </w:p>
        </w:tc>
        <w:tc>
          <w:tcPr>
            <w:tcW w:w="1710" w:type="dxa"/>
            <w:shd w:val="clear" w:color="auto" w:fill="auto"/>
            <w:vAlign w:val="bottom"/>
          </w:tcPr>
          <w:p w14:paraId="64E3A6BA" w14:textId="55E1BB2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0"/>
              <w:jc w:val="right"/>
              <w:rPr>
                <w:b/>
                <w:bCs/>
                <w:spacing w:val="2"/>
                <w:w w:val="102"/>
                <w:sz w:val="16"/>
                <w:szCs w:val="16"/>
                <w:lang w:val="es-ES_tradnl"/>
              </w:rPr>
            </w:pPr>
            <w:r w:rsidRPr="00AD54FC">
              <w:rPr>
                <w:b/>
                <w:bCs/>
                <w:spacing w:val="2"/>
                <w:sz w:val="16"/>
                <w:szCs w:val="16"/>
                <w:lang w:val="es-ES_tradnl"/>
              </w:rPr>
              <w:t>Número de puestos ocupados por mujeres</w:t>
            </w:r>
          </w:p>
        </w:tc>
        <w:tc>
          <w:tcPr>
            <w:tcW w:w="1509" w:type="dxa"/>
            <w:shd w:val="clear" w:color="auto" w:fill="auto"/>
            <w:vAlign w:val="bottom"/>
          </w:tcPr>
          <w:p w14:paraId="0C800B3C" w14:textId="037FD211"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0"/>
              <w:jc w:val="right"/>
              <w:rPr>
                <w:b/>
                <w:bCs/>
                <w:spacing w:val="2"/>
                <w:w w:val="102"/>
                <w:sz w:val="16"/>
                <w:szCs w:val="16"/>
                <w:lang w:val="es-ES_tradnl"/>
              </w:rPr>
            </w:pPr>
            <w:r w:rsidRPr="00AD54FC">
              <w:rPr>
                <w:b/>
                <w:bCs/>
                <w:sz w:val="16"/>
                <w:szCs w:val="16"/>
                <w:lang w:val="es-ES_tradnl"/>
              </w:rPr>
              <w:t>Porcentaje de mujeres</w:t>
            </w:r>
          </w:p>
        </w:tc>
      </w:tr>
      <w:tr w:rsidR="0049190F" w:rsidRPr="000C632A" w14:paraId="75085960" w14:textId="77777777" w:rsidTr="0049190F">
        <w:tc>
          <w:tcPr>
            <w:tcW w:w="4133" w:type="dxa"/>
            <w:shd w:val="clear" w:color="auto" w:fill="auto"/>
            <w:vAlign w:val="bottom"/>
          </w:tcPr>
          <w:p w14:paraId="3830FBBD" w14:textId="704180B1"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i/>
                <w:iCs/>
                <w:sz w:val="16"/>
                <w:szCs w:val="16"/>
                <w:lang w:val="es-ES_tradnl"/>
              </w:rPr>
            </w:pPr>
            <w:r w:rsidRPr="00AD54FC">
              <w:rPr>
                <w:i/>
                <w:iCs/>
                <w:sz w:val="16"/>
                <w:szCs w:val="16"/>
                <w:lang w:val="es-ES_tradnl"/>
              </w:rPr>
              <w:t>•</w:t>
            </w:r>
            <w:r w:rsidRPr="00AD54FC">
              <w:rPr>
                <w:i/>
                <w:iCs/>
                <w:sz w:val="16"/>
                <w:szCs w:val="16"/>
                <w:lang w:val="es-ES_tradnl"/>
              </w:rPr>
              <w:tab/>
            </w:r>
            <w:proofErr w:type="gramStart"/>
            <w:r w:rsidRPr="00AD54FC">
              <w:rPr>
                <w:i/>
                <w:iCs/>
                <w:sz w:val="16"/>
                <w:szCs w:val="16"/>
                <w:lang w:val="es-ES_tradnl"/>
              </w:rPr>
              <w:t>Secretarias</w:t>
            </w:r>
            <w:proofErr w:type="gramEnd"/>
            <w:r w:rsidRPr="00AD54FC">
              <w:rPr>
                <w:i/>
                <w:iCs/>
                <w:sz w:val="16"/>
                <w:szCs w:val="16"/>
                <w:lang w:val="es-ES_tradnl"/>
              </w:rPr>
              <w:t xml:space="preserve"> permanentes/principales adjuntas / Directoras generales / Directoras ejecutivas</w:t>
            </w:r>
          </w:p>
        </w:tc>
        <w:tc>
          <w:tcPr>
            <w:tcW w:w="1260" w:type="dxa"/>
            <w:shd w:val="clear" w:color="auto" w:fill="auto"/>
            <w:vAlign w:val="bottom"/>
          </w:tcPr>
          <w:p w14:paraId="4A3662F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2380823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1411417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0C632A" w14:paraId="4E8A23A7" w14:textId="77777777" w:rsidTr="0049190F">
        <w:tc>
          <w:tcPr>
            <w:tcW w:w="4133" w:type="dxa"/>
            <w:shd w:val="clear" w:color="auto" w:fill="auto"/>
            <w:vAlign w:val="bottom"/>
          </w:tcPr>
          <w:p w14:paraId="5C59A319" w14:textId="1BF2FEF0"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i/>
                <w:iCs/>
                <w:sz w:val="16"/>
                <w:szCs w:val="16"/>
                <w:lang w:val="es-ES_tradnl"/>
              </w:rPr>
            </w:pPr>
            <w:r w:rsidRPr="00AD54FC">
              <w:rPr>
                <w:i/>
                <w:iCs/>
                <w:sz w:val="16"/>
                <w:szCs w:val="16"/>
                <w:lang w:val="es-ES_tradnl"/>
              </w:rPr>
              <w:t>•</w:t>
            </w:r>
            <w:r w:rsidRPr="00AD54FC">
              <w:rPr>
                <w:i/>
                <w:iCs/>
                <w:sz w:val="16"/>
                <w:szCs w:val="16"/>
                <w:lang w:val="es-ES_tradnl"/>
              </w:rPr>
              <w:tab/>
            </w:r>
            <w:proofErr w:type="gramStart"/>
            <w:r w:rsidRPr="00AD54FC">
              <w:rPr>
                <w:i/>
                <w:iCs/>
                <w:sz w:val="16"/>
                <w:szCs w:val="16"/>
                <w:lang w:val="es-ES_tradnl"/>
              </w:rPr>
              <w:t>Secretarias</w:t>
            </w:r>
            <w:proofErr w:type="gramEnd"/>
            <w:r w:rsidRPr="00AD54FC">
              <w:rPr>
                <w:i/>
                <w:iCs/>
                <w:sz w:val="16"/>
                <w:szCs w:val="16"/>
                <w:lang w:val="es-ES_tradnl"/>
              </w:rPr>
              <w:t xml:space="preserve"> permanentes/principales / Directoras generales / Directoras ejecutivas adjuntas</w:t>
            </w:r>
          </w:p>
        </w:tc>
        <w:tc>
          <w:tcPr>
            <w:tcW w:w="1260" w:type="dxa"/>
            <w:shd w:val="clear" w:color="auto" w:fill="auto"/>
            <w:vAlign w:val="bottom"/>
          </w:tcPr>
          <w:p w14:paraId="75D2CD3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3317E71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3708254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4D33D76F" w14:textId="77777777" w:rsidTr="0049190F">
        <w:tc>
          <w:tcPr>
            <w:tcW w:w="4133" w:type="dxa"/>
            <w:shd w:val="clear" w:color="auto" w:fill="auto"/>
            <w:vAlign w:val="bottom"/>
          </w:tcPr>
          <w:p w14:paraId="24868CDF" w14:textId="10EEDDF2"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w:t>
            </w:r>
            <w:r w:rsidRPr="00AD54FC">
              <w:rPr>
                <w:i/>
                <w:iCs/>
                <w:sz w:val="16"/>
                <w:szCs w:val="16"/>
                <w:lang w:val="es-ES_tradnl"/>
              </w:rPr>
              <w:tab/>
            </w:r>
            <w:proofErr w:type="gramStart"/>
            <w:r w:rsidRPr="00AD54FC">
              <w:rPr>
                <w:i/>
                <w:iCs/>
                <w:sz w:val="16"/>
                <w:szCs w:val="16"/>
                <w:lang w:val="es-ES_tradnl"/>
              </w:rPr>
              <w:t>Viceministras</w:t>
            </w:r>
            <w:proofErr w:type="gramEnd"/>
          </w:p>
        </w:tc>
        <w:tc>
          <w:tcPr>
            <w:tcW w:w="1260" w:type="dxa"/>
            <w:shd w:val="clear" w:color="auto" w:fill="auto"/>
            <w:vAlign w:val="bottom"/>
          </w:tcPr>
          <w:p w14:paraId="58D6FA4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4A4BBF7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56FD445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1FF613A5" w14:textId="77777777" w:rsidTr="0049190F">
        <w:tc>
          <w:tcPr>
            <w:tcW w:w="4133" w:type="dxa"/>
            <w:shd w:val="clear" w:color="auto" w:fill="auto"/>
            <w:vAlign w:val="bottom"/>
          </w:tcPr>
          <w:p w14:paraId="58DC93A4" w14:textId="36C5536C"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w:t>
            </w:r>
            <w:r w:rsidRPr="00AD54FC">
              <w:rPr>
                <w:i/>
                <w:iCs/>
                <w:sz w:val="16"/>
                <w:szCs w:val="16"/>
                <w:lang w:val="es-ES_tradnl"/>
              </w:rPr>
              <w:tab/>
            </w:r>
            <w:proofErr w:type="gramStart"/>
            <w:r w:rsidRPr="00AD54FC">
              <w:rPr>
                <w:i/>
                <w:iCs/>
                <w:sz w:val="16"/>
                <w:szCs w:val="16"/>
                <w:lang w:val="es-ES_tradnl"/>
              </w:rPr>
              <w:t>Ministras</w:t>
            </w:r>
            <w:proofErr w:type="gramEnd"/>
          </w:p>
        </w:tc>
        <w:tc>
          <w:tcPr>
            <w:tcW w:w="1260" w:type="dxa"/>
            <w:shd w:val="clear" w:color="auto" w:fill="auto"/>
            <w:vAlign w:val="bottom"/>
          </w:tcPr>
          <w:p w14:paraId="2118DE03" w14:textId="0AA4DCC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5209CDFD" w14:textId="1DF761F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5D3045E4" w14:textId="48DC684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2E8B69B6" w14:textId="77777777" w:rsidTr="0049190F">
        <w:tc>
          <w:tcPr>
            <w:tcW w:w="4133" w:type="dxa"/>
            <w:shd w:val="clear" w:color="auto" w:fill="auto"/>
            <w:vAlign w:val="bottom"/>
          </w:tcPr>
          <w:p w14:paraId="3E5C7649" w14:textId="4B1E2D2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a)</w:t>
            </w:r>
            <w:r w:rsidRPr="00AD54FC">
              <w:rPr>
                <w:sz w:val="16"/>
                <w:szCs w:val="16"/>
                <w:lang w:val="es-ES_tradnl"/>
              </w:rPr>
              <w:tab/>
            </w:r>
            <w:r w:rsidRPr="00AD54FC">
              <w:rPr>
                <w:b/>
                <w:bCs/>
                <w:sz w:val="16"/>
                <w:szCs w:val="16"/>
                <w:lang w:val="es-ES_tradnl"/>
              </w:rPr>
              <w:t>Finanzas</w:t>
            </w:r>
            <w:r w:rsidRPr="00AD54FC">
              <w:rPr>
                <w:sz w:val="16"/>
                <w:szCs w:val="16"/>
                <w:lang w:val="es-ES_tradnl"/>
              </w:rPr>
              <w:t xml:space="preserve"> </w:t>
            </w:r>
          </w:p>
        </w:tc>
        <w:tc>
          <w:tcPr>
            <w:tcW w:w="1260" w:type="dxa"/>
            <w:shd w:val="clear" w:color="auto" w:fill="auto"/>
            <w:vAlign w:val="bottom"/>
          </w:tcPr>
          <w:p w14:paraId="7C32A41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3DCDCA7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1ADD156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0255DBF7" w14:textId="77777777" w:rsidTr="0049190F">
        <w:tc>
          <w:tcPr>
            <w:tcW w:w="4133" w:type="dxa"/>
            <w:shd w:val="clear" w:color="auto" w:fill="auto"/>
            <w:vAlign w:val="bottom"/>
          </w:tcPr>
          <w:p w14:paraId="35633BAB"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3AF4CCB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5C5E47C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27F5233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4BCC49A8" w14:textId="77777777" w:rsidTr="0049190F">
        <w:tc>
          <w:tcPr>
            <w:tcW w:w="4133" w:type="dxa"/>
            <w:shd w:val="clear" w:color="auto" w:fill="auto"/>
            <w:vAlign w:val="bottom"/>
          </w:tcPr>
          <w:p w14:paraId="32E44F6C"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7BC7C10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710" w:type="dxa"/>
            <w:shd w:val="clear" w:color="auto" w:fill="auto"/>
            <w:vAlign w:val="bottom"/>
          </w:tcPr>
          <w:p w14:paraId="3944C50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1E4803F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43CA5286" w14:textId="77777777" w:rsidTr="0049190F">
        <w:tc>
          <w:tcPr>
            <w:tcW w:w="4133" w:type="dxa"/>
            <w:shd w:val="clear" w:color="auto" w:fill="auto"/>
            <w:vAlign w:val="bottom"/>
          </w:tcPr>
          <w:p w14:paraId="77329DB3"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6BD8DCE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799F73F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752FBF4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1621FC25" w14:textId="77777777" w:rsidTr="0049190F">
        <w:tc>
          <w:tcPr>
            <w:tcW w:w="4133" w:type="dxa"/>
            <w:shd w:val="clear" w:color="auto" w:fill="auto"/>
            <w:vAlign w:val="bottom"/>
          </w:tcPr>
          <w:p w14:paraId="43CCB406"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1F231FC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710" w:type="dxa"/>
            <w:shd w:val="clear" w:color="auto" w:fill="auto"/>
            <w:vAlign w:val="bottom"/>
          </w:tcPr>
          <w:p w14:paraId="2185CCD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2510F20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0C632A" w14:paraId="5D967917" w14:textId="77777777" w:rsidTr="0049190F">
        <w:tc>
          <w:tcPr>
            <w:tcW w:w="4133" w:type="dxa"/>
            <w:shd w:val="clear" w:color="auto" w:fill="auto"/>
            <w:vAlign w:val="bottom"/>
          </w:tcPr>
          <w:p w14:paraId="30D2C5C0" w14:textId="5FB6FF9E"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b)</w:t>
            </w:r>
            <w:r w:rsidRPr="00AD54FC">
              <w:rPr>
                <w:sz w:val="16"/>
                <w:szCs w:val="16"/>
                <w:lang w:val="es-ES_tradnl"/>
              </w:rPr>
              <w:tab/>
            </w:r>
            <w:r w:rsidRPr="00AD54FC">
              <w:rPr>
                <w:b/>
                <w:bCs/>
                <w:sz w:val="16"/>
                <w:szCs w:val="16"/>
                <w:lang w:val="es-ES_tradnl"/>
              </w:rPr>
              <w:t>Comisión Nacional de Planificación</w:t>
            </w:r>
          </w:p>
        </w:tc>
        <w:tc>
          <w:tcPr>
            <w:tcW w:w="1260" w:type="dxa"/>
            <w:shd w:val="clear" w:color="auto" w:fill="auto"/>
            <w:vAlign w:val="bottom"/>
          </w:tcPr>
          <w:p w14:paraId="20F913F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0E7FD3E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58F22C3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3EA1D49E" w14:textId="77777777" w:rsidTr="0049190F">
        <w:tc>
          <w:tcPr>
            <w:tcW w:w="4133" w:type="dxa"/>
            <w:shd w:val="clear" w:color="auto" w:fill="auto"/>
            <w:vAlign w:val="bottom"/>
          </w:tcPr>
          <w:p w14:paraId="70B05C04"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38C6FE8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451FBBF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6D7BBA2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5B8AA3CE" w14:textId="77777777" w:rsidTr="0049190F">
        <w:tc>
          <w:tcPr>
            <w:tcW w:w="4133" w:type="dxa"/>
            <w:shd w:val="clear" w:color="auto" w:fill="auto"/>
            <w:vAlign w:val="bottom"/>
          </w:tcPr>
          <w:p w14:paraId="616698DF"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38039D4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710" w:type="dxa"/>
            <w:shd w:val="clear" w:color="auto" w:fill="auto"/>
            <w:vAlign w:val="bottom"/>
          </w:tcPr>
          <w:p w14:paraId="7DB630D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517DA0B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1B91D7B1" w14:textId="77777777" w:rsidTr="0049190F">
        <w:tc>
          <w:tcPr>
            <w:tcW w:w="4133" w:type="dxa"/>
            <w:shd w:val="clear" w:color="auto" w:fill="auto"/>
            <w:vAlign w:val="bottom"/>
          </w:tcPr>
          <w:p w14:paraId="70BAF930"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4FF6A11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438EFCE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5F88BB9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5FFD3172" w14:textId="77777777" w:rsidTr="0049190F">
        <w:tc>
          <w:tcPr>
            <w:tcW w:w="4133" w:type="dxa"/>
            <w:shd w:val="clear" w:color="auto" w:fill="auto"/>
            <w:vAlign w:val="bottom"/>
          </w:tcPr>
          <w:p w14:paraId="450C657C"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079E2B2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59E945B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652538B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7CBE0002" w14:textId="77777777" w:rsidTr="0049190F">
        <w:tc>
          <w:tcPr>
            <w:tcW w:w="4133" w:type="dxa"/>
            <w:shd w:val="clear" w:color="auto" w:fill="auto"/>
            <w:vAlign w:val="bottom"/>
          </w:tcPr>
          <w:p w14:paraId="0F5EDD60" w14:textId="6AB063D1"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c)</w:t>
            </w:r>
            <w:r w:rsidRPr="00AD54FC">
              <w:rPr>
                <w:sz w:val="16"/>
                <w:szCs w:val="16"/>
                <w:lang w:val="es-ES_tradnl"/>
              </w:rPr>
              <w:tab/>
            </w:r>
            <w:r w:rsidRPr="00AD54FC">
              <w:rPr>
                <w:b/>
                <w:bCs/>
                <w:sz w:val="16"/>
                <w:szCs w:val="16"/>
                <w:lang w:val="es-ES_tradnl"/>
              </w:rPr>
              <w:t>Defensa</w:t>
            </w:r>
            <w:r w:rsidRPr="00AD54FC">
              <w:rPr>
                <w:sz w:val="16"/>
                <w:szCs w:val="16"/>
                <w:lang w:val="es-ES_tradnl"/>
              </w:rPr>
              <w:t xml:space="preserve"> </w:t>
            </w:r>
          </w:p>
        </w:tc>
        <w:tc>
          <w:tcPr>
            <w:tcW w:w="1260" w:type="dxa"/>
            <w:shd w:val="clear" w:color="auto" w:fill="auto"/>
            <w:vAlign w:val="bottom"/>
          </w:tcPr>
          <w:p w14:paraId="455F622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77442C9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0D6F2A7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309608C4" w14:textId="77777777" w:rsidTr="0049190F">
        <w:tc>
          <w:tcPr>
            <w:tcW w:w="4133" w:type="dxa"/>
            <w:shd w:val="clear" w:color="auto" w:fill="auto"/>
            <w:vAlign w:val="bottom"/>
          </w:tcPr>
          <w:p w14:paraId="20133D92"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1D2DD2C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01FC9DE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5342467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388B894E" w14:textId="77777777" w:rsidTr="0049190F">
        <w:tc>
          <w:tcPr>
            <w:tcW w:w="4133" w:type="dxa"/>
            <w:shd w:val="clear" w:color="auto" w:fill="auto"/>
            <w:vAlign w:val="bottom"/>
          </w:tcPr>
          <w:p w14:paraId="06DB2744"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207E09F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1E4FF27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7C1479A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76F9F93E" w14:textId="77777777" w:rsidTr="0049190F">
        <w:tc>
          <w:tcPr>
            <w:tcW w:w="4133" w:type="dxa"/>
            <w:shd w:val="clear" w:color="auto" w:fill="auto"/>
            <w:vAlign w:val="bottom"/>
          </w:tcPr>
          <w:p w14:paraId="5C1F5192"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38893EE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2</w:t>
            </w:r>
          </w:p>
        </w:tc>
        <w:tc>
          <w:tcPr>
            <w:tcW w:w="1710" w:type="dxa"/>
            <w:shd w:val="clear" w:color="auto" w:fill="auto"/>
            <w:vAlign w:val="bottom"/>
          </w:tcPr>
          <w:p w14:paraId="043E2CB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6045F5F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50 %</w:t>
            </w:r>
          </w:p>
        </w:tc>
      </w:tr>
      <w:tr w:rsidR="0049190F" w:rsidRPr="00AD54FC" w14:paraId="7E752F06" w14:textId="77777777" w:rsidTr="0049190F">
        <w:tc>
          <w:tcPr>
            <w:tcW w:w="4133" w:type="dxa"/>
            <w:shd w:val="clear" w:color="auto" w:fill="auto"/>
            <w:vAlign w:val="bottom"/>
          </w:tcPr>
          <w:p w14:paraId="6EDBAAAB"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 en funciones</w:t>
            </w:r>
          </w:p>
        </w:tc>
        <w:tc>
          <w:tcPr>
            <w:tcW w:w="1260" w:type="dxa"/>
            <w:shd w:val="clear" w:color="auto" w:fill="auto"/>
            <w:vAlign w:val="bottom"/>
          </w:tcPr>
          <w:p w14:paraId="7C2F58B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3F6BEC7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2A5AF4F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47ECE3AC" w14:textId="77777777" w:rsidTr="0049190F">
        <w:tc>
          <w:tcPr>
            <w:tcW w:w="4133" w:type="dxa"/>
            <w:shd w:val="clear" w:color="auto" w:fill="auto"/>
            <w:vAlign w:val="bottom"/>
          </w:tcPr>
          <w:p w14:paraId="709A0452" w14:textId="0BF2393F"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d)</w:t>
            </w:r>
            <w:r w:rsidRPr="00AD54FC">
              <w:rPr>
                <w:sz w:val="16"/>
                <w:szCs w:val="16"/>
                <w:lang w:val="es-ES_tradnl"/>
              </w:rPr>
              <w:tab/>
            </w:r>
            <w:r w:rsidRPr="00AD54FC">
              <w:rPr>
                <w:b/>
                <w:bCs/>
                <w:sz w:val="16"/>
                <w:szCs w:val="16"/>
                <w:lang w:val="es-ES_tradnl"/>
              </w:rPr>
              <w:t>Justicia</w:t>
            </w:r>
          </w:p>
        </w:tc>
        <w:tc>
          <w:tcPr>
            <w:tcW w:w="1260" w:type="dxa"/>
            <w:shd w:val="clear" w:color="auto" w:fill="auto"/>
            <w:vAlign w:val="bottom"/>
          </w:tcPr>
          <w:p w14:paraId="5FA4A37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4A1FF8C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4798B1E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7EDC79A8" w14:textId="77777777" w:rsidTr="0049190F">
        <w:tc>
          <w:tcPr>
            <w:tcW w:w="4133" w:type="dxa"/>
            <w:shd w:val="clear" w:color="auto" w:fill="auto"/>
            <w:vAlign w:val="bottom"/>
          </w:tcPr>
          <w:p w14:paraId="65E71CA4"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6E42B3A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0FF2824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657CC69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0327700E" w14:textId="77777777" w:rsidTr="0049190F">
        <w:tc>
          <w:tcPr>
            <w:tcW w:w="4133" w:type="dxa"/>
            <w:shd w:val="clear" w:color="auto" w:fill="auto"/>
            <w:vAlign w:val="bottom"/>
          </w:tcPr>
          <w:p w14:paraId="6B340F33"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47380A6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710" w:type="dxa"/>
            <w:shd w:val="clear" w:color="auto" w:fill="auto"/>
            <w:vAlign w:val="bottom"/>
          </w:tcPr>
          <w:p w14:paraId="4BF389B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58F67D0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0A435A60" w14:textId="77777777" w:rsidTr="0049190F">
        <w:tc>
          <w:tcPr>
            <w:tcW w:w="4133" w:type="dxa"/>
            <w:shd w:val="clear" w:color="auto" w:fill="auto"/>
            <w:vAlign w:val="bottom"/>
          </w:tcPr>
          <w:p w14:paraId="1B027BE4"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4957932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3FB507E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1EFDD0E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6F8CD61A" w14:textId="77777777" w:rsidTr="0049190F">
        <w:tc>
          <w:tcPr>
            <w:tcW w:w="4133" w:type="dxa"/>
            <w:shd w:val="clear" w:color="auto" w:fill="auto"/>
            <w:vAlign w:val="bottom"/>
          </w:tcPr>
          <w:p w14:paraId="54EEDA68"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6A3DB73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710" w:type="dxa"/>
            <w:shd w:val="clear" w:color="auto" w:fill="auto"/>
            <w:vAlign w:val="bottom"/>
          </w:tcPr>
          <w:p w14:paraId="5CA9FD3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0062F63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0C632A" w14:paraId="157D8E55" w14:textId="77777777" w:rsidTr="0049190F">
        <w:tc>
          <w:tcPr>
            <w:tcW w:w="4133" w:type="dxa"/>
            <w:shd w:val="clear" w:color="auto" w:fill="auto"/>
            <w:vAlign w:val="bottom"/>
          </w:tcPr>
          <w:p w14:paraId="08FE84C8" w14:textId="20FB5CFC"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e)</w:t>
            </w:r>
            <w:r w:rsidRPr="00AD54FC">
              <w:rPr>
                <w:sz w:val="16"/>
                <w:szCs w:val="16"/>
                <w:lang w:val="es-ES_tradnl"/>
              </w:rPr>
              <w:tab/>
            </w:r>
            <w:r w:rsidRPr="00AD54FC">
              <w:rPr>
                <w:b/>
                <w:bCs/>
                <w:sz w:val="16"/>
                <w:szCs w:val="16"/>
                <w:lang w:val="es-ES_tradnl"/>
              </w:rPr>
              <w:t>Relaciones Exteriores y Cooperación Internacional</w:t>
            </w:r>
          </w:p>
        </w:tc>
        <w:tc>
          <w:tcPr>
            <w:tcW w:w="1260" w:type="dxa"/>
            <w:shd w:val="clear" w:color="auto" w:fill="auto"/>
            <w:vAlign w:val="bottom"/>
          </w:tcPr>
          <w:p w14:paraId="2738ACB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4446F44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7116DF3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268CF7D8" w14:textId="77777777" w:rsidTr="0049190F">
        <w:tc>
          <w:tcPr>
            <w:tcW w:w="4133" w:type="dxa"/>
            <w:shd w:val="clear" w:color="auto" w:fill="auto"/>
            <w:vAlign w:val="bottom"/>
          </w:tcPr>
          <w:p w14:paraId="0CCA0E73"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3E9914C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11BE658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5049494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4E6CBA74" w14:textId="77777777" w:rsidTr="0049190F">
        <w:tc>
          <w:tcPr>
            <w:tcW w:w="4133" w:type="dxa"/>
            <w:shd w:val="clear" w:color="auto" w:fill="auto"/>
            <w:vAlign w:val="bottom"/>
          </w:tcPr>
          <w:p w14:paraId="090CE526"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4EBFA7D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2995BB9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70497DD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6488C322" w14:textId="77777777" w:rsidTr="0049190F">
        <w:tc>
          <w:tcPr>
            <w:tcW w:w="4133" w:type="dxa"/>
            <w:shd w:val="clear" w:color="auto" w:fill="auto"/>
            <w:vAlign w:val="bottom"/>
          </w:tcPr>
          <w:p w14:paraId="3C39D3F9"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1185DD8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578FAD3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3DF469B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44A45729" w14:textId="77777777" w:rsidTr="0049190F">
        <w:tc>
          <w:tcPr>
            <w:tcW w:w="4133" w:type="dxa"/>
            <w:shd w:val="clear" w:color="auto" w:fill="auto"/>
            <w:vAlign w:val="bottom"/>
          </w:tcPr>
          <w:p w14:paraId="6DB2E2E3"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02B7221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46A491E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327EC6F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01EB89DF" w14:textId="77777777" w:rsidTr="0049190F">
        <w:tc>
          <w:tcPr>
            <w:tcW w:w="4133" w:type="dxa"/>
            <w:shd w:val="clear" w:color="auto" w:fill="auto"/>
            <w:vAlign w:val="bottom"/>
          </w:tcPr>
          <w:p w14:paraId="6FB0A0C6" w14:textId="662AF826"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f)</w:t>
            </w:r>
            <w:r w:rsidRPr="00AD54FC">
              <w:rPr>
                <w:sz w:val="16"/>
                <w:szCs w:val="16"/>
                <w:lang w:val="es-ES_tradnl"/>
              </w:rPr>
              <w:tab/>
            </w:r>
            <w:r w:rsidRPr="00AD54FC">
              <w:rPr>
                <w:b/>
                <w:bCs/>
                <w:sz w:val="16"/>
                <w:szCs w:val="16"/>
                <w:lang w:val="es-ES_tradnl"/>
              </w:rPr>
              <w:t>Industria y Comercio</w:t>
            </w:r>
          </w:p>
        </w:tc>
        <w:tc>
          <w:tcPr>
            <w:tcW w:w="1260" w:type="dxa"/>
            <w:shd w:val="clear" w:color="auto" w:fill="auto"/>
            <w:vAlign w:val="bottom"/>
          </w:tcPr>
          <w:p w14:paraId="6614C6C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461BEF3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38B48F5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3FDDF677" w14:textId="77777777" w:rsidTr="0049190F">
        <w:tc>
          <w:tcPr>
            <w:tcW w:w="4133" w:type="dxa"/>
            <w:shd w:val="clear" w:color="auto" w:fill="auto"/>
            <w:vAlign w:val="bottom"/>
          </w:tcPr>
          <w:p w14:paraId="4414E942"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71455A2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0C9F639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59BCED0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548040DD" w14:textId="77777777" w:rsidTr="0049190F">
        <w:tc>
          <w:tcPr>
            <w:tcW w:w="4133" w:type="dxa"/>
            <w:shd w:val="clear" w:color="auto" w:fill="auto"/>
            <w:vAlign w:val="bottom"/>
          </w:tcPr>
          <w:p w14:paraId="414513AA"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121031D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1254806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4ECE1EC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3F6CB04D" w14:textId="77777777" w:rsidTr="0049190F">
        <w:tc>
          <w:tcPr>
            <w:tcW w:w="4133" w:type="dxa"/>
            <w:shd w:val="clear" w:color="auto" w:fill="auto"/>
            <w:vAlign w:val="bottom"/>
          </w:tcPr>
          <w:p w14:paraId="5745466F"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17ABFC9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3C063F1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56B02AF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469E2AFA" w14:textId="77777777" w:rsidTr="0049190F">
        <w:tc>
          <w:tcPr>
            <w:tcW w:w="4133" w:type="dxa"/>
            <w:shd w:val="clear" w:color="auto" w:fill="auto"/>
            <w:vAlign w:val="bottom"/>
          </w:tcPr>
          <w:p w14:paraId="47B455C2"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6C4AE0D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0FA1AC5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485D840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50 %</w:t>
            </w:r>
          </w:p>
        </w:tc>
      </w:tr>
      <w:tr w:rsidR="0049190F" w:rsidRPr="00AD54FC" w14:paraId="284925A0" w14:textId="77777777" w:rsidTr="0049190F">
        <w:tc>
          <w:tcPr>
            <w:tcW w:w="4133" w:type="dxa"/>
            <w:shd w:val="clear" w:color="auto" w:fill="auto"/>
            <w:vAlign w:val="bottom"/>
          </w:tcPr>
          <w:p w14:paraId="3CE38207" w14:textId="197ECA62"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g)</w:t>
            </w:r>
            <w:r w:rsidRPr="00AD54FC">
              <w:rPr>
                <w:sz w:val="16"/>
                <w:szCs w:val="16"/>
                <w:lang w:val="es-ES_tradnl"/>
              </w:rPr>
              <w:tab/>
            </w:r>
            <w:r w:rsidRPr="00AD54FC">
              <w:rPr>
                <w:b/>
                <w:bCs/>
                <w:sz w:val="16"/>
                <w:szCs w:val="16"/>
                <w:lang w:val="es-ES_tradnl"/>
              </w:rPr>
              <w:t>Minas</w:t>
            </w:r>
          </w:p>
        </w:tc>
        <w:tc>
          <w:tcPr>
            <w:tcW w:w="1260" w:type="dxa"/>
            <w:shd w:val="clear" w:color="auto" w:fill="auto"/>
            <w:vAlign w:val="bottom"/>
          </w:tcPr>
          <w:p w14:paraId="7F000BC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3FD0A4D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425093F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57CDB7CF" w14:textId="77777777" w:rsidTr="0049190F">
        <w:tc>
          <w:tcPr>
            <w:tcW w:w="4133" w:type="dxa"/>
            <w:shd w:val="clear" w:color="auto" w:fill="auto"/>
            <w:vAlign w:val="bottom"/>
          </w:tcPr>
          <w:p w14:paraId="19353C20"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2A5058A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67663EB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5880947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45A0692F" w14:textId="77777777" w:rsidTr="0049190F">
        <w:tc>
          <w:tcPr>
            <w:tcW w:w="4133" w:type="dxa"/>
            <w:shd w:val="clear" w:color="auto" w:fill="auto"/>
            <w:vAlign w:val="bottom"/>
          </w:tcPr>
          <w:p w14:paraId="0A115AB7"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56D1E22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4CDD59B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62C89F9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48B56BD6" w14:textId="77777777" w:rsidTr="0049190F">
        <w:tc>
          <w:tcPr>
            <w:tcW w:w="4133" w:type="dxa"/>
            <w:shd w:val="clear" w:color="auto" w:fill="auto"/>
            <w:vAlign w:val="bottom"/>
          </w:tcPr>
          <w:p w14:paraId="35F0026C"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5399B49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4AB2BA8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45AAE8E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r w:rsidR="0049190F" w:rsidRPr="00AD54FC" w14:paraId="6D2EBD5C" w14:textId="77777777" w:rsidTr="0049190F">
        <w:tc>
          <w:tcPr>
            <w:tcW w:w="4133" w:type="dxa"/>
            <w:shd w:val="clear" w:color="auto" w:fill="auto"/>
            <w:vAlign w:val="bottom"/>
          </w:tcPr>
          <w:p w14:paraId="72F6D7FE"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02C910A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7690A75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26718CA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296F7D0B" w14:textId="77777777" w:rsidTr="0049190F">
        <w:tc>
          <w:tcPr>
            <w:tcW w:w="4133" w:type="dxa"/>
            <w:shd w:val="clear" w:color="auto" w:fill="auto"/>
            <w:vAlign w:val="bottom"/>
          </w:tcPr>
          <w:p w14:paraId="35235D92" w14:textId="3026DFC1"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sz w:val="16"/>
                <w:szCs w:val="16"/>
                <w:lang w:val="es-ES_tradnl"/>
              </w:rPr>
              <w:t>h)</w:t>
            </w:r>
            <w:r w:rsidRPr="00AD54FC">
              <w:rPr>
                <w:sz w:val="16"/>
                <w:szCs w:val="16"/>
                <w:lang w:val="es-ES_tradnl"/>
              </w:rPr>
              <w:tab/>
            </w:r>
            <w:r w:rsidRPr="00AD54FC">
              <w:rPr>
                <w:b/>
                <w:bCs/>
                <w:sz w:val="16"/>
                <w:szCs w:val="16"/>
                <w:lang w:val="es-ES_tradnl"/>
              </w:rPr>
              <w:t>Tierras y Agricultura</w:t>
            </w:r>
          </w:p>
        </w:tc>
        <w:tc>
          <w:tcPr>
            <w:tcW w:w="1260" w:type="dxa"/>
            <w:shd w:val="clear" w:color="auto" w:fill="auto"/>
            <w:vAlign w:val="bottom"/>
          </w:tcPr>
          <w:p w14:paraId="28C97A4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546530F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4914438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05D2A6CF" w14:textId="77777777" w:rsidTr="0049190F">
        <w:tc>
          <w:tcPr>
            <w:tcW w:w="4133" w:type="dxa"/>
            <w:shd w:val="clear" w:color="auto" w:fill="auto"/>
            <w:vAlign w:val="bottom"/>
          </w:tcPr>
          <w:p w14:paraId="351CD129"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2D90D44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282CA57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53D3F7B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3A2318D4" w14:textId="77777777" w:rsidTr="0049190F">
        <w:tc>
          <w:tcPr>
            <w:tcW w:w="4133" w:type="dxa"/>
            <w:shd w:val="clear" w:color="auto" w:fill="auto"/>
            <w:vAlign w:val="bottom"/>
          </w:tcPr>
          <w:p w14:paraId="7D5614AF"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6A64745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2ACFDD5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036AFAC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3029C2DE" w14:textId="77777777" w:rsidTr="0049190F">
        <w:tc>
          <w:tcPr>
            <w:tcW w:w="4133" w:type="dxa"/>
            <w:shd w:val="clear" w:color="auto" w:fill="auto"/>
            <w:vAlign w:val="bottom"/>
          </w:tcPr>
          <w:p w14:paraId="6F7C5EDF"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1150736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5667B03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62DF6B7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5BFDE966" w14:textId="77777777" w:rsidTr="0049190F">
        <w:tc>
          <w:tcPr>
            <w:tcW w:w="4133" w:type="dxa"/>
            <w:shd w:val="clear" w:color="auto" w:fill="auto"/>
            <w:vAlign w:val="bottom"/>
          </w:tcPr>
          <w:p w14:paraId="4D2578F1"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319D9B8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0"/>
              <w:jc w:val="right"/>
              <w:rPr>
                <w:spacing w:val="2"/>
                <w:sz w:val="16"/>
                <w:szCs w:val="16"/>
                <w:lang w:val="es-ES_tradnl"/>
              </w:rPr>
            </w:pPr>
            <w:r w:rsidRPr="00AD54FC">
              <w:rPr>
                <w:spacing w:val="2"/>
                <w:sz w:val="16"/>
                <w:szCs w:val="16"/>
                <w:lang w:val="es-ES_tradnl"/>
              </w:rPr>
              <w:t>5 (solo 2 puestos cubiertos)</w:t>
            </w:r>
          </w:p>
        </w:tc>
        <w:tc>
          <w:tcPr>
            <w:tcW w:w="1710" w:type="dxa"/>
            <w:shd w:val="clear" w:color="auto" w:fill="auto"/>
            <w:vAlign w:val="bottom"/>
          </w:tcPr>
          <w:p w14:paraId="06646C0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5591F8A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50 %</w:t>
            </w:r>
          </w:p>
        </w:tc>
      </w:tr>
      <w:tr w:rsidR="0049190F" w:rsidRPr="000C632A" w14:paraId="73ABBD8F" w14:textId="77777777" w:rsidTr="0049190F">
        <w:tc>
          <w:tcPr>
            <w:tcW w:w="4133" w:type="dxa"/>
            <w:shd w:val="clear" w:color="auto" w:fill="auto"/>
            <w:vAlign w:val="bottom"/>
          </w:tcPr>
          <w:p w14:paraId="36EFE51E" w14:textId="5E62B3E5"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i)</w:t>
            </w:r>
            <w:r w:rsidRPr="00AD54FC">
              <w:rPr>
                <w:sz w:val="16"/>
                <w:szCs w:val="16"/>
                <w:lang w:val="es-ES_tradnl"/>
              </w:rPr>
              <w:tab/>
            </w:r>
            <w:r w:rsidRPr="00AD54FC">
              <w:rPr>
                <w:b/>
                <w:bCs/>
                <w:sz w:val="16"/>
                <w:szCs w:val="16"/>
                <w:lang w:val="es-ES_tradnl"/>
              </w:rPr>
              <w:t>Medio Ambiente y Turismo</w:t>
            </w:r>
          </w:p>
        </w:tc>
        <w:tc>
          <w:tcPr>
            <w:tcW w:w="1260" w:type="dxa"/>
            <w:shd w:val="clear" w:color="auto" w:fill="auto"/>
            <w:vAlign w:val="bottom"/>
          </w:tcPr>
          <w:p w14:paraId="2C357B6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1ACCE20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41083A2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005368E8" w14:textId="77777777" w:rsidTr="0049190F">
        <w:tc>
          <w:tcPr>
            <w:tcW w:w="4133" w:type="dxa"/>
            <w:shd w:val="clear" w:color="auto" w:fill="auto"/>
            <w:vAlign w:val="bottom"/>
          </w:tcPr>
          <w:p w14:paraId="1E941D86"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333D59D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53ACAE3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22A3C89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31E6FA02" w14:textId="77777777" w:rsidTr="0049190F">
        <w:tc>
          <w:tcPr>
            <w:tcW w:w="4133" w:type="dxa"/>
            <w:shd w:val="clear" w:color="auto" w:fill="auto"/>
            <w:vAlign w:val="bottom"/>
          </w:tcPr>
          <w:p w14:paraId="1AEC3F29"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743FC82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710" w:type="dxa"/>
            <w:shd w:val="clear" w:color="auto" w:fill="auto"/>
            <w:vAlign w:val="bottom"/>
          </w:tcPr>
          <w:p w14:paraId="4DEF957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7B45700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0222B3FE" w14:textId="77777777" w:rsidTr="0049190F">
        <w:tc>
          <w:tcPr>
            <w:tcW w:w="4133" w:type="dxa"/>
            <w:shd w:val="clear" w:color="auto" w:fill="auto"/>
            <w:vAlign w:val="bottom"/>
          </w:tcPr>
          <w:p w14:paraId="0511ED2E"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1BC4B80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64D3E45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2FEBBF9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1D9B7E76" w14:textId="77777777" w:rsidTr="0049190F">
        <w:tc>
          <w:tcPr>
            <w:tcW w:w="4133" w:type="dxa"/>
            <w:shd w:val="clear" w:color="auto" w:fill="auto"/>
            <w:vAlign w:val="bottom"/>
          </w:tcPr>
          <w:p w14:paraId="085FD578"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5F8D06E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404FBAF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4DC51AA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0C632A" w14:paraId="3DD69805" w14:textId="77777777" w:rsidTr="0049190F">
        <w:tc>
          <w:tcPr>
            <w:tcW w:w="4133" w:type="dxa"/>
            <w:shd w:val="clear" w:color="auto" w:fill="auto"/>
            <w:vAlign w:val="bottom"/>
          </w:tcPr>
          <w:p w14:paraId="714F44E3" w14:textId="0B9C4EA8"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j)</w:t>
            </w:r>
            <w:r w:rsidRPr="00AD54FC">
              <w:rPr>
                <w:sz w:val="16"/>
                <w:szCs w:val="16"/>
                <w:lang w:val="es-ES_tradnl"/>
              </w:rPr>
              <w:tab/>
            </w:r>
            <w:r w:rsidRPr="00AD54FC">
              <w:rPr>
                <w:b/>
                <w:bCs/>
                <w:sz w:val="16"/>
                <w:szCs w:val="16"/>
                <w:lang w:val="es-ES_tradnl"/>
              </w:rPr>
              <w:t>Pesca y Recursos Marinos</w:t>
            </w:r>
          </w:p>
        </w:tc>
        <w:tc>
          <w:tcPr>
            <w:tcW w:w="1260" w:type="dxa"/>
            <w:shd w:val="clear" w:color="auto" w:fill="auto"/>
            <w:vAlign w:val="bottom"/>
          </w:tcPr>
          <w:p w14:paraId="0912B85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2E37CA6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2D5C027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2EF6AF97" w14:textId="77777777" w:rsidTr="0049190F">
        <w:tc>
          <w:tcPr>
            <w:tcW w:w="4133" w:type="dxa"/>
            <w:shd w:val="clear" w:color="auto" w:fill="auto"/>
            <w:vAlign w:val="bottom"/>
          </w:tcPr>
          <w:p w14:paraId="6C92D207"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57904B0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559C434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66CF04C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04DD1F03" w14:textId="77777777" w:rsidTr="0049190F">
        <w:tc>
          <w:tcPr>
            <w:tcW w:w="4133" w:type="dxa"/>
            <w:shd w:val="clear" w:color="auto" w:fill="auto"/>
            <w:vAlign w:val="bottom"/>
          </w:tcPr>
          <w:p w14:paraId="48BB0C45"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4AD299C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0C62DBB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47939C3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166B878F" w14:textId="77777777" w:rsidTr="0049190F">
        <w:tc>
          <w:tcPr>
            <w:tcW w:w="4133" w:type="dxa"/>
            <w:shd w:val="clear" w:color="auto" w:fill="auto"/>
            <w:vAlign w:val="bottom"/>
          </w:tcPr>
          <w:p w14:paraId="31FB6393"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1427BBB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5358657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0139833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183F5E84" w14:textId="77777777" w:rsidTr="0049190F">
        <w:tc>
          <w:tcPr>
            <w:tcW w:w="4133" w:type="dxa"/>
            <w:shd w:val="clear" w:color="auto" w:fill="auto"/>
            <w:vAlign w:val="bottom"/>
          </w:tcPr>
          <w:p w14:paraId="363C43BB"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40FF268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1776C7A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42D59EF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0C632A" w14:paraId="7490C62D" w14:textId="77777777" w:rsidTr="0049190F">
        <w:tc>
          <w:tcPr>
            <w:tcW w:w="4133" w:type="dxa"/>
            <w:shd w:val="clear" w:color="auto" w:fill="auto"/>
            <w:vAlign w:val="bottom"/>
          </w:tcPr>
          <w:p w14:paraId="5219B50F" w14:textId="06823D2E"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k)</w:t>
            </w:r>
            <w:r w:rsidRPr="00AD54FC">
              <w:rPr>
                <w:sz w:val="16"/>
                <w:szCs w:val="16"/>
                <w:lang w:val="es-ES_tradnl"/>
              </w:rPr>
              <w:tab/>
            </w:r>
            <w:r w:rsidRPr="00AD54FC">
              <w:rPr>
                <w:b/>
                <w:bCs/>
                <w:sz w:val="16"/>
                <w:szCs w:val="16"/>
                <w:lang w:val="es-ES_tradnl"/>
              </w:rPr>
              <w:t>Obras Públicas y Transporte</w:t>
            </w:r>
          </w:p>
        </w:tc>
        <w:tc>
          <w:tcPr>
            <w:tcW w:w="1260" w:type="dxa"/>
            <w:shd w:val="clear" w:color="auto" w:fill="auto"/>
            <w:vAlign w:val="bottom"/>
          </w:tcPr>
          <w:p w14:paraId="3F43E8C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2B44E19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0C8F67E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1DEF3157" w14:textId="77777777" w:rsidTr="0049190F">
        <w:tc>
          <w:tcPr>
            <w:tcW w:w="4133" w:type="dxa"/>
            <w:shd w:val="clear" w:color="auto" w:fill="auto"/>
            <w:vAlign w:val="bottom"/>
          </w:tcPr>
          <w:p w14:paraId="710FA953"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00DFD47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25E6575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10B2298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3DEA3EDA" w14:textId="77777777" w:rsidTr="0049190F">
        <w:tc>
          <w:tcPr>
            <w:tcW w:w="4133" w:type="dxa"/>
            <w:shd w:val="clear" w:color="auto" w:fill="auto"/>
            <w:vAlign w:val="bottom"/>
          </w:tcPr>
          <w:p w14:paraId="7C448EE9"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6D2B80F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38FF266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2F71DAF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2DC68122" w14:textId="77777777" w:rsidTr="0049190F">
        <w:tc>
          <w:tcPr>
            <w:tcW w:w="4133" w:type="dxa"/>
            <w:shd w:val="clear" w:color="auto" w:fill="auto"/>
            <w:vAlign w:val="bottom"/>
          </w:tcPr>
          <w:p w14:paraId="5E79F41B"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0796918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3659496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1A619CB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2AABA699" w14:textId="77777777" w:rsidTr="0049190F">
        <w:tc>
          <w:tcPr>
            <w:tcW w:w="4133" w:type="dxa"/>
            <w:shd w:val="clear" w:color="auto" w:fill="auto"/>
            <w:vAlign w:val="bottom"/>
          </w:tcPr>
          <w:p w14:paraId="3354CEF8"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shd w:val="clear" w:color="auto" w:fill="auto"/>
            <w:vAlign w:val="bottom"/>
          </w:tcPr>
          <w:p w14:paraId="5794BCD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3</w:t>
            </w:r>
          </w:p>
        </w:tc>
        <w:tc>
          <w:tcPr>
            <w:tcW w:w="1710" w:type="dxa"/>
            <w:shd w:val="clear" w:color="auto" w:fill="auto"/>
            <w:vAlign w:val="bottom"/>
          </w:tcPr>
          <w:p w14:paraId="001E29A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2</w:t>
            </w:r>
          </w:p>
        </w:tc>
        <w:tc>
          <w:tcPr>
            <w:tcW w:w="1509" w:type="dxa"/>
            <w:shd w:val="clear" w:color="auto" w:fill="auto"/>
            <w:vAlign w:val="bottom"/>
          </w:tcPr>
          <w:p w14:paraId="20319EF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67 %</w:t>
            </w:r>
          </w:p>
        </w:tc>
      </w:tr>
      <w:tr w:rsidR="0049190F" w:rsidRPr="000C632A" w14:paraId="5B75B906" w14:textId="77777777" w:rsidTr="0049190F">
        <w:tc>
          <w:tcPr>
            <w:tcW w:w="4133" w:type="dxa"/>
            <w:shd w:val="clear" w:color="auto" w:fill="auto"/>
            <w:vAlign w:val="bottom"/>
          </w:tcPr>
          <w:p w14:paraId="1623070A" w14:textId="4CB8143F"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6"/>
                <w:szCs w:val="16"/>
                <w:lang w:val="es-ES_tradnl"/>
              </w:rPr>
            </w:pPr>
            <w:r w:rsidRPr="00AD54FC">
              <w:rPr>
                <w:b/>
                <w:bCs/>
                <w:sz w:val="16"/>
                <w:szCs w:val="16"/>
                <w:lang w:val="es-ES_tradnl"/>
              </w:rPr>
              <w:t>l)</w:t>
            </w:r>
            <w:r w:rsidRPr="00AD54FC">
              <w:rPr>
                <w:sz w:val="16"/>
                <w:szCs w:val="16"/>
                <w:lang w:val="es-ES_tradnl"/>
              </w:rPr>
              <w:tab/>
            </w:r>
            <w:r w:rsidRPr="00AD54FC">
              <w:rPr>
                <w:b/>
                <w:bCs/>
                <w:sz w:val="16"/>
                <w:szCs w:val="16"/>
                <w:lang w:val="es-ES_tradnl"/>
              </w:rPr>
              <w:t>Tecnología de la Información y las Comunicaciones</w:t>
            </w:r>
          </w:p>
        </w:tc>
        <w:tc>
          <w:tcPr>
            <w:tcW w:w="1260" w:type="dxa"/>
            <w:shd w:val="clear" w:color="auto" w:fill="auto"/>
            <w:vAlign w:val="bottom"/>
          </w:tcPr>
          <w:p w14:paraId="58D1BAB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710" w:type="dxa"/>
            <w:shd w:val="clear" w:color="auto" w:fill="auto"/>
            <w:vAlign w:val="bottom"/>
          </w:tcPr>
          <w:p w14:paraId="00F5AFA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c>
          <w:tcPr>
            <w:tcW w:w="1509" w:type="dxa"/>
            <w:shd w:val="clear" w:color="auto" w:fill="auto"/>
            <w:vAlign w:val="bottom"/>
          </w:tcPr>
          <w:p w14:paraId="6C60DFC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7924F579" w14:textId="77777777" w:rsidTr="0049190F">
        <w:tc>
          <w:tcPr>
            <w:tcW w:w="4133" w:type="dxa"/>
            <w:shd w:val="clear" w:color="auto" w:fill="auto"/>
            <w:vAlign w:val="bottom"/>
          </w:tcPr>
          <w:p w14:paraId="4E47F791"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Ministra</w:t>
            </w:r>
          </w:p>
        </w:tc>
        <w:tc>
          <w:tcPr>
            <w:tcW w:w="1260" w:type="dxa"/>
            <w:shd w:val="clear" w:color="auto" w:fill="auto"/>
            <w:vAlign w:val="bottom"/>
          </w:tcPr>
          <w:p w14:paraId="39F14E1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794DAF1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3442939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63493E7F" w14:textId="77777777" w:rsidTr="0049190F">
        <w:tc>
          <w:tcPr>
            <w:tcW w:w="4133" w:type="dxa"/>
            <w:shd w:val="clear" w:color="auto" w:fill="auto"/>
            <w:vAlign w:val="bottom"/>
          </w:tcPr>
          <w:p w14:paraId="19EA1932"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r w:rsidRPr="00AD54FC">
              <w:rPr>
                <w:sz w:val="16"/>
                <w:szCs w:val="16"/>
                <w:lang w:val="es-ES_tradnl"/>
              </w:rPr>
              <w:t>Viceministra</w:t>
            </w:r>
          </w:p>
        </w:tc>
        <w:tc>
          <w:tcPr>
            <w:tcW w:w="1260" w:type="dxa"/>
            <w:shd w:val="clear" w:color="auto" w:fill="auto"/>
            <w:vAlign w:val="bottom"/>
          </w:tcPr>
          <w:p w14:paraId="44D55EE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48A7295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509" w:type="dxa"/>
            <w:shd w:val="clear" w:color="auto" w:fill="auto"/>
            <w:vAlign w:val="bottom"/>
          </w:tcPr>
          <w:p w14:paraId="4FEA1C3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100 %</w:t>
            </w:r>
          </w:p>
        </w:tc>
      </w:tr>
      <w:tr w:rsidR="0049190F" w:rsidRPr="00AD54FC" w14:paraId="6C6047EE" w14:textId="77777777" w:rsidTr="0049190F">
        <w:tc>
          <w:tcPr>
            <w:tcW w:w="4133" w:type="dxa"/>
            <w:shd w:val="clear" w:color="auto" w:fill="auto"/>
            <w:vAlign w:val="bottom"/>
          </w:tcPr>
          <w:p w14:paraId="0BEF8A26" w14:textId="77777777"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w:t>
            </w:r>
          </w:p>
        </w:tc>
        <w:tc>
          <w:tcPr>
            <w:tcW w:w="1260" w:type="dxa"/>
            <w:shd w:val="clear" w:color="auto" w:fill="auto"/>
            <w:vAlign w:val="bottom"/>
          </w:tcPr>
          <w:p w14:paraId="7F93788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w:t>
            </w:r>
          </w:p>
        </w:tc>
        <w:tc>
          <w:tcPr>
            <w:tcW w:w="1710" w:type="dxa"/>
            <w:shd w:val="clear" w:color="auto" w:fill="auto"/>
            <w:vAlign w:val="bottom"/>
          </w:tcPr>
          <w:p w14:paraId="5783604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shd w:val="clear" w:color="auto" w:fill="auto"/>
            <w:vAlign w:val="bottom"/>
          </w:tcPr>
          <w:p w14:paraId="6612700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0 %</w:t>
            </w:r>
          </w:p>
        </w:tc>
      </w:tr>
      <w:tr w:rsidR="0049190F" w:rsidRPr="00AD54FC" w14:paraId="6B92F9AC" w14:textId="77777777" w:rsidTr="0049190F">
        <w:tc>
          <w:tcPr>
            <w:tcW w:w="4133" w:type="dxa"/>
            <w:tcBorders>
              <w:bottom w:val="single" w:sz="12" w:space="0" w:color="auto"/>
            </w:tcBorders>
            <w:shd w:val="clear" w:color="auto" w:fill="auto"/>
            <w:vAlign w:val="bottom"/>
          </w:tcPr>
          <w:p w14:paraId="19212D6B" w14:textId="0446C7B5" w:rsidR="0049190F" w:rsidRPr="00AD54FC" w:rsidRDefault="0049190F" w:rsidP="003F18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6"/>
                <w:szCs w:val="16"/>
                <w:lang w:val="es-ES_tradnl"/>
              </w:rPr>
            </w:pPr>
            <w:r w:rsidRPr="00AD54FC">
              <w:rPr>
                <w:i/>
                <w:iCs/>
                <w:sz w:val="16"/>
                <w:szCs w:val="16"/>
                <w:lang w:val="es-ES_tradnl"/>
              </w:rPr>
              <w:t>Directoras Ejecutivas Adjuntas</w:t>
            </w:r>
          </w:p>
        </w:tc>
        <w:tc>
          <w:tcPr>
            <w:tcW w:w="1260" w:type="dxa"/>
            <w:tcBorders>
              <w:bottom w:val="single" w:sz="12" w:space="0" w:color="auto"/>
            </w:tcBorders>
            <w:shd w:val="clear" w:color="auto" w:fill="auto"/>
            <w:vAlign w:val="bottom"/>
          </w:tcPr>
          <w:p w14:paraId="28D813A0" w14:textId="2A682799"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710" w:type="dxa"/>
            <w:tcBorders>
              <w:bottom w:val="single" w:sz="12" w:space="0" w:color="auto"/>
            </w:tcBorders>
            <w:shd w:val="clear" w:color="auto" w:fill="auto"/>
            <w:vAlign w:val="bottom"/>
          </w:tcPr>
          <w:p w14:paraId="0475ABFB" w14:textId="78C3DEF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c>
          <w:tcPr>
            <w:tcW w:w="1509" w:type="dxa"/>
            <w:tcBorders>
              <w:bottom w:val="single" w:sz="12" w:space="0" w:color="auto"/>
            </w:tcBorders>
            <w:shd w:val="clear" w:color="auto" w:fill="auto"/>
            <w:vAlign w:val="bottom"/>
          </w:tcPr>
          <w:p w14:paraId="31538145" w14:textId="0D4C8C89"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0</w:t>
            </w:r>
          </w:p>
        </w:tc>
      </w:tr>
    </w:tbl>
    <w:p w14:paraId="302C2945" w14:textId="313A9021" w:rsidR="0049190F" w:rsidRPr="00AD54FC" w:rsidRDefault="0049190F" w:rsidP="0049190F">
      <w:pPr>
        <w:pStyle w:val="SingleTxt"/>
        <w:spacing w:after="0" w:line="120" w:lineRule="exact"/>
        <w:rPr>
          <w:sz w:val="10"/>
          <w:lang w:val="es-ES_tradnl"/>
        </w:rPr>
      </w:pPr>
    </w:p>
    <w:p w14:paraId="2EB81F33" w14:textId="77777777" w:rsidR="0049190F" w:rsidRPr="00AD54FC" w:rsidRDefault="0049190F" w:rsidP="0049190F">
      <w:pPr>
        <w:pStyle w:val="SingleTxt"/>
        <w:spacing w:after="0" w:line="120" w:lineRule="exact"/>
        <w:rPr>
          <w:sz w:val="10"/>
          <w:lang w:val="es-ES_tradnl"/>
        </w:rPr>
      </w:pPr>
    </w:p>
    <w:p w14:paraId="666585B2" w14:textId="77777777" w:rsidR="0049190F" w:rsidRPr="00AD54FC" w:rsidRDefault="0049190F" w:rsidP="0049190F">
      <w:pPr>
        <w:pStyle w:val="SingleTxt"/>
        <w:spacing w:after="0" w:line="120" w:lineRule="exact"/>
        <w:rPr>
          <w:sz w:val="10"/>
          <w:lang w:val="es-ES_tradnl"/>
        </w:rPr>
      </w:pPr>
    </w:p>
    <w:p w14:paraId="3666FA2A" w14:textId="77777777" w:rsidR="0049190F" w:rsidRPr="00AD54FC" w:rsidRDefault="0049190F" w:rsidP="0049190F">
      <w:pPr>
        <w:pStyle w:val="H1"/>
        <w:ind w:right="1260"/>
        <w:rPr>
          <w:lang w:val="es-ES_tradnl"/>
        </w:rPr>
      </w:pPr>
      <w:r w:rsidRPr="00AD54FC">
        <w:rPr>
          <w:lang w:val="es-ES_tradnl"/>
        </w:rPr>
        <w:tab/>
      </w:r>
      <w:r w:rsidRPr="00AD54FC">
        <w:rPr>
          <w:lang w:val="es-ES_tradnl"/>
        </w:rPr>
        <w:tab/>
      </w:r>
      <w:r w:rsidRPr="00AD54FC">
        <w:rPr>
          <w:bCs/>
          <w:lang w:val="es-ES_tradnl"/>
        </w:rPr>
        <w:t>Nacionalidad</w:t>
      </w:r>
    </w:p>
    <w:p w14:paraId="0C624696" w14:textId="09A97FDE" w:rsidR="0049190F" w:rsidRPr="00AD54FC" w:rsidRDefault="0049190F" w:rsidP="0049190F">
      <w:pPr>
        <w:pStyle w:val="SingleTxt"/>
        <w:spacing w:after="0" w:line="120" w:lineRule="exact"/>
        <w:rPr>
          <w:sz w:val="10"/>
          <w:lang w:val="es-ES_tradnl"/>
        </w:rPr>
      </w:pPr>
    </w:p>
    <w:p w14:paraId="469B2E61" w14:textId="77777777" w:rsidR="0049190F" w:rsidRPr="00AD54FC" w:rsidRDefault="0049190F" w:rsidP="0049190F">
      <w:pPr>
        <w:pStyle w:val="SingleTxt"/>
        <w:spacing w:after="0" w:line="120" w:lineRule="exact"/>
        <w:rPr>
          <w:sz w:val="10"/>
          <w:lang w:val="es-ES_tradnl"/>
        </w:rPr>
      </w:pPr>
    </w:p>
    <w:p w14:paraId="118F4149" w14:textId="1E338226" w:rsidR="003D1CF4" w:rsidRPr="00AD54FC" w:rsidRDefault="003D1CF4" w:rsidP="003D1CF4">
      <w:pPr>
        <w:pStyle w:val="SingleTxt"/>
        <w:rPr>
          <w:spacing w:val="2"/>
          <w:lang w:val="es-ES_tradnl"/>
        </w:rPr>
      </w:pPr>
      <w:r w:rsidRPr="00AD54FC">
        <w:rPr>
          <w:spacing w:val="2"/>
          <w:lang w:val="es-ES_tradnl"/>
        </w:rPr>
        <w:t>43.</w:t>
      </w:r>
      <w:r w:rsidRPr="00AD54FC">
        <w:rPr>
          <w:spacing w:val="2"/>
          <w:lang w:val="es-ES_tradnl"/>
        </w:rPr>
        <w:tab/>
        <w:t>No existe ninguna política que exija que ambos progenitores estén presentes en el registro del nacimiento de sus hijos. La práctica habitual es que, para que un progenitor sea registrado como tal, se precisa su consentimiento. Algunas madres intentan inscribir a los hijos utilizando el consentimiento o la documentación del padre. Esto no está permitido. Para el registro de los nacimientos se aplica lo siguiente:</w:t>
      </w:r>
    </w:p>
    <w:p w14:paraId="3FC85394" w14:textId="3D5E5745" w:rsidR="003D1CF4" w:rsidRPr="00AD54FC" w:rsidRDefault="003D1CF4" w:rsidP="003D1CF4">
      <w:pPr>
        <w:pStyle w:val="SingleTxt"/>
        <w:rPr>
          <w:spacing w:val="2"/>
          <w:lang w:val="es-ES_tradnl"/>
        </w:rPr>
      </w:pPr>
      <w:r w:rsidRPr="00AD54FC">
        <w:rPr>
          <w:spacing w:val="2"/>
          <w:lang w:val="es-ES_tradnl"/>
        </w:rPr>
        <w:t>44.</w:t>
      </w:r>
      <w:r w:rsidRPr="00AD54FC">
        <w:rPr>
          <w:spacing w:val="2"/>
          <w:lang w:val="es-ES_tradnl"/>
        </w:rPr>
        <w:tab/>
        <w:t>Para que un niño sea inscrito como hijo de su padre, este debe acudir a un punto de registro de nacimientos para ser identificado positivamente, además de firmar el formulario de registro del nacimiento. (Durante el parto, los trabajadores sanitarios solo registran los datos de la madre en el sistema electrónico de notificación de nacimientos. Los datos del padre únicamente se inscriben en el momento del registro del nacimiento).</w:t>
      </w:r>
    </w:p>
    <w:p w14:paraId="033B283D" w14:textId="77777777" w:rsidR="003D1CF4" w:rsidRPr="00AD54FC" w:rsidRDefault="003D1CF4" w:rsidP="003D1CF4">
      <w:pPr>
        <w:pStyle w:val="SingleTxt"/>
        <w:rPr>
          <w:lang w:val="es-ES_tradnl"/>
        </w:rPr>
      </w:pPr>
      <w:r w:rsidRPr="00AD54FC">
        <w:rPr>
          <w:lang w:val="es-ES_tradnl"/>
        </w:rPr>
        <w:t>45.</w:t>
      </w:r>
      <w:r w:rsidRPr="00AD54FC">
        <w:rPr>
          <w:lang w:val="es-ES_tradnl"/>
        </w:rPr>
        <w:tab/>
        <w:t>Si un padre no puede estar presente durante el registro, también puede aportar una copia certificada de su documento de identidad, junto con un afidávit donde reconozca la paternidad y solicite que el niño sea registrado como hijo suyo.</w:t>
      </w:r>
    </w:p>
    <w:p w14:paraId="0F836CFA" w14:textId="0CE33653" w:rsidR="003D1CF4" w:rsidRPr="00AD54FC" w:rsidRDefault="003D1CF4" w:rsidP="003D1CF4">
      <w:pPr>
        <w:pStyle w:val="SingleTxt"/>
        <w:rPr>
          <w:lang w:val="es-ES_tradnl"/>
        </w:rPr>
      </w:pPr>
      <w:r w:rsidRPr="00AD54FC">
        <w:rPr>
          <w:lang w:val="es-ES_tradnl"/>
        </w:rPr>
        <w:t>46.</w:t>
      </w:r>
      <w:r w:rsidRPr="00AD54FC">
        <w:rPr>
          <w:lang w:val="es-ES_tradnl"/>
        </w:rPr>
        <w:tab/>
        <w:t>Cuando el padre se encuentra en otra ciudad, también existe la posibilidad de que el registro del nacimiento se envíe a la oficina de registro de nacimientos de la ciudad en la que resida. Posteriormente, el padre se presenta en persona con su documento de identidad para su identificación positiva. Allí puede cubrir y firmar el formulario, tras lo cual este será devuelto a la oficina más cercana a la madre del niño, para que se expida la partida de nacimiento.</w:t>
      </w:r>
    </w:p>
    <w:p w14:paraId="3FF86ADF" w14:textId="1B6CCBBF" w:rsidR="003D1CF4" w:rsidRPr="00AD54FC" w:rsidRDefault="003D1CF4" w:rsidP="003D1CF4">
      <w:pPr>
        <w:pStyle w:val="SingleTxt"/>
        <w:rPr>
          <w:lang w:val="es-ES_tradnl"/>
        </w:rPr>
      </w:pPr>
      <w:r w:rsidRPr="00AD54FC">
        <w:rPr>
          <w:lang w:val="es-ES_tradnl"/>
        </w:rPr>
        <w:t>47.</w:t>
      </w:r>
      <w:r w:rsidRPr="00AD54FC">
        <w:rPr>
          <w:lang w:val="es-ES_tradnl"/>
        </w:rPr>
        <w:tab/>
        <w:t>Cuando lo anterior no sea posible, se alienta a las mujeres a que registren a los niños cuanto antes con sus propios apellidos, según establece la Ley de Registro de Nacimientos, Matrimonios y Defunciones de 1963. Tan pronto como el padre está disponible o preparado, se registrarán los datos del padre y se emitirá una nueva partida de nacimiento.</w:t>
      </w:r>
    </w:p>
    <w:p w14:paraId="6E4A730E" w14:textId="77777777" w:rsidR="0049190F" w:rsidRPr="00AD54FC" w:rsidRDefault="0049190F" w:rsidP="0049190F">
      <w:pPr>
        <w:pStyle w:val="SingleTxt"/>
        <w:spacing w:after="0" w:line="120" w:lineRule="exact"/>
        <w:rPr>
          <w:sz w:val="10"/>
          <w:lang w:val="es-ES_tradnl"/>
        </w:rPr>
      </w:pPr>
    </w:p>
    <w:p w14:paraId="04F3BEB1" w14:textId="77777777" w:rsidR="0049190F" w:rsidRPr="00AD54FC" w:rsidRDefault="0049190F" w:rsidP="0049190F">
      <w:pPr>
        <w:pStyle w:val="SingleTxt"/>
        <w:spacing w:after="0" w:line="120" w:lineRule="exact"/>
        <w:rPr>
          <w:sz w:val="10"/>
          <w:lang w:val="es-ES_tradnl"/>
        </w:rPr>
      </w:pPr>
    </w:p>
    <w:p w14:paraId="3828B265" w14:textId="392CC0F8" w:rsidR="003D1CF4" w:rsidRPr="00AD54FC" w:rsidRDefault="003D1CF4" w:rsidP="0049190F">
      <w:pPr>
        <w:pStyle w:val="H1"/>
        <w:ind w:right="1260"/>
        <w:rPr>
          <w:lang w:val="es-ES_tradnl"/>
        </w:rPr>
      </w:pPr>
      <w:r w:rsidRPr="00AD54FC">
        <w:rPr>
          <w:lang w:val="es-ES_tradnl"/>
        </w:rPr>
        <w:tab/>
      </w:r>
      <w:r w:rsidRPr="00AD54FC">
        <w:rPr>
          <w:lang w:val="es-ES_tradnl"/>
        </w:rPr>
        <w:tab/>
      </w:r>
      <w:r w:rsidRPr="00AD54FC">
        <w:rPr>
          <w:bCs/>
          <w:lang w:val="es-ES_tradnl"/>
        </w:rPr>
        <w:t>Educación</w:t>
      </w:r>
    </w:p>
    <w:p w14:paraId="63F0E22E" w14:textId="77777777" w:rsidR="0049190F" w:rsidRPr="00AD54FC" w:rsidRDefault="0049190F" w:rsidP="0049190F">
      <w:pPr>
        <w:pStyle w:val="SingleTxt"/>
        <w:spacing w:after="0" w:line="120" w:lineRule="exact"/>
        <w:rPr>
          <w:sz w:val="10"/>
          <w:lang w:val="es-ES_tradnl"/>
        </w:rPr>
      </w:pPr>
    </w:p>
    <w:p w14:paraId="4C9189FD" w14:textId="77777777" w:rsidR="0049190F" w:rsidRPr="00AD54FC" w:rsidRDefault="0049190F" w:rsidP="0049190F">
      <w:pPr>
        <w:pStyle w:val="SingleTxt"/>
        <w:spacing w:after="0" w:line="120" w:lineRule="exact"/>
        <w:rPr>
          <w:sz w:val="10"/>
          <w:lang w:val="es-ES_tradnl"/>
        </w:rPr>
      </w:pPr>
    </w:p>
    <w:p w14:paraId="0C50AE2D" w14:textId="2B21D913" w:rsidR="003D1CF4" w:rsidRPr="00AD54FC" w:rsidRDefault="003D1CF4" w:rsidP="003D1CF4">
      <w:pPr>
        <w:pStyle w:val="SingleTxt"/>
        <w:rPr>
          <w:lang w:val="es-ES_tradnl"/>
        </w:rPr>
      </w:pPr>
      <w:r w:rsidRPr="00AD54FC">
        <w:rPr>
          <w:lang w:val="es-ES_tradnl"/>
        </w:rPr>
        <w:t>48.</w:t>
      </w:r>
      <w:r w:rsidRPr="00AD54FC">
        <w:rPr>
          <w:lang w:val="es-ES_tradnl"/>
        </w:rPr>
        <w:tab/>
        <w:t>Tasas de matriculación y de finalización de las niñas en el sistema escolar.</w:t>
      </w:r>
    </w:p>
    <w:p w14:paraId="0E36B3E4" w14:textId="77777777" w:rsidR="003D1CF4" w:rsidRPr="00AD54FC" w:rsidRDefault="003D1CF4" w:rsidP="003D1CF4">
      <w:pPr>
        <w:pStyle w:val="SingleTxt"/>
        <w:rPr>
          <w:lang w:val="es-ES_tradnl"/>
        </w:rPr>
      </w:pPr>
      <w:r w:rsidRPr="00AD54FC">
        <w:rPr>
          <w:lang w:val="es-ES_tradnl"/>
        </w:rPr>
        <w:t>49.</w:t>
      </w:r>
      <w:r w:rsidRPr="00AD54FC">
        <w:rPr>
          <w:lang w:val="es-ES_tradnl"/>
        </w:rPr>
        <w:tab/>
        <w:t>El número de mujeres matriculadas, desde preescolar hasta el 12º curso (Ministerio de Educación, 2019), es de 757.856.</w:t>
      </w:r>
    </w:p>
    <w:p w14:paraId="4E51CFC6" w14:textId="77777777" w:rsidR="0049190F" w:rsidRPr="00AD54FC" w:rsidRDefault="0049190F" w:rsidP="0049190F">
      <w:pPr>
        <w:pStyle w:val="SingleTxt"/>
        <w:spacing w:after="0" w:line="120" w:lineRule="exact"/>
        <w:rPr>
          <w:sz w:val="10"/>
          <w:lang w:val="es-ES_tradnl"/>
        </w:rPr>
      </w:pPr>
    </w:p>
    <w:p w14:paraId="1E5ACFE3" w14:textId="77777777" w:rsidR="0049190F" w:rsidRPr="00AD54FC" w:rsidRDefault="0049190F" w:rsidP="0049190F">
      <w:pPr>
        <w:pStyle w:val="SingleTxt"/>
        <w:spacing w:after="0" w:line="120" w:lineRule="exact"/>
        <w:rPr>
          <w:sz w:val="10"/>
          <w:lang w:val="es-ES_tradnl"/>
        </w:rPr>
      </w:pPr>
    </w:p>
    <w:p w14:paraId="639FE680" w14:textId="339CB865" w:rsidR="003D1CF4" w:rsidRPr="00AD54FC" w:rsidRDefault="003D1CF4" w:rsidP="00491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Tasas de finalización por curso</w:t>
      </w:r>
    </w:p>
    <w:p w14:paraId="3E782E6F" w14:textId="77777777" w:rsidR="0049190F" w:rsidRPr="00AD54FC" w:rsidRDefault="0049190F" w:rsidP="0049190F">
      <w:pPr>
        <w:pStyle w:val="SingleTxt"/>
        <w:spacing w:after="0" w:line="120" w:lineRule="exact"/>
        <w:rPr>
          <w:sz w:val="10"/>
          <w:lang w:val="es-ES_tradnl"/>
        </w:rPr>
      </w:pPr>
    </w:p>
    <w:p w14:paraId="6E0A60D9" w14:textId="77777777" w:rsidR="0049190F" w:rsidRPr="00AD54FC" w:rsidRDefault="0049190F" w:rsidP="0049190F">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49190F" w:rsidRPr="00AD54FC" w14:paraId="621BFC44" w14:textId="77777777" w:rsidTr="0049190F">
        <w:trPr>
          <w:tblHeader/>
        </w:trPr>
        <w:tc>
          <w:tcPr>
            <w:tcW w:w="2440" w:type="dxa"/>
            <w:tcBorders>
              <w:top w:val="single" w:sz="4" w:space="0" w:color="auto"/>
              <w:bottom w:val="single" w:sz="12" w:space="0" w:color="auto"/>
            </w:tcBorders>
            <w:shd w:val="clear" w:color="auto" w:fill="auto"/>
            <w:vAlign w:val="bottom"/>
          </w:tcPr>
          <w:p w14:paraId="0F4B155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5"/>
                <w:szCs w:val="15"/>
                <w:lang w:val="es-ES_tradnl"/>
              </w:rPr>
            </w:pPr>
            <w:r w:rsidRPr="00AD54FC">
              <w:rPr>
                <w:i/>
                <w:iCs/>
                <w:sz w:val="15"/>
                <w:szCs w:val="15"/>
                <w:lang w:val="es-ES_tradnl"/>
              </w:rPr>
              <w:t>Curso</w:t>
            </w:r>
            <w:r w:rsidRPr="00AD54FC">
              <w:rPr>
                <w:sz w:val="15"/>
                <w:szCs w:val="15"/>
                <w:lang w:val="es-ES_tradnl"/>
              </w:rPr>
              <w:t xml:space="preserve"> </w:t>
            </w:r>
          </w:p>
        </w:tc>
        <w:tc>
          <w:tcPr>
            <w:tcW w:w="2440" w:type="dxa"/>
            <w:tcBorders>
              <w:top w:val="single" w:sz="4" w:space="0" w:color="auto"/>
              <w:bottom w:val="single" w:sz="12" w:space="0" w:color="auto"/>
            </w:tcBorders>
            <w:shd w:val="clear" w:color="auto" w:fill="auto"/>
            <w:vAlign w:val="bottom"/>
          </w:tcPr>
          <w:p w14:paraId="4E7ED40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5"/>
                <w:szCs w:val="15"/>
                <w:lang w:val="es-ES_tradnl"/>
              </w:rPr>
            </w:pPr>
            <w:r w:rsidRPr="00AD54FC">
              <w:rPr>
                <w:i/>
                <w:iCs/>
                <w:sz w:val="15"/>
                <w:szCs w:val="15"/>
                <w:lang w:val="es-ES_tradnl"/>
              </w:rPr>
              <w:t>Total</w:t>
            </w:r>
          </w:p>
        </w:tc>
        <w:tc>
          <w:tcPr>
            <w:tcW w:w="2440" w:type="dxa"/>
            <w:tcBorders>
              <w:top w:val="single" w:sz="4" w:space="0" w:color="auto"/>
              <w:bottom w:val="single" w:sz="12" w:space="0" w:color="auto"/>
            </w:tcBorders>
            <w:shd w:val="clear" w:color="auto" w:fill="auto"/>
            <w:vAlign w:val="bottom"/>
          </w:tcPr>
          <w:p w14:paraId="729891B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5"/>
                <w:szCs w:val="15"/>
                <w:lang w:val="es-ES_tradnl"/>
              </w:rPr>
            </w:pPr>
            <w:r w:rsidRPr="00AD54FC">
              <w:rPr>
                <w:i/>
                <w:iCs/>
                <w:sz w:val="15"/>
                <w:szCs w:val="15"/>
                <w:lang w:val="es-ES_tradnl"/>
              </w:rPr>
              <w:t>Mujeres</w:t>
            </w:r>
          </w:p>
        </w:tc>
      </w:tr>
      <w:tr w:rsidR="0049190F" w:rsidRPr="00AD54FC" w14:paraId="189A8643" w14:textId="77777777" w:rsidTr="0049190F">
        <w:trPr>
          <w:trHeight w:hRule="exact" w:val="115"/>
          <w:tblHeader/>
        </w:trPr>
        <w:tc>
          <w:tcPr>
            <w:tcW w:w="2440" w:type="dxa"/>
            <w:tcBorders>
              <w:top w:val="single" w:sz="12" w:space="0" w:color="auto"/>
            </w:tcBorders>
            <w:shd w:val="clear" w:color="auto" w:fill="auto"/>
            <w:vAlign w:val="bottom"/>
          </w:tcPr>
          <w:p w14:paraId="0C3F96D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2440" w:type="dxa"/>
            <w:tcBorders>
              <w:top w:val="single" w:sz="12" w:space="0" w:color="auto"/>
            </w:tcBorders>
            <w:shd w:val="clear" w:color="auto" w:fill="auto"/>
            <w:vAlign w:val="bottom"/>
          </w:tcPr>
          <w:p w14:paraId="7E8ADB2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2440" w:type="dxa"/>
            <w:tcBorders>
              <w:top w:val="single" w:sz="12" w:space="0" w:color="auto"/>
            </w:tcBorders>
            <w:shd w:val="clear" w:color="auto" w:fill="auto"/>
            <w:vAlign w:val="bottom"/>
          </w:tcPr>
          <w:p w14:paraId="300706B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49190F" w:rsidRPr="00AD54FC" w14:paraId="64660B9D" w14:textId="77777777" w:rsidTr="0049190F">
        <w:tc>
          <w:tcPr>
            <w:tcW w:w="2440" w:type="dxa"/>
            <w:shd w:val="clear" w:color="auto" w:fill="auto"/>
            <w:vAlign w:val="bottom"/>
          </w:tcPr>
          <w:p w14:paraId="66A9993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Promedio</w:t>
            </w:r>
          </w:p>
        </w:tc>
        <w:tc>
          <w:tcPr>
            <w:tcW w:w="2440" w:type="dxa"/>
            <w:shd w:val="clear" w:color="auto" w:fill="auto"/>
            <w:vAlign w:val="bottom"/>
          </w:tcPr>
          <w:p w14:paraId="13689F8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77,7 %</w:t>
            </w:r>
          </w:p>
        </w:tc>
        <w:tc>
          <w:tcPr>
            <w:tcW w:w="2440" w:type="dxa"/>
            <w:shd w:val="clear" w:color="auto" w:fill="auto"/>
            <w:vAlign w:val="bottom"/>
          </w:tcPr>
          <w:p w14:paraId="2FBC431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80,4 %</w:t>
            </w:r>
          </w:p>
        </w:tc>
      </w:tr>
      <w:tr w:rsidR="0049190F" w:rsidRPr="00AD54FC" w14:paraId="3202BD0B" w14:textId="77777777" w:rsidTr="0049190F">
        <w:tc>
          <w:tcPr>
            <w:tcW w:w="2440" w:type="dxa"/>
            <w:shd w:val="clear" w:color="auto" w:fill="auto"/>
            <w:vAlign w:val="bottom"/>
          </w:tcPr>
          <w:p w14:paraId="39D86C7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1º</w:t>
            </w:r>
          </w:p>
        </w:tc>
        <w:tc>
          <w:tcPr>
            <w:tcW w:w="2440" w:type="dxa"/>
            <w:shd w:val="clear" w:color="auto" w:fill="auto"/>
            <w:vAlign w:val="bottom"/>
          </w:tcPr>
          <w:p w14:paraId="3EC5D05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78,7 %</w:t>
            </w:r>
          </w:p>
        </w:tc>
        <w:tc>
          <w:tcPr>
            <w:tcW w:w="2440" w:type="dxa"/>
            <w:shd w:val="clear" w:color="auto" w:fill="auto"/>
            <w:vAlign w:val="bottom"/>
          </w:tcPr>
          <w:p w14:paraId="45D5B16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82,2 %</w:t>
            </w:r>
          </w:p>
        </w:tc>
      </w:tr>
      <w:tr w:rsidR="0049190F" w:rsidRPr="00AD54FC" w14:paraId="708FA5DC" w14:textId="77777777" w:rsidTr="0049190F">
        <w:tc>
          <w:tcPr>
            <w:tcW w:w="2440" w:type="dxa"/>
            <w:shd w:val="clear" w:color="auto" w:fill="auto"/>
            <w:vAlign w:val="bottom"/>
          </w:tcPr>
          <w:p w14:paraId="2E1B0A9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2º</w:t>
            </w:r>
          </w:p>
        </w:tc>
        <w:tc>
          <w:tcPr>
            <w:tcW w:w="2440" w:type="dxa"/>
            <w:shd w:val="clear" w:color="auto" w:fill="auto"/>
            <w:vAlign w:val="bottom"/>
          </w:tcPr>
          <w:p w14:paraId="5E711FA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84,7 %</w:t>
            </w:r>
          </w:p>
        </w:tc>
        <w:tc>
          <w:tcPr>
            <w:tcW w:w="2440" w:type="dxa"/>
            <w:shd w:val="clear" w:color="auto" w:fill="auto"/>
            <w:vAlign w:val="bottom"/>
          </w:tcPr>
          <w:p w14:paraId="34D87F1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88,2 %</w:t>
            </w:r>
          </w:p>
        </w:tc>
      </w:tr>
      <w:tr w:rsidR="0049190F" w:rsidRPr="00AD54FC" w14:paraId="2E4E15EB" w14:textId="77777777" w:rsidTr="0049190F">
        <w:tc>
          <w:tcPr>
            <w:tcW w:w="2440" w:type="dxa"/>
            <w:shd w:val="clear" w:color="auto" w:fill="auto"/>
            <w:vAlign w:val="bottom"/>
          </w:tcPr>
          <w:p w14:paraId="51DADE5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3º</w:t>
            </w:r>
          </w:p>
        </w:tc>
        <w:tc>
          <w:tcPr>
            <w:tcW w:w="2440" w:type="dxa"/>
            <w:shd w:val="clear" w:color="auto" w:fill="auto"/>
            <w:vAlign w:val="bottom"/>
          </w:tcPr>
          <w:p w14:paraId="549054F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86,7 %</w:t>
            </w:r>
          </w:p>
        </w:tc>
        <w:tc>
          <w:tcPr>
            <w:tcW w:w="2440" w:type="dxa"/>
            <w:shd w:val="clear" w:color="auto" w:fill="auto"/>
            <w:vAlign w:val="bottom"/>
          </w:tcPr>
          <w:p w14:paraId="4019869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90,0 %</w:t>
            </w:r>
          </w:p>
        </w:tc>
      </w:tr>
      <w:tr w:rsidR="0049190F" w:rsidRPr="00AD54FC" w14:paraId="1119A843" w14:textId="77777777" w:rsidTr="0049190F">
        <w:tc>
          <w:tcPr>
            <w:tcW w:w="2440" w:type="dxa"/>
            <w:shd w:val="clear" w:color="auto" w:fill="auto"/>
            <w:vAlign w:val="bottom"/>
          </w:tcPr>
          <w:p w14:paraId="04ABACE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4º</w:t>
            </w:r>
          </w:p>
        </w:tc>
        <w:tc>
          <w:tcPr>
            <w:tcW w:w="2440" w:type="dxa"/>
            <w:shd w:val="clear" w:color="auto" w:fill="auto"/>
            <w:vAlign w:val="bottom"/>
          </w:tcPr>
          <w:p w14:paraId="49147C7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75,4 %</w:t>
            </w:r>
          </w:p>
        </w:tc>
        <w:tc>
          <w:tcPr>
            <w:tcW w:w="2440" w:type="dxa"/>
            <w:shd w:val="clear" w:color="auto" w:fill="auto"/>
            <w:vAlign w:val="bottom"/>
          </w:tcPr>
          <w:p w14:paraId="31F7F90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80,8 %</w:t>
            </w:r>
          </w:p>
        </w:tc>
      </w:tr>
      <w:tr w:rsidR="0049190F" w:rsidRPr="00AD54FC" w14:paraId="27AB804C" w14:textId="77777777" w:rsidTr="0049190F">
        <w:tc>
          <w:tcPr>
            <w:tcW w:w="2440" w:type="dxa"/>
            <w:shd w:val="clear" w:color="auto" w:fill="auto"/>
            <w:vAlign w:val="bottom"/>
          </w:tcPr>
          <w:p w14:paraId="2058CB9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5º</w:t>
            </w:r>
          </w:p>
        </w:tc>
        <w:tc>
          <w:tcPr>
            <w:tcW w:w="2440" w:type="dxa"/>
            <w:shd w:val="clear" w:color="auto" w:fill="auto"/>
            <w:vAlign w:val="bottom"/>
          </w:tcPr>
          <w:p w14:paraId="09870AA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79,3 %</w:t>
            </w:r>
          </w:p>
        </w:tc>
        <w:tc>
          <w:tcPr>
            <w:tcW w:w="2440" w:type="dxa"/>
            <w:shd w:val="clear" w:color="auto" w:fill="auto"/>
            <w:vAlign w:val="bottom"/>
          </w:tcPr>
          <w:p w14:paraId="1CB0048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82,8 %</w:t>
            </w:r>
          </w:p>
        </w:tc>
      </w:tr>
      <w:tr w:rsidR="0049190F" w:rsidRPr="00AD54FC" w14:paraId="5B7DC980" w14:textId="77777777" w:rsidTr="0049190F">
        <w:tc>
          <w:tcPr>
            <w:tcW w:w="2440" w:type="dxa"/>
            <w:shd w:val="clear" w:color="auto" w:fill="auto"/>
            <w:vAlign w:val="bottom"/>
          </w:tcPr>
          <w:p w14:paraId="7965ACB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6º</w:t>
            </w:r>
          </w:p>
        </w:tc>
        <w:tc>
          <w:tcPr>
            <w:tcW w:w="2440" w:type="dxa"/>
            <w:shd w:val="clear" w:color="auto" w:fill="auto"/>
            <w:vAlign w:val="bottom"/>
          </w:tcPr>
          <w:p w14:paraId="4CA0B34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82,3 %</w:t>
            </w:r>
          </w:p>
        </w:tc>
        <w:tc>
          <w:tcPr>
            <w:tcW w:w="2440" w:type="dxa"/>
            <w:shd w:val="clear" w:color="auto" w:fill="auto"/>
            <w:vAlign w:val="bottom"/>
          </w:tcPr>
          <w:p w14:paraId="4C0AF5A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84,7 %</w:t>
            </w:r>
          </w:p>
        </w:tc>
      </w:tr>
      <w:tr w:rsidR="0049190F" w:rsidRPr="00AD54FC" w14:paraId="3EFDD5E5" w14:textId="77777777" w:rsidTr="0049190F">
        <w:tc>
          <w:tcPr>
            <w:tcW w:w="2440" w:type="dxa"/>
            <w:shd w:val="clear" w:color="auto" w:fill="auto"/>
            <w:vAlign w:val="bottom"/>
          </w:tcPr>
          <w:p w14:paraId="03A80D3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7º</w:t>
            </w:r>
          </w:p>
        </w:tc>
        <w:tc>
          <w:tcPr>
            <w:tcW w:w="2440" w:type="dxa"/>
            <w:shd w:val="clear" w:color="auto" w:fill="auto"/>
            <w:vAlign w:val="bottom"/>
          </w:tcPr>
          <w:p w14:paraId="610ED48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87,5 %</w:t>
            </w:r>
          </w:p>
        </w:tc>
        <w:tc>
          <w:tcPr>
            <w:tcW w:w="2440" w:type="dxa"/>
            <w:shd w:val="clear" w:color="auto" w:fill="auto"/>
            <w:vAlign w:val="bottom"/>
          </w:tcPr>
          <w:p w14:paraId="10FC6D6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89,4 %</w:t>
            </w:r>
          </w:p>
        </w:tc>
      </w:tr>
      <w:tr w:rsidR="0049190F" w:rsidRPr="00AD54FC" w14:paraId="0737C4B3" w14:textId="77777777" w:rsidTr="0049190F">
        <w:tc>
          <w:tcPr>
            <w:tcW w:w="2440" w:type="dxa"/>
            <w:shd w:val="clear" w:color="auto" w:fill="auto"/>
            <w:vAlign w:val="bottom"/>
          </w:tcPr>
          <w:p w14:paraId="2B0384F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8º</w:t>
            </w:r>
          </w:p>
        </w:tc>
        <w:tc>
          <w:tcPr>
            <w:tcW w:w="2440" w:type="dxa"/>
            <w:shd w:val="clear" w:color="auto" w:fill="auto"/>
            <w:vAlign w:val="bottom"/>
          </w:tcPr>
          <w:p w14:paraId="4111ACB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66,7 %</w:t>
            </w:r>
          </w:p>
        </w:tc>
        <w:tc>
          <w:tcPr>
            <w:tcW w:w="2440" w:type="dxa"/>
            <w:shd w:val="clear" w:color="auto" w:fill="auto"/>
            <w:vAlign w:val="bottom"/>
          </w:tcPr>
          <w:p w14:paraId="5E1C856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69,2 %</w:t>
            </w:r>
          </w:p>
        </w:tc>
      </w:tr>
      <w:tr w:rsidR="0049190F" w:rsidRPr="00AD54FC" w14:paraId="35AFAEC1" w14:textId="77777777" w:rsidTr="0049190F">
        <w:tc>
          <w:tcPr>
            <w:tcW w:w="2440" w:type="dxa"/>
            <w:shd w:val="clear" w:color="auto" w:fill="auto"/>
            <w:vAlign w:val="bottom"/>
          </w:tcPr>
          <w:p w14:paraId="0181C48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9º</w:t>
            </w:r>
          </w:p>
        </w:tc>
        <w:tc>
          <w:tcPr>
            <w:tcW w:w="2440" w:type="dxa"/>
            <w:shd w:val="clear" w:color="auto" w:fill="auto"/>
            <w:vAlign w:val="bottom"/>
          </w:tcPr>
          <w:p w14:paraId="6A5DE73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59,2 %</w:t>
            </w:r>
          </w:p>
        </w:tc>
        <w:tc>
          <w:tcPr>
            <w:tcW w:w="2440" w:type="dxa"/>
            <w:shd w:val="clear" w:color="auto" w:fill="auto"/>
            <w:vAlign w:val="bottom"/>
          </w:tcPr>
          <w:p w14:paraId="2F7BA68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60,4 %</w:t>
            </w:r>
          </w:p>
        </w:tc>
      </w:tr>
      <w:tr w:rsidR="0049190F" w:rsidRPr="00AD54FC" w14:paraId="2BF78424" w14:textId="77777777" w:rsidTr="0049190F">
        <w:tc>
          <w:tcPr>
            <w:tcW w:w="2440" w:type="dxa"/>
            <w:shd w:val="clear" w:color="auto" w:fill="auto"/>
            <w:vAlign w:val="bottom"/>
          </w:tcPr>
          <w:p w14:paraId="2FD000A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10º</w:t>
            </w:r>
          </w:p>
        </w:tc>
        <w:tc>
          <w:tcPr>
            <w:tcW w:w="2440" w:type="dxa"/>
            <w:shd w:val="clear" w:color="auto" w:fill="auto"/>
            <w:vAlign w:val="bottom"/>
          </w:tcPr>
          <w:p w14:paraId="59B6A92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58,5 %</w:t>
            </w:r>
          </w:p>
        </w:tc>
        <w:tc>
          <w:tcPr>
            <w:tcW w:w="2440" w:type="dxa"/>
            <w:shd w:val="clear" w:color="auto" w:fill="auto"/>
            <w:vAlign w:val="bottom"/>
          </w:tcPr>
          <w:p w14:paraId="4F84929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60,1 %</w:t>
            </w:r>
          </w:p>
        </w:tc>
      </w:tr>
      <w:tr w:rsidR="0049190F" w:rsidRPr="00AD54FC" w14:paraId="7B9BB293" w14:textId="77777777" w:rsidTr="0049190F">
        <w:tc>
          <w:tcPr>
            <w:tcW w:w="2440" w:type="dxa"/>
            <w:tcBorders>
              <w:bottom w:val="single" w:sz="12" w:space="0" w:color="auto"/>
            </w:tcBorders>
            <w:shd w:val="clear" w:color="auto" w:fill="auto"/>
            <w:vAlign w:val="bottom"/>
          </w:tcPr>
          <w:p w14:paraId="51952D2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Curso 11º</w:t>
            </w:r>
          </w:p>
        </w:tc>
        <w:tc>
          <w:tcPr>
            <w:tcW w:w="2440" w:type="dxa"/>
            <w:tcBorders>
              <w:bottom w:val="single" w:sz="12" w:space="0" w:color="auto"/>
            </w:tcBorders>
            <w:shd w:val="clear" w:color="auto" w:fill="auto"/>
            <w:vAlign w:val="bottom"/>
          </w:tcPr>
          <w:p w14:paraId="62F1DD0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96,1 %</w:t>
            </w:r>
          </w:p>
        </w:tc>
        <w:tc>
          <w:tcPr>
            <w:tcW w:w="2440" w:type="dxa"/>
            <w:tcBorders>
              <w:bottom w:val="single" w:sz="12" w:space="0" w:color="auto"/>
            </w:tcBorders>
            <w:shd w:val="clear" w:color="auto" w:fill="auto"/>
            <w:vAlign w:val="bottom"/>
          </w:tcPr>
          <w:p w14:paraId="73B82CC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96,3 %</w:t>
            </w:r>
          </w:p>
        </w:tc>
      </w:tr>
    </w:tbl>
    <w:p w14:paraId="04218220" w14:textId="7B1D66A4" w:rsidR="003D1CF4" w:rsidRPr="00AD54FC" w:rsidRDefault="003D1CF4" w:rsidP="0049190F">
      <w:pPr>
        <w:pStyle w:val="SingleTxt"/>
        <w:spacing w:after="0" w:line="120" w:lineRule="exact"/>
        <w:rPr>
          <w:sz w:val="10"/>
          <w:lang w:val="es-ES_tradnl"/>
        </w:rPr>
      </w:pPr>
    </w:p>
    <w:p w14:paraId="31F7AB86" w14:textId="057BF698" w:rsidR="0049190F" w:rsidRPr="00AD54FC" w:rsidRDefault="0049190F" w:rsidP="0049190F">
      <w:pPr>
        <w:pStyle w:val="SingleTxt"/>
        <w:spacing w:after="0" w:line="120" w:lineRule="exact"/>
        <w:rPr>
          <w:sz w:val="10"/>
          <w:lang w:val="es-ES_tradnl"/>
        </w:rPr>
      </w:pPr>
    </w:p>
    <w:p w14:paraId="1489C192" w14:textId="77777777" w:rsidR="003D1CF4" w:rsidRPr="00AD54FC" w:rsidRDefault="003D1CF4" w:rsidP="00491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Universidad de Ciencia y Tecnología de Namibia</w:t>
      </w:r>
    </w:p>
    <w:p w14:paraId="4B90893A" w14:textId="77777777" w:rsidR="0049190F" w:rsidRPr="00AD54FC" w:rsidRDefault="0049190F" w:rsidP="0049190F">
      <w:pPr>
        <w:pStyle w:val="SingleTxt"/>
        <w:spacing w:after="0" w:line="120" w:lineRule="exact"/>
        <w:rPr>
          <w:sz w:val="10"/>
          <w:lang w:val="es-ES_tradnl"/>
        </w:rPr>
      </w:pPr>
    </w:p>
    <w:p w14:paraId="03D3BD82" w14:textId="1946C8C2" w:rsidR="003D1CF4" w:rsidRPr="00AD54FC" w:rsidRDefault="003D1CF4" w:rsidP="003D1CF4">
      <w:pPr>
        <w:pStyle w:val="SingleTxt"/>
        <w:rPr>
          <w:spacing w:val="2"/>
          <w:lang w:val="es-ES_tradnl"/>
        </w:rPr>
      </w:pPr>
      <w:r w:rsidRPr="00AD54FC">
        <w:rPr>
          <w:spacing w:val="2"/>
          <w:lang w:val="es-ES_tradnl"/>
        </w:rPr>
        <w:t>50.</w:t>
      </w:r>
      <w:r w:rsidRPr="00AD54FC">
        <w:rPr>
          <w:spacing w:val="2"/>
          <w:lang w:val="es-ES_tradnl"/>
        </w:rPr>
        <w:tab/>
        <w:t xml:space="preserve">A continuación se presentan las estadísticas de matriculación en la Universidad de Ciencia y Tecnología de Namibia para los años escolares 2014 a 2020, desglosadas por sexo y carreras CTIM (ciencia, tecnología, ingeniería y matemáticas). Además, las estadísticas de graduación se ofrecen desglosadas por tipo de cualificación obtenida. </w:t>
      </w:r>
    </w:p>
    <w:p w14:paraId="649295A7" w14:textId="77777777" w:rsidR="0049190F" w:rsidRPr="00AD54FC" w:rsidRDefault="0049190F" w:rsidP="0049190F">
      <w:pPr>
        <w:pStyle w:val="SingleTxt"/>
        <w:spacing w:after="0" w:line="120" w:lineRule="exact"/>
        <w:rPr>
          <w:sz w:val="10"/>
          <w:lang w:val="es-ES_tradnl"/>
        </w:rPr>
      </w:pPr>
    </w:p>
    <w:p w14:paraId="6D19D1EE" w14:textId="02ED4C3E" w:rsidR="003D1CF4" w:rsidRPr="00AD54FC" w:rsidRDefault="003D1CF4" w:rsidP="0049190F">
      <w:pPr>
        <w:pStyle w:val="H4"/>
        <w:ind w:right="1260"/>
        <w:rPr>
          <w:lang w:val="es-ES_tradnl"/>
        </w:rPr>
      </w:pPr>
      <w:r w:rsidRPr="00AD54FC">
        <w:rPr>
          <w:lang w:val="es-ES_tradnl"/>
        </w:rPr>
        <w:tab/>
      </w:r>
      <w:r w:rsidRPr="00AD54FC">
        <w:rPr>
          <w:lang w:val="es-ES_tradnl"/>
        </w:rPr>
        <w:tab/>
      </w:r>
      <w:r w:rsidRPr="00AD54FC">
        <w:rPr>
          <w:iCs/>
          <w:lang w:val="es-ES_tradnl"/>
        </w:rPr>
        <w:t>Estadísticas de matriculación</w:t>
      </w:r>
    </w:p>
    <w:p w14:paraId="72AD9037" w14:textId="77777777" w:rsidR="0049190F" w:rsidRPr="00AD54FC" w:rsidRDefault="0049190F" w:rsidP="0049190F">
      <w:pPr>
        <w:pStyle w:val="SingleTxt"/>
        <w:spacing w:after="0" w:line="120" w:lineRule="exact"/>
        <w:rPr>
          <w:sz w:val="10"/>
          <w:lang w:val="es-ES_tradnl"/>
        </w:rPr>
      </w:pPr>
    </w:p>
    <w:p w14:paraId="19BF7F79" w14:textId="6140D445" w:rsidR="0049190F" w:rsidRPr="00AD54FC" w:rsidRDefault="003D1CF4" w:rsidP="0049190F">
      <w:pPr>
        <w:pStyle w:val="SingleTxt"/>
        <w:rPr>
          <w:lang w:val="es-ES_tradnl"/>
        </w:rPr>
      </w:pPr>
      <w:r w:rsidRPr="00AD54FC">
        <w:rPr>
          <w:lang w:val="es-ES_tradnl"/>
        </w:rPr>
        <w:t>51.</w:t>
      </w:r>
      <w:r w:rsidRPr="00AD54FC">
        <w:rPr>
          <w:lang w:val="es-ES_tradnl"/>
        </w:rPr>
        <w:tab/>
        <w:t>El cuadro 1 que figura a continuación muestra que el número total de estudiantes matriculados en la Universidad de Ciencia y Tecnología de Namibia se ha reducido de 12.946 en el año 2014 a 12.610 en el año 2020. La matriculación alcanzó su nivel más bajo en 2017, con 11.226 alumnos matriculados. En 2020 el 50</w:t>
      </w:r>
      <w:r w:rsidR="0021603A" w:rsidRPr="00AD54FC">
        <w:rPr>
          <w:lang w:val="es-ES_tradnl"/>
        </w:rPr>
        <w:t xml:space="preserve"> </w:t>
      </w:r>
      <w:r w:rsidRPr="00AD54FC">
        <w:rPr>
          <w:lang w:val="es-ES_tradnl"/>
        </w:rPr>
        <w:t>% de los estudiantes matriculados eran mujeres.</w:t>
      </w:r>
    </w:p>
    <w:p w14:paraId="35FA39CE" w14:textId="77777777" w:rsidR="0049190F" w:rsidRPr="00AD54FC" w:rsidRDefault="0049190F" w:rsidP="0049190F">
      <w:pPr>
        <w:pStyle w:val="SingleTxt"/>
        <w:spacing w:after="0" w:line="120" w:lineRule="exact"/>
        <w:rPr>
          <w:sz w:val="10"/>
          <w:lang w:val="es-ES_tradnl"/>
        </w:rPr>
      </w:pPr>
    </w:p>
    <w:p w14:paraId="05A4D4F1" w14:textId="77777777" w:rsidR="0049190F" w:rsidRPr="00AD54FC" w:rsidRDefault="003D1CF4" w:rsidP="0049190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D54FC">
        <w:rPr>
          <w:b w:val="0"/>
          <w:bCs/>
          <w:lang w:val="es-ES_tradnl"/>
        </w:rPr>
        <w:tab/>
      </w:r>
      <w:r w:rsidRPr="00AD54FC">
        <w:rPr>
          <w:b w:val="0"/>
          <w:bCs/>
          <w:lang w:val="es-ES_tradnl"/>
        </w:rPr>
        <w:tab/>
        <w:t>Cuadro 1</w:t>
      </w:r>
    </w:p>
    <w:p w14:paraId="5B7CF3B2" w14:textId="05CC9E92" w:rsidR="003D1CF4" w:rsidRPr="00AD54FC" w:rsidRDefault="0049190F" w:rsidP="0049190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Estadísticas totales de matriculación, número de estudiantes por sexo</w:t>
      </w:r>
    </w:p>
    <w:p w14:paraId="1B8E6DC1" w14:textId="77777777" w:rsidR="0049190F" w:rsidRPr="00AD54FC" w:rsidRDefault="0049190F" w:rsidP="0049190F">
      <w:pPr>
        <w:pStyle w:val="SingleTxt"/>
        <w:keepNext/>
        <w:keepLines/>
        <w:spacing w:after="0" w:line="120" w:lineRule="exact"/>
        <w:rPr>
          <w:sz w:val="10"/>
          <w:lang w:val="es-ES_tradnl"/>
        </w:rPr>
      </w:pPr>
    </w:p>
    <w:p w14:paraId="44289F04" w14:textId="77777777" w:rsidR="0049190F" w:rsidRPr="00AD54FC" w:rsidRDefault="0049190F" w:rsidP="0049190F">
      <w:pPr>
        <w:pStyle w:val="SingleTxt"/>
        <w:keepNext/>
        <w:keepLines/>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49190F" w:rsidRPr="00AD54FC" w14:paraId="02B8D33F" w14:textId="77777777" w:rsidTr="0049190F">
        <w:trPr>
          <w:tblHeader/>
        </w:trPr>
        <w:tc>
          <w:tcPr>
            <w:tcW w:w="1830" w:type="dxa"/>
            <w:tcBorders>
              <w:top w:val="single" w:sz="4" w:space="0" w:color="auto"/>
              <w:bottom w:val="single" w:sz="12" w:space="0" w:color="auto"/>
            </w:tcBorders>
            <w:shd w:val="clear" w:color="auto" w:fill="auto"/>
            <w:vAlign w:val="bottom"/>
          </w:tcPr>
          <w:p w14:paraId="4E319EA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5"/>
                <w:szCs w:val="15"/>
                <w:lang w:val="es-ES_tradnl"/>
              </w:rPr>
            </w:pPr>
            <w:r w:rsidRPr="00AD54FC">
              <w:rPr>
                <w:i/>
                <w:iCs/>
                <w:sz w:val="15"/>
                <w:szCs w:val="15"/>
                <w:lang w:val="es-ES_tradnl"/>
              </w:rPr>
              <w:t>Año escolar</w:t>
            </w:r>
            <w:r w:rsidRPr="00AD54FC">
              <w:rPr>
                <w:sz w:val="15"/>
                <w:szCs w:val="15"/>
                <w:lang w:val="es-ES_tradnl"/>
              </w:rPr>
              <w:t xml:space="preserve"> </w:t>
            </w:r>
          </w:p>
        </w:tc>
        <w:tc>
          <w:tcPr>
            <w:tcW w:w="1830" w:type="dxa"/>
            <w:tcBorders>
              <w:top w:val="single" w:sz="4" w:space="0" w:color="auto"/>
              <w:bottom w:val="single" w:sz="12" w:space="0" w:color="auto"/>
            </w:tcBorders>
            <w:shd w:val="clear" w:color="auto" w:fill="auto"/>
            <w:vAlign w:val="bottom"/>
          </w:tcPr>
          <w:p w14:paraId="60A18E5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5"/>
                <w:szCs w:val="15"/>
                <w:lang w:val="es-ES_tradnl"/>
              </w:rPr>
            </w:pPr>
            <w:r w:rsidRPr="00AD54FC">
              <w:rPr>
                <w:i/>
                <w:iCs/>
                <w:sz w:val="15"/>
                <w:szCs w:val="15"/>
                <w:lang w:val="es-ES_tradnl"/>
              </w:rPr>
              <w:t>MUJERES</w:t>
            </w:r>
            <w:r w:rsidRPr="00AD54FC">
              <w:rPr>
                <w:sz w:val="15"/>
                <w:szCs w:val="15"/>
                <w:lang w:val="es-ES_tradnl"/>
              </w:rPr>
              <w:t xml:space="preserve"> </w:t>
            </w:r>
          </w:p>
        </w:tc>
        <w:tc>
          <w:tcPr>
            <w:tcW w:w="1830" w:type="dxa"/>
            <w:tcBorders>
              <w:top w:val="single" w:sz="4" w:space="0" w:color="auto"/>
              <w:bottom w:val="single" w:sz="12" w:space="0" w:color="auto"/>
            </w:tcBorders>
            <w:shd w:val="clear" w:color="auto" w:fill="auto"/>
            <w:vAlign w:val="bottom"/>
          </w:tcPr>
          <w:p w14:paraId="30DDA51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5"/>
                <w:szCs w:val="15"/>
                <w:lang w:val="es-ES_tradnl"/>
              </w:rPr>
            </w:pPr>
            <w:r w:rsidRPr="00AD54FC">
              <w:rPr>
                <w:i/>
                <w:iCs/>
                <w:sz w:val="15"/>
                <w:szCs w:val="15"/>
                <w:lang w:val="es-ES_tradnl"/>
              </w:rPr>
              <w:t>HOMBRES</w:t>
            </w:r>
            <w:r w:rsidRPr="00AD54FC">
              <w:rPr>
                <w:sz w:val="15"/>
                <w:szCs w:val="15"/>
                <w:lang w:val="es-ES_tradnl"/>
              </w:rPr>
              <w:t xml:space="preserve"> </w:t>
            </w:r>
          </w:p>
        </w:tc>
        <w:tc>
          <w:tcPr>
            <w:tcW w:w="1830" w:type="dxa"/>
            <w:tcBorders>
              <w:top w:val="single" w:sz="4" w:space="0" w:color="auto"/>
              <w:bottom w:val="single" w:sz="12" w:space="0" w:color="auto"/>
            </w:tcBorders>
            <w:shd w:val="clear" w:color="auto" w:fill="auto"/>
            <w:vAlign w:val="bottom"/>
          </w:tcPr>
          <w:p w14:paraId="42138A9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5"/>
                <w:szCs w:val="15"/>
                <w:lang w:val="es-ES_tradnl"/>
              </w:rPr>
            </w:pPr>
            <w:proofErr w:type="gramStart"/>
            <w:r w:rsidRPr="00AD54FC">
              <w:rPr>
                <w:i/>
                <w:iCs/>
                <w:sz w:val="15"/>
                <w:szCs w:val="15"/>
                <w:lang w:val="es-ES_tradnl"/>
              </w:rPr>
              <w:t>Total</w:t>
            </w:r>
            <w:proofErr w:type="gramEnd"/>
            <w:r w:rsidRPr="00AD54FC">
              <w:rPr>
                <w:i/>
                <w:iCs/>
                <w:sz w:val="15"/>
                <w:szCs w:val="15"/>
                <w:lang w:val="es-ES_tradnl"/>
              </w:rPr>
              <w:t xml:space="preserve"> general</w:t>
            </w:r>
          </w:p>
        </w:tc>
      </w:tr>
      <w:tr w:rsidR="0049190F" w:rsidRPr="00AD54FC" w14:paraId="67BBA220" w14:textId="77777777" w:rsidTr="0049190F">
        <w:trPr>
          <w:trHeight w:hRule="exact" w:val="115"/>
          <w:tblHeader/>
        </w:trPr>
        <w:tc>
          <w:tcPr>
            <w:tcW w:w="1830" w:type="dxa"/>
            <w:tcBorders>
              <w:top w:val="single" w:sz="12" w:space="0" w:color="auto"/>
            </w:tcBorders>
            <w:shd w:val="clear" w:color="auto" w:fill="auto"/>
            <w:vAlign w:val="bottom"/>
          </w:tcPr>
          <w:p w14:paraId="5CCFE9F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30" w:type="dxa"/>
            <w:tcBorders>
              <w:top w:val="single" w:sz="12" w:space="0" w:color="auto"/>
            </w:tcBorders>
            <w:shd w:val="clear" w:color="auto" w:fill="auto"/>
            <w:vAlign w:val="bottom"/>
          </w:tcPr>
          <w:p w14:paraId="2F4F746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30" w:type="dxa"/>
            <w:tcBorders>
              <w:top w:val="single" w:sz="12" w:space="0" w:color="auto"/>
            </w:tcBorders>
            <w:shd w:val="clear" w:color="auto" w:fill="auto"/>
            <w:vAlign w:val="bottom"/>
          </w:tcPr>
          <w:p w14:paraId="1631A52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30" w:type="dxa"/>
            <w:tcBorders>
              <w:top w:val="single" w:sz="12" w:space="0" w:color="auto"/>
            </w:tcBorders>
            <w:shd w:val="clear" w:color="auto" w:fill="auto"/>
            <w:vAlign w:val="bottom"/>
          </w:tcPr>
          <w:p w14:paraId="0999AE2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49190F" w:rsidRPr="00AD54FC" w14:paraId="3BC91D14" w14:textId="77777777" w:rsidTr="0049190F">
        <w:tc>
          <w:tcPr>
            <w:tcW w:w="1830" w:type="dxa"/>
            <w:shd w:val="clear" w:color="auto" w:fill="auto"/>
            <w:vAlign w:val="bottom"/>
          </w:tcPr>
          <w:p w14:paraId="078CCC3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2014 </w:t>
            </w:r>
          </w:p>
        </w:tc>
        <w:tc>
          <w:tcPr>
            <w:tcW w:w="1830" w:type="dxa"/>
            <w:shd w:val="clear" w:color="auto" w:fill="auto"/>
            <w:vAlign w:val="bottom"/>
          </w:tcPr>
          <w:p w14:paraId="3F821F09" w14:textId="461DA5E4"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6978 </w:t>
            </w:r>
          </w:p>
        </w:tc>
        <w:tc>
          <w:tcPr>
            <w:tcW w:w="1830" w:type="dxa"/>
            <w:shd w:val="clear" w:color="auto" w:fill="auto"/>
            <w:vAlign w:val="bottom"/>
          </w:tcPr>
          <w:p w14:paraId="7DED85AE" w14:textId="5F5C5269"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5968 </w:t>
            </w:r>
          </w:p>
        </w:tc>
        <w:tc>
          <w:tcPr>
            <w:tcW w:w="1830" w:type="dxa"/>
            <w:shd w:val="clear" w:color="auto" w:fill="auto"/>
            <w:vAlign w:val="bottom"/>
          </w:tcPr>
          <w:p w14:paraId="1C2E6AEF" w14:textId="724F0C3E"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12 946</w:t>
            </w:r>
          </w:p>
        </w:tc>
      </w:tr>
      <w:tr w:rsidR="0049190F" w:rsidRPr="00AD54FC" w14:paraId="25DCC9DA" w14:textId="77777777" w:rsidTr="0049190F">
        <w:tc>
          <w:tcPr>
            <w:tcW w:w="1830" w:type="dxa"/>
            <w:shd w:val="clear" w:color="auto" w:fill="auto"/>
            <w:vAlign w:val="bottom"/>
          </w:tcPr>
          <w:p w14:paraId="2D6D625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2015 </w:t>
            </w:r>
          </w:p>
        </w:tc>
        <w:tc>
          <w:tcPr>
            <w:tcW w:w="1830" w:type="dxa"/>
            <w:shd w:val="clear" w:color="auto" w:fill="auto"/>
            <w:vAlign w:val="bottom"/>
          </w:tcPr>
          <w:p w14:paraId="58621717" w14:textId="5B013CEE"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6746 </w:t>
            </w:r>
          </w:p>
        </w:tc>
        <w:tc>
          <w:tcPr>
            <w:tcW w:w="1830" w:type="dxa"/>
            <w:shd w:val="clear" w:color="auto" w:fill="auto"/>
            <w:vAlign w:val="bottom"/>
          </w:tcPr>
          <w:p w14:paraId="461CC0BF" w14:textId="521D1FD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6003 </w:t>
            </w:r>
          </w:p>
        </w:tc>
        <w:tc>
          <w:tcPr>
            <w:tcW w:w="1830" w:type="dxa"/>
            <w:shd w:val="clear" w:color="auto" w:fill="auto"/>
            <w:vAlign w:val="bottom"/>
          </w:tcPr>
          <w:p w14:paraId="581B2EBC" w14:textId="2E68BBD9"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12 749</w:t>
            </w:r>
          </w:p>
        </w:tc>
      </w:tr>
      <w:tr w:rsidR="0049190F" w:rsidRPr="00AD54FC" w14:paraId="08C3A94A" w14:textId="77777777" w:rsidTr="0049190F">
        <w:tc>
          <w:tcPr>
            <w:tcW w:w="1830" w:type="dxa"/>
            <w:shd w:val="clear" w:color="auto" w:fill="auto"/>
            <w:vAlign w:val="bottom"/>
          </w:tcPr>
          <w:p w14:paraId="223864B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2016 </w:t>
            </w:r>
          </w:p>
        </w:tc>
        <w:tc>
          <w:tcPr>
            <w:tcW w:w="1830" w:type="dxa"/>
            <w:shd w:val="clear" w:color="auto" w:fill="auto"/>
            <w:vAlign w:val="bottom"/>
          </w:tcPr>
          <w:p w14:paraId="687CCD58" w14:textId="73B89066"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6505 </w:t>
            </w:r>
          </w:p>
        </w:tc>
        <w:tc>
          <w:tcPr>
            <w:tcW w:w="1830" w:type="dxa"/>
            <w:shd w:val="clear" w:color="auto" w:fill="auto"/>
            <w:vAlign w:val="bottom"/>
          </w:tcPr>
          <w:p w14:paraId="16DE9565" w14:textId="48885B53"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6248 </w:t>
            </w:r>
          </w:p>
        </w:tc>
        <w:tc>
          <w:tcPr>
            <w:tcW w:w="1830" w:type="dxa"/>
            <w:shd w:val="clear" w:color="auto" w:fill="auto"/>
            <w:vAlign w:val="bottom"/>
          </w:tcPr>
          <w:p w14:paraId="7415F0CC" w14:textId="14E505D5"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12 753</w:t>
            </w:r>
          </w:p>
        </w:tc>
      </w:tr>
      <w:tr w:rsidR="0049190F" w:rsidRPr="00AD54FC" w14:paraId="30DF25D6" w14:textId="77777777" w:rsidTr="0049190F">
        <w:tc>
          <w:tcPr>
            <w:tcW w:w="1830" w:type="dxa"/>
            <w:shd w:val="clear" w:color="auto" w:fill="auto"/>
            <w:vAlign w:val="bottom"/>
          </w:tcPr>
          <w:p w14:paraId="5542340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2017 </w:t>
            </w:r>
          </w:p>
        </w:tc>
        <w:tc>
          <w:tcPr>
            <w:tcW w:w="1830" w:type="dxa"/>
            <w:shd w:val="clear" w:color="auto" w:fill="auto"/>
            <w:vAlign w:val="bottom"/>
          </w:tcPr>
          <w:p w14:paraId="67D1E613" w14:textId="4E5C5FE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5643 </w:t>
            </w:r>
          </w:p>
        </w:tc>
        <w:tc>
          <w:tcPr>
            <w:tcW w:w="1830" w:type="dxa"/>
            <w:shd w:val="clear" w:color="auto" w:fill="auto"/>
            <w:vAlign w:val="bottom"/>
          </w:tcPr>
          <w:p w14:paraId="7A744D53" w14:textId="30249AD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5583 </w:t>
            </w:r>
          </w:p>
        </w:tc>
        <w:tc>
          <w:tcPr>
            <w:tcW w:w="1830" w:type="dxa"/>
            <w:shd w:val="clear" w:color="auto" w:fill="auto"/>
            <w:vAlign w:val="bottom"/>
          </w:tcPr>
          <w:p w14:paraId="5AC774F8" w14:textId="1865E78E"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11 226</w:t>
            </w:r>
          </w:p>
        </w:tc>
      </w:tr>
      <w:tr w:rsidR="0049190F" w:rsidRPr="00AD54FC" w14:paraId="53D089C7" w14:textId="77777777" w:rsidTr="0049190F">
        <w:tc>
          <w:tcPr>
            <w:tcW w:w="1830" w:type="dxa"/>
            <w:shd w:val="clear" w:color="auto" w:fill="auto"/>
            <w:vAlign w:val="bottom"/>
          </w:tcPr>
          <w:p w14:paraId="7BBB511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2018 </w:t>
            </w:r>
          </w:p>
        </w:tc>
        <w:tc>
          <w:tcPr>
            <w:tcW w:w="1830" w:type="dxa"/>
            <w:shd w:val="clear" w:color="auto" w:fill="auto"/>
            <w:vAlign w:val="bottom"/>
          </w:tcPr>
          <w:p w14:paraId="5C23C596" w14:textId="3FFFD824"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5533 </w:t>
            </w:r>
          </w:p>
        </w:tc>
        <w:tc>
          <w:tcPr>
            <w:tcW w:w="1830" w:type="dxa"/>
            <w:shd w:val="clear" w:color="auto" w:fill="auto"/>
            <w:vAlign w:val="bottom"/>
          </w:tcPr>
          <w:p w14:paraId="635FF5AA" w14:textId="59F51219"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5702 </w:t>
            </w:r>
          </w:p>
        </w:tc>
        <w:tc>
          <w:tcPr>
            <w:tcW w:w="1830" w:type="dxa"/>
            <w:shd w:val="clear" w:color="auto" w:fill="auto"/>
            <w:vAlign w:val="bottom"/>
          </w:tcPr>
          <w:p w14:paraId="7360635B" w14:textId="3C206642"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11 235</w:t>
            </w:r>
          </w:p>
        </w:tc>
      </w:tr>
      <w:tr w:rsidR="0049190F" w:rsidRPr="00AD54FC" w14:paraId="557FC948" w14:textId="77777777" w:rsidTr="0049190F">
        <w:tc>
          <w:tcPr>
            <w:tcW w:w="1830" w:type="dxa"/>
            <w:shd w:val="clear" w:color="auto" w:fill="auto"/>
            <w:vAlign w:val="bottom"/>
          </w:tcPr>
          <w:p w14:paraId="02426A8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2019 </w:t>
            </w:r>
          </w:p>
        </w:tc>
        <w:tc>
          <w:tcPr>
            <w:tcW w:w="1830" w:type="dxa"/>
            <w:shd w:val="clear" w:color="auto" w:fill="auto"/>
            <w:vAlign w:val="bottom"/>
          </w:tcPr>
          <w:p w14:paraId="48FE0267" w14:textId="02D7BC0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5824 </w:t>
            </w:r>
          </w:p>
        </w:tc>
        <w:tc>
          <w:tcPr>
            <w:tcW w:w="1830" w:type="dxa"/>
            <w:shd w:val="clear" w:color="auto" w:fill="auto"/>
            <w:vAlign w:val="bottom"/>
          </w:tcPr>
          <w:p w14:paraId="53AF1431" w14:textId="2E81D13E"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6098 </w:t>
            </w:r>
          </w:p>
        </w:tc>
        <w:tc>
          <w:tcPr>
            <w:tcW w:w="1830" w:type="dxa"/>
            <w:shd w:val="clear" w:color="auto" w:fill="auto"/>
            <w:vAlign w:val="bottom"/>
          </w:tcPr>
          <w:p w14:paraId="7EA6866C" w14:textId="248BAC3C"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11 922</w:t>
            </w:r>
          </w:p>
        </w:tc>
      </w:tr>
      <w:tr w:rsidR="0049190F" w:rsidRPr="00AD54FC" w14:paraId="57479699" w14:textId="77777777" w:rsidTr="0049190F">
        <w:tc>
          <w:tcPr>
            <w:tcW w:w="1830" w:type="dxa"/>
            <w:tcBorders>
              <w:bottom w:val="single" w:sz="12" w:space="0" w:color="auto"/>
            </w:tcBorders>
            <w:shd w:val="clear" w:color="auto" w:fill="auto"/>
            <w:vAlign w:val="bottom"/>
          </w:tcPr>
          <w:p w14:paraId="2259A64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2020 </w:t>
            </w:r>
          </w:p>
        </w:tc>
        <w:tc>
          <w:tcPr>
            <w:tcW w:w="1830" w:type="dxa"/>
            <w:tcBorders>
              <w:bottom w:val="single" w:sz="12" w:space="0" w:color="auto"/>
            </w:tcBorders>
            <w:shd w:val="clear" w:color="auto" w:fill="auto"/>
            <w:vAlign w:val="bottom"/>
          </w:tcPr>
          <w:p w14:paraId="644D94F6" w14:textId="7447F76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6265 </w:t>
            </w:r>
          </w:p>
        </w:tc>
        <w:tc>
          <w:tcPr>
            <w:tcW w:w="1830" w:type="dxa"/>
            <w:tcBorders>
              <w:bottom w:val="single" w:sz="12" w:space="0" w:color="auto"/>
            </w:tcBorders>
            <w:shd w:val="clear" w:color="auto" w:fill="auto"/>
            <w:vAlign w:val="bottom"/>
          </w:tcPr>
          <w:p w14:paraId="0F589C07" w14:textId="42FC02A3"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6345 </w:t>
            </w:r>
          </w:p>
        </w:tc>
        <w:tc>
          <w:tcPr>
            <w:tcW w:w="1830" w:type="dxa"/>
            <w:tcBorders>
              <w:bottom w:val="single" w:sz="12" w:space="0" w:color="auto"/>
            </w:tcBorders>
            <w:shd w:val="clear" w:color="auto" w:fill="auto"/>
            <w:vAlign w:val="bottom"/>
          </w:tcPr>
          <w:p w14:paraId="55667948" w14:textId="25D5D9E6"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12 610</w:t>
            </w:r>
          </w:p>
        </w:tc>
      </w:tr>
    </w:tbl>
    <w:p w14:paraId="7A1D337C" w14:textId="2447A528" w:rsidR="003D1CF4" w:rsidRPr="00AD54FC" w:rsidRDefault="003D1CF4" w:rsidP="0049190F">
      <w:pPr>
        <w:pStyle w:val="SingleTxt"/>
        <w:spacing w:after="0" w:line="120" w:lineRule="exact"/>
        <w:rPr>
          <w:sz w:val="10"/>
          <w:lang w:val="es-ES_tradnl"/>
        </w:rPr>
      </w:pPr>
    </w:p>
    <w:p w14:paraId="6B97A8D9" w14:textId="34358B50" w:rsidR="0049190F" w:rsidRPr="00AD54FC" w:rsidRDefault="0049190F" w:rsidP="0049190F">
      <w:pPr>
        <w:pStyle w:val="SingleTxt"/>
        <w:spacing w:after="0" w:line="120" w:lineRule="exact"/>
        <w:rPr>
          <w:sz w:val="10"/>
          <w:lang w:val="es-ES_tradnl"/>
        </w:rPr>
      </w:pPr>
    </w:p>
    <w:p w14:paraId="4D4D0F70" w14:textId="77777777" w:rsidR="003D1CF4" w:rsidRPr="00AD54FC" w:rsidRDefault="003D1CF4" w:rsidP="003D1CF4">
      <w:pPr>
        <w:pStyle w:val="SingleTxt"/>
        <w:rPr>
          <w:lang w:val="es-ES_tradnl"/>
        </w:rPr>
      </w:pPr>
      <w:r w:rsidRPr="00AD54FC">
        <w:rPr>
          <w:lang w:val="es-ES_tradnl"/>
        </w:rPr>
        <w:t>52.</w:t>
      </w:r>
      <w:r w:rsidRPr="00AD54FC">
        <w:rPr>
          <w:lang w:val="es-ES_tradnl"/>
        </w:rPr>
        <w:tab/>
        <w:t>El cuadro 2 muestra que la matriculación de estudiantes de la Universidad de Ciencia y Tecnología de Namibia en el ámbito de las carreras CTIM (ciencia, tecnología, ingeniería y matemática) ha aumentado de 3680 en el año 2014 a 5107 en el año 2020. En 2020 más del 60 % de los estudiantes que se matricularon en carreras CTIM eran mujeres.</w:t>
      </w:r>
    </w:p>
    <w:p w14:paraId="0FF7D01E" w14:textId="77777777" w:rsidR="0049190F" w:rsidRPr="00AD54FC" w:rsidRDefault="0049190F" w:rsidP="0049190F">
      <w:pPr>
        <w:pStyle w:val="SingleTxt"/>
        <w:spacing w:after="0" w:line="120" w:lineRule="exact"/>
        <w:rPr>
          <w:sz w:val="10"/>
          <w:lang w:val="es-ES_tradnl"/>
        </w:rPr>
      </w:pPr>
    </w:p>
    <w:p w14:paraId="5FF1FCE9" w14:textId="77777777" w:rsidR="0049190F" w:rsidRPr="00AD54FC" w:rsidRDefault="003D1CF4" w:rsidP="00491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D54FC">
        <w:rPr>
          <w:b w:val="0"/>
          <w:bCs/>
          <w:lang w:val="es-ES_tradnl"/>
        </w:rPr>
        <w:tab/>
      </w:r>
      <w:r w:rsidRPr="00AD54FC">
        <w:rPr>
          <w:b w:val="0"/>
          <w:bCs/>
          <w:lang w:val="es-ES_tradnl"/>
        </w:rPr>
        <w:tab/>
        <w:t>Cuadro 2</w:t>
      </w:r>
    </w:p>
    <w:p w14:paraId="20560B0A" w14:textId="16652B24" w:rsidR="003D1CF4" w:rsidRPr="00AD54FC" w:rsidRDefault="0049190F" w:rsidP="00491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Estadísticas totales de matriculación en carreras CTIM, número de estudiantes por sexo</w:t>
      </w:r>
    </w:p>
    <w:p w14:paraId="7A39425A" w14:textId="77777777" w:rsidR="0049190F" w:rsidRPr="00AD54FC" w:rsidRDefault="0049190F" w:rsidP="0049190F">
      <w:pPr>
        <w:pStyle w:val="SingleTxt"/>
        <w:spacing w:after="0" w:line="120" w:lineRule="exact"/>
        <w:rPr>
          <w:sz w:val="10"/>
          <w:lang w:val="es-ES_tradnl"/>
        </w:rPr>
      </w:pPr>
    </w:p>
    <w:p w14:paraId="5B279B45" w14:textId="77777777" w:rsidR="0049190F" w:rsidRPr="00AD54FC" w:rsidRDefault="0049190F" w:rsidP="0049190F">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49190F" w:rsidRPr="00AD54FC" w14:paraId="0A78255D" w14:textId="77777777" w:rsidTr="0049190F">
        <w:trPr>
          <w:tblHeader/>
        </w:trPr>
        <w:tc>
          <w:tcPr>
            <w:tcW w:w="1830" w:type="dxa"/>
            <w:tcBorders>
              <w:top w:val="single" w:sz="4" w:space="0" w:color="auto"/>
              <w:bottom w:val="single" w:sz="12" w:space="0" w:color="auto"/>
            </w:tcBorders>
            <w:shd w:val="clear" w:color="auto" w:fill="auto"/>
            <w:vAlign w:val="bottom"/>
          </w:tcPr>
          <w:p w14:paraId="25FC4C6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szCs w:val="14"/>
                <w:lang w:val="es-ES_tradnl"/>
              </w:rPr>
            </w:pPr>
            <w:r w:rsidRPr="00AD54FC">
              <w:rPr>
                <w:i/>
                <w:iCs/>
                <w:sz w:val="14"/>
                <w:szCs w:val="14"/>
                <w:lang w:val="es-ES_tradnl"/>
              </w:rPr>
              <w:t>Año escolar</w:t>
            </w:r>
            <w:r w:rsidRPr="00AD54FC">
              <w:rPr>
                <w:sz w:val="14"/>
                <w:szCs w:val="14"/>
                <w:lang w:val="es-ES_tradnl"/>
              </w:rPr>
              <w:t xml:space="preserve"> </w:t>
            </w:r>
          </w:p>
        </w:tc>
        <w:tc>
          <w:tcPr>
            <w:tcW w:w="1830" w:type="dxa"/>
            <w:tcBorders>
              <w:top w:val="single" w:sz="4" w:space="0" w:color="auto"/>
              <w:bottom w:val="single" w:sz="12" w:space="0" w:color="auto"/>
            </w:tcBorders>
            <w:shd w:val="clear" w:color="auto" w:fill="auto"/>
            <w:vAlign w:val="bottom"/>
          </w:tcPr>
          <w:p w14:paraId="5B0CBFD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s-ES_tradnl"/>
              </w:rPr>
            </w:pPr>
            <w:r w:rsidRPr="00AD54FC">
              <w:rPr>
                <w:i/>
                <w:iCs/>
                <w:sz w:val="14"/>
                <w:szCs w:val="14"/>
                <w:lang w:val="es-ES_tradnl"/>
              </w:rPr>
              <w:t>CTIM</w:t>
            </w:r>
            <w:r w:rsidRPr="00AD54FC">
              <w:rPr>
                <w:sz w:val="14"/>
                <w:szCs w:val="14"/>
                <w:lang w:val="es-ES_tradnl"/>
              </w:rPr>
              <w:t xml:space="preserve"> </w:t>
            </w:r>
          </w:p>
        </w:tc>
        <w:tc>
          <w:tcPr>
            <w:tcW w:w="1830" w:type="dxa"/>
            <w:tcBorders>
              <w:top w:val="single" w:sz="4" w:space="0" w:color="auto"/>
              <w:bottom w:val="single" w:sz="12" w:space="0" w:color="auto"/>
            </w:tcBorders>
            <w:shd w:val="clear" w:color="auto" w:fill="auto"/>
            <w:vAlign w:val="bottom"/>
          </w:tcPr>
          <w:p w14:paraId="1327CD6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s-ES_tradnl"/>
              </w:rPr>
            </w:pPr>
          </w:p>
        </w:tc>
        <w:tc>
          <w:tcPr>
            <w:tcW w:w="1830" w:type="dxa"/>
            <w:tcBorders>
              <w:top w:val="single" w:sz="4" w:space="0" w:color="auto"/>
              <w:bottom w:val="single" w:sz="12" w:space="0" w:color="auto"/>
            </w:tcBorders>
            <w:shd w:val="clear" w:color="auto" w:fill="auto"/>
            <w:vAlign w:val="bottom"/>
          </w:tcPr>
          <w:p w14:paraId="78FFDAC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s-ES_tradnl"/>
              </w:rPr>
            </w:pPr>
            <w:proofErr w:type="gramStart"/>
            <w:r w:rsidRPr="00AD54FC">
              <w:rPr>
                <w:i/>
                <w:iCs/>
                <w:sz w:val="14"/>
                <w:szCs w:val="14"/>
                <w:lang w:val="es-ES_tradnl"/>
              </w:rPr>
              <w:t>Total</w:t>
            </w:r>
            <w:proofErr w:type="gramEnd"/>
            <w:r w:rsidRPr="00AD54FC">
              <w:rPr>
                <w:i/>
                <w:iCs/>
                <w:sz w:val="14"/>
                <w:szCs w:val="14"/>
                <w:lang w:val="es-ES_tradnl"/>
              </w:rPr>
              <w:t xml:space="preserve"> CTIM</w:t>
            </w:r>
          </w:p>
        </w:tc>
      </w:tr>
      <w:tr w:rsidR="0049190F" w:rsidRPr="00AD54FC" w14:paraId="2E1132A1" w14:textId="77777777" w:rsidTr="0049190F">
        <w:trPr>
          <w:trHeight w:hRule="exact" w:val="115"/>
          <w:tblHeader/>
        </w:trPr>
        <w:tc>
          <w:tcPr>
            <w:tcW w:w="1830" w:type="dxa"/>
            <w:tcBorders>
              <w:top w:val="single" w:sz="12" w:space="0" w:color="auto"/>
            </w:tcBorders>
            <w:shd w:val="clear" w:color="auto" w:fill="auto"/>
            <w:vAlign w:val="bottom"/>
          </w:tcPr>
          <w:p w14:paraId="7B84BF2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30" w:type="dxa"/>
            <w:tcBorders>
              <w:top w:val="single" w:sz="12" w:space="0" w:color="auto"/>
            </w:tcBorders>
            <w:shd w:val="clear" w:color="auto" w:fill="auto"/>
            <w:vAlign w:val="bottom"/>
          </w:tcPr>
          <w:p w14:paraId="2EA6E57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30" w:type="dxa"/>
            <w:tcBorders>
              <w:top w:val="single" w:sz="12" w:space="0" w:color="auto"/>
            </w:tcBorders>
            <w:shd w:val="clear" w:color="auto" w:fill="auto"/>
            <w:vAlign w:val="bottom"/>
          </w:tcPr>
          <w:p w14:paraId="53BD97B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30" w:type="dxa"/>
            <w:tcBorders>
              <w:top w:val="single" w:sz="12" w:space="0" w:color="auto"/>
            </w:tcBorders>
            <w:shd w:val="clear" w:color="auto" w:fill="auto"/>
            <w:vAlign w:val="bottom"/>
          </w:tcPr>
          <w:p w14:paraId="2B71212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49190F" w:rsidRPr="00AD54FC" w14:paraId="0D11CA71" w14:textId="77777777" w:rsidTr="0049190F">
        <w:tc>
          <w:tcPr>
            <w:tcW w:w="1830" w:type="dxa"/>
            <w:shd w:val="clear" w:color="auto" w:fill="auto"/>
            <w:vAlign w:val="bottom"/>
          </w:tcPr>
          <w:p w14:paraId="3E3E0F0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p>
        </w:tc>
        <w:tc>
          <w:tcPr>
            <w:tcW w:w="1830" w:type="dxa"/>
            <w:shd w:val="clear" w:color="auto" w:fill="auto"/>
            <w:vAlign w:val="bottom"/>
          </w:tcPr>
          <w:p w14:paraId="6DD2E91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Mujeres </w:t>
            </w:r>
          </w:p>
        </w:tc>
        <w:tc>
          <w:tcPr>
            <w:tcW w:w="1830" w:type="dxa"/>
            <w:shd w:val="clear" w:color="auto" w:fill="auto"/>
            <w:vAlign w:val="bottom"/>
          </w:tcPr>
          <w:p w14:paraId="4F43F82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Hombres</w:t>
            </w:r>
          </w:p>
        </w:tc>
        <w:tc>
          <w:tcPr>
            <w:tcW w:w="1830" w:type="dxa"/>
            <w:shd w:val="clear" w:color="auto" w:fill="auto"/>
            <w:vAlign w:val="bottom"/>
          </w:tcPr>
          <w:p w14:paraId="7D930AC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p>
        </w:tc>
      </w:tr>
      <w:tr w:rsidR="0049190F" w:rsidRPr="00AD54FC" w14:paraId="01633AA9" w14:textId="77777777" w:rsidTr="0049190F">
        <w:tc>
          <w:tcPr>
            <w:tcW w:w="1830" w:type="dxa"/>
            <w:shd w:val="clear" w:color="auto" w:fill="auto"/>
            <w:vAlign w:val="bottom"/>
          </w:tcPr>
          <w:p w14:paraId="7E90099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2014 </w:t>
            </w:r>
          </w:p>
        </w:tc>
        <w:tc>
          <w:tcPr>
            <w:tcW w:w="1830" w:type="dxa"/>
            <w:shd w:val="clear" w:color="auto" w:fill="auto"/>
            <w:vAlign w:val="bottom"/>
          </w:tcPr>
          <w:p w14:paraId="76CDF7EB" w14:textId="774179CE"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1373 </w:t>
            </w:r>
          </w:p>
        </w:tc>
        <w:tc>
          <w:tcPr>
            <w:tcW w:w="1830" w:type="dxa"/>
            <w:shd w:val="clear" w:color="auto" w:fill="auto"/>
            <w:vAlign w:val="bottom"/>
          </w:tcPr>
          <w:p w14:paraId="56ACE695" w14:textId="2479543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2307 </w:t>
            </w:r>
          </w:p>
        </w:tc>
        <w:tc>
          <w:tcPr>
            <w:tcW w:w="1830" w:type="dxa"/>
            <w:shd w:val="clear" w:color="auto" w:fill="auto"/>
            <w:vAlign w:val="bottom"/>
          </w:tcPr>
          <w:p w14:paraId="4216D7D7" w14:textId="434CE70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3680</w:t>
            </w:r>
          </w:p>
        </w:tc>
      </w:tr>
      <w:tr w:rsidR="0049190F" w:rsidRPr="00AD54FC" w14:paraId="22D96632" w14:textId="77777777" w:rsidTr="0049190F">
        <w:tc>
          <w:tcPr>
            <w:tcW w:w="1830" w:type="dxa"/>
            <w:shd w:val="clear" w:color="auto" w:fill="auto"/>
            <w:vAlign w:val="bottom"/>
          </w:tcPr>
          <w:p w14:paraId="56CE19E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2015 </w:t>
            </w:r>
          </w:p>
        </w:tc>
        <w:tc>
          <w:tcPr>
            <w:tcW w:w="1830" w:type="dxa"/>
            <w:shd w:val="clear" w:color="auto" w:fill="auto"/>
            <w:vAlign w:val="bottom"/>
          </w:tcPr>
          <w:p w14:paraId="3BC532E0" w14:textId="0AA17213"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1390 </w:t>
            </w:r>
          </w:p>
        </w:tc>
        <w:tc>
          <w:tcPr>
            <w:tcW w:w="1830" w:type="dxa"/>
            <w:shd w:val="clear" w:color="auto" w:fill="auto"/>
            <w:vAlign w:val="bottom"/>
          </w:tcPr>
          <w:p w14:paraId="173D8CE6" w14:textId="138D358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2434 </w:t>
            </w:r>
          </w:p>
        </w:tc>
        <w:tc>
          <w:tcPr>
            <w:tcW w:w="1830" w:type="dxa"/>
            <w:shd w:val="clear" w:color="auto" w:fill="auto"/>
            <w:vAlign w:val="bottom"/>
          </w:tcPr>
          <w:p w14:paraId="2F531F02" w14:textId="3AF9D68B"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3824</w:t>
            </w:r>
          </w:p>
        </w:tc>
      </w:tr>
      <w:tr w:rsidR="0049190F" w:rsidRPr="00AD54FC" w14:paraId="21C04953" w14:textId="77777777" w:rsidTr="0049190F">
        <w:tc>
          <w:tcPr>
            <w:tcW w:w="1830" w:type="dxa"/>
            <w:shd w:val="clear" w:color="auto" w:fill="auto"/>
            <w:vAlign w:val="bottom"/>
          </w:tcPr>
          <w:p w14:paraId="0932572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2016 </w:t>
            </w:r>
          </w:p>
        </w:tc>
        <w:tc>
          <w:tcPr>
            <w:tcW w:w="1830" w:type="dxa"/>
            <w:shd w:val="clear" w:color="auto" w:fill="auto"/>
            <w:vAlign w:val="bottom"/>
          </w:tcPr>
          <w:p w14:paraId="6B46DFA4" w14:textId="1C0C5FF9"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1495 </w:t>
            </w:r>
          </w:p>
        </w:tc>
        <w:tc>
          <w:tcPr>
            <w:tcW w:w="1830" w:type="dxa"/>
            <w:shd w:val="clear" w:color="auto" w:fill="auto"/>
            <w:vAlign w:val="bottom"/>
          </w:tcPr>
          <w:p w14:paraId="18FE7A4F" w14:textId="38CABA28"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2666 </w:t>
            </w:r>
          </w:p>
        </w:tc>
        <w:tc>
          <w:tcPr>
            <w:tcW w:w="1830" w:type="dxa"/>
            <w:shd w:val="clear" w:color="auto" w:fill="auto"/>
            <w:vAlign w:val="bottom"/>
          </w:tcPr>
          <w:p w14:paraId="75A6F98B" w14:textId="65778EB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4161</w:t>
            </w:r>
          </w:p>
        </w:tc>
      </w:tr>
      <w:tr w:rsidR="0049190F" w:rsidRPr="00AD54FC" w14:paraId="006C03EE" w14:textId="77777777" w:rsidTr="0049190F">
        <w:tc>
          <w:tcPr>
            <w:tcW w:w="1830" w:type="dxa"/>
            <w:shd w:val="clear" w:color="auto" w:fill="auto"/>
            <w:vAlign w:val="bottom"/>
          </w:tcPr>
          <w:p w14:paraId="68C9CA7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2017 </w:t>
            </w:r>
          </w:p>
        </w:tc>
        <w:tc>
          <w:tcPr>
            <w:tcW w:w="1830" w:type="dxa"/>
            <w:shd w:val="clear" w:color="auto" w:fill="auto"/>
            <w:vAlign w:val="bottom"/>
          </w:tcPr>
          <w:p w14:paraId="206A3FB5" w14:textId="1D07F0D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1540 </w:t>
            </w:r>
          </w:p>
        </w:tc>
        <w:tc>
          <w:tcPr>
            <w:tcW w:w="1830" w:type="dxa"/>
            <w:shd w:val="clear" w:color="auto" w:fill="auto"/>
            <w:vAlign w:val="bottom"/>
          </w:tcPr>
          <w:p w14:paraId="271AC6DE" w14:textId="1910759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2714 </w:t>
            </w:r>
          </w:p>
        </w:tc>
        <w:tc>
          <w:tcPr>
            <w:tcW w:w="1830" w:type="dxa"/>
            <w:shd w:val="clear" w:color="auto" w:fill="auto"/>
            <w:vAlign w:val="bottom"/>
          </w:tcPr>
          <w:p w14:paraId="494BEA65" w14:textId="33809C46"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4254</w:t>
            </w:r>
          </w:p>
        </w:tc>
      </w:tr>
      <w:tr w:rsidR="0049190F" w:rsidRPr="00AD54FC" w14:paraId="5D8D7351" w14:textId="77777777" w:rsidTr="0049190F">
        <w:tc>
          <w:tcPr>
            <w:tcW w:w="1830" w:type="dxa"/>
            <w:shd w:val="clear" w:color="auto" w:fill="auto"/>
            <w:vAlign w:val="bottom"/>
          </w:tcPr>
          <w:p w14:paraId="4ADF6FC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2018 </w:t>
            </w:r>
          </w:p>
        </w:tc>
        <w:tc>
          <w:tcPr>
            <w:tcW w:w="1830" w:type="dxa"/>
            <w:shd w:val="clear" w:color="auto" w:fill="auto"/>
            <w:vAlign w:val="bottom"/>
          </w:tcPr>
          <w:p w14:paraId="78CF95C8" w14:textId="726B6665"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1664 </w:t>
            </w:r>
          </w:p>
        </w:tc>
        <w:tc>
          <w:tcPr>
            <w:tcW w:w="1830" w:type="dxa"/>
            <w:shd w:val="clear" w:color="auto" w:fill="auto"/>
            <w:vAlign w:val="bottom"/>
          </w:tcPr>
          <w:p w14:paraId="4EB20E52" w14:textId="3AACE0C6"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2889 </w:t>
            </w:r>
          </w:p>
        </w:tc>
        <w:tc>
          <w:tcPr>
            <w:tcW w:w="1830" w:type="dxa"/>
            <w:shd w:val="clear" w:color="auto" w:fill="auto"/>
            <w:vAlign w:val="bottom"/>
          </w:tcPr>
          <w:p w14:paraId="1FDC3296" w14:textId="15541CA9"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4553</w:t>
            </w:r>
          </w:p>
        </w:tc>
      </w:tr>
      <w:tr w:rsidR="0049190F" w:rsidRPr="00AD54FC" w14:paraId="422DEA73" w14:textId="77777777" w:rsidTr="0049190F">
        <w:tc>
          <w:tcPr>
            <w:tcW w:w="1830" w:type="dxa"/>
            <w:shd w:val="clear" w:color="auto" w:fill="auto"/>
            <w:vAlign w:val="bottom"/>
          </w:tcPr>
          <w:p w14:paraId="168DC79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2019 </w:t>
            </w:r>
          </w:p>
        </w:tc>
        <w:tc>
          <w:tcPr>
            <w:tcW w:w="1830" w:type="dxa"/>
            <w:shd w:val="clear" w:color="auto" w:fill="auto"/>
            <w:vAlign w:val="bottom"/>
          </w:tcPr>
          <w:p w14:paraId="582DB0AF" w14:textId="1E9AD985"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1850 </w:t>
            </w:r>
          </w:p>
        </w:tc>
        <w:tc>
          <w:tcPr>
            <w:tcW w:w="1830" w:type="dxa"/>
            <w:shd w:val="clear" w:color="auto" w:fill="auto"/>
            <w:vAlign w:val="bottom"/>
          </w:tcPr>
          <w:p w14:paraId="6BE00D74" w14:textId="7E965AF9"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3106 </w:t>
            </w:r>
          </w:p>
        </w:tc>
        <w:tc>
          <w:tcPr>
            <w:tcW w:w="1830" w:type="dxa"/>
            <w:shd w:val="clear" w:color="auto" w:fill="auto"/>
            <w:vAlign w:val="bottom"/>
          </w:tcPr>
          <w:p w14:paraId="0D70F9DA" w14:textId="335FB7CC"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4956</w:t>
            </w:r>
          </w:p>
        </w:tc>
      </w:tr>
      <w:tr w:rsidR="0049190F" w:rsidRPr="00AD54FC" w14:paraId="3BD918B0" w14:textId="77777777" w:rsidTr="0049190F">
        <w:tc>
          <w:tcPr>
            <w:tcW w:w="1830" w:type="dxa"/>
            <w:tcBorders>
              <w:bottom w:val="single" w:sz="12" w:space="0" w:color="auto"/>
            </w:tcBorders>
            <w:shd w:val="clear" w:color="auto" w:fill="auto"/>
            <w:vAlign w:val="bottom"/>
          </w:tcPr>
          <w:p w14:paraId="768817D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6"/>
                <w:szCs w:val="16"/>
                <w:lang w:val="es-ES_tradnl"/>
              </w:rPr>
            </w:pPr>
            <w:r w:rsidRPr="00AD54FC">
              <w:rPr>
                <w:sz w:val="16"/>
                <w:szCs w:val="16"/>
                <w:lang w:val="es-ES_tradnl"/>
              </w:rPr>
              <w:t xml:space="preserve">2020 </w:t>
            </w:r>
          </w:p>
        </w:tc>
        <w:tc>
          <w:tcPr>
            <w:tcW w:w="1830" w:type="dxa"/>
            <w:tcBorders>
              <w:bottom w:val="single" w:sz="12" w:space="0" w:color="auto"/>
            </w:tcBorders>
            <w:shd w:val="clear" w:color="auto" w:fill="auto"/>
            <w:vAlign w:val="bottom"/>
          </w:tcPr>
          <w:p w14:paraId="5E0779AE" w14:textId="77FFEDEC"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1903 </w:t>
            </w:r>
          </w:p>
        </w:tc>
        <w:tc>
          <w:tcPr>
            <w:tcW w:w="1830" w:type="dxa"/>
            <w:tcBorders>
              <w:bottom w:val="single" w:sz="12" w:space="0" w:color="auto"/>
            </w:tcBorders>
            <w:shd w:val="clear" w:color="auto" w:fill="auto"/>
            <w:vAlign w:val="bottom"/>
          </w:tcPr>
          <w:p w14:paraId="5FD3FBAC" w14:textId="1E8C8AFD"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 xml:space="preserve">3204 </w:t>
            </w:r>
          </w:p>
        </w:tc>
        <w:tc>
          <w:tcPr>
            <w:tcW w:w="1830" w:type="dxa"/>
            <w:tcBorders>
              <w:bottom w:val="single" w:sz="12" w:space="0" w:color="auto"/>
            </w:tcBorders>
            <w:shd w:val="clear" w:color="auto" w:fill="auto"/>
            <w:vAlign w:val="bottom"/>
          </w:tcPr>
          <w:p w14:paraId="626AF22A" w14:textId="452ADAA5"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6"/>
                <w:szCs w:val="16"/>
                <w:lang w:val="es-ES_tradnl"/>
              </w:rPr>
            </w:pPr>
            <w:r w:rsidRPr="00AD54FC">
              <w:rPr>
                <w:sz w:val="16"/>
                <w:szCs w:val="16"/>
                <w:lang w:val="es-ES_tradnl"/>
              </w:rPr>
              <w:t>5107</w:t>
            </w:r>
          </w:p>
        </w:tc>
      </w:tr>
    </w:tbl>
    <w:p w14:paraId="77DADA53" w14:textId="64D00814" w:rsidR="003D1CF4" w:rsidRPr="00AD54FC" w:rsidRDefault="003D1CF4" w:rsidP="0049190F">
      <w:pPr>
        <w:pStyle w:val="SingleTxt"/>
        <w:spacing w:after="0" w:line="120" w:lineRule="exact"/>
        <w:rPr>
          <w:sz w:val="10"/>
          <w:lang w:val="es-ES_tradnl"/>
        </w:rPr>
      </w:pPr>
    </w:p>
    <w:p w14:paraId="1BD2CCF2" w14:textId="010D260D" w:rsidR="0049190F" w:rsidRPr="00AD54FC" w:rsidRDefault="0049190F" w:rsidP="0049190F">
      <w:pPr>
        <w:pStyle w:val="SingleTxt"/>
        <w:spacing w:after="0" w:line="120" w:lineRule="exact"/>
        <w:rPr>
          <w:sz w:val="10"/>
          <w:lang w:val="es-ES_tradnl"/>
        </w:rPr>
      </w:pPr>
    </w:p>
    <w:p w14:paraId="21F6AC79" w14:textId="77777777" w:rsidR="003D1CF4" w:rsidRPr="00AD54FC" w:rsidRDefault="003D1CF4" w:rsidP="00491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lang w:val="es-ES_tradnl"/>
        </w:rPr>
        <w:tab/>
      </w:r>
      <w:r w:rsidRPr="00AD54FC">
        <w:rPr>
          <w:bCs/>
          <w:lang w:val="es-ES_tradnl"/>
        </w:rPr>
        <w:t>Estadísticas de graduación</w:t>
      </w:r>
    </w:p>
    <w:p w14:paraId="733ACA94" w14:textId="77777777" w:rsidR="0049190F" w:rsidRPr="00AD54FC" w:rsidRDefault="0049190F" w:rsidP="0049190F">
      <w:pPr>
        <w:pStyle w:val="SingleTxt"/>
        <w:spacing w:after="0" w:line="120" w:lineRule="exact"/>
        <w:rPr>
          <w:sz w:val="10"/>
          <w:lang w:val="es-ES_tradnl"/>
        </w:rPr>
      </w:pPr>
    </w:p>
    <w:p w14:paraId="0F435D6D" w14:textId="7E82992A" w:rsidR="003D1CF4" w:rsidRPr="00AD54FC" w:rsidRDefault="003D1CF4" w:rsidP="003D1CF4">
      <w:pPr>
        <w:pStyle w:val="SingleTxt"/>
        <w:rPr>
          <w:lang w:val="es-ES_tradnl"/>
        </w:rPr>
      </w:pPr>
      <w:r w:rsidRPr="00AD54FC">
        <w:rPr>
          <w:lang w:val="es-ES_tradnl"/>
        </w:rPr>
        <w:t>53.</w:t>
      </w:r>
      <w:r w:rsidRPr="00AD54FC">
        <w:rPr>
          <w:lang w:val="es-ES_tradnl"/>
        </w:rPr>
        <w:tab/>
        <w:t xml:space="preserve">El cuadro 3 indica que el número total de graduados en la Universidad de Ciencia y Tecnología de Namibia aumentó de 1893 en el año 2014 a 2079 en el año 2019, si bien se observa un descenso hasta los 1645 graduados en 2020. En 2020 el 55 % de los graduados eran mujeres. </w:t>
      </w:r>
    </w:p>
    <w:p w14:paraId="4481FF65" w14:textId="77777777" w:rsidR="0049190F" w:rsidRPr="00AD54FC" w:rsidRDefault="0049190F" w:rsidP="0049190F">
      <w:pPr>
        <w:pStyle w:val="SingleTxt"/>
        <w:spacing w:after="0" w:line="120" w:lineRule="exact"/>
        <w:rPr>
          <w:sz w:val="10"/>
          <w:lang w:val="es-ES_tradnl"/>
        </w:rPr>
      </w:pPr>
    </w:p>
    <w:p w14:paraId="539CC0F1" w14:textId="0EEE6893" w:rsidR="0049190F" w:rsidRPr="00AD54FC" w:rsidRDefault="003D1CF4" w:rsidP="00491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D54FC">
        <w:rPr>
          <w:b w:val="0"/>
          <w:bCs/>
          <w:lang w:val="es-ES_tradnl"/>
        </w:rPr>
        <w:t>Cuadro 3</w:t>
      </w:r>
    </w:p>
    <w:p w14:paraId="2663CC4E" w14:textId="56997556" w:rsidR="003D1CF4" w:rsidRPr="00AD54FC" w:rsidRDefault="0049190F" w:rsidP="00491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D54FC">
        <w:rPr>
          <w:lang w:val="es-ES_tradnl"/>
        </w:rPr>
        <w:tab/>
      </w:r>
      <w:r w:rsidRPr="00AD54FC">
        <w:rPr>
          <w:bCs/>
          <w:lang w:val="es-ES_tradnl"/>
        </w:rPr>
        <w:t>Graduaciones por tipo de cualificación, sexo y año académico</w:t>
      </w:r>
    </w:p>
    <w:p w14:paraId="5DA19E88" w14:textId="276D5632" w:rsidR="003D1CF4" w:rsidRPr="00AD54FC" w:rsidRDefault="003D1CF4" w:rsidP="0049190F">
      <w:pPr>
        <w:pStyle w:val="SingleTxt"/>
        <w:spacing w:after="0" w:line="120" w:lineRule="exact"/>
        <w:rPr>
          <w:sz w:val="10"/>
          <w:lang w:val="es-ES_tradnl"/>
        </w:rPr>
      </w:pPr>
    </w:p>
    <w:p w14:paraId="289089B7" w14:textId="4C000B3F" w:rsidR="0049190F" w:rsidRPr="00AD54FC" w:rsidRDefault="0049190F" w:rsidP="0049190F">
      <w:pPr>
        <w:pStyle w:val="SingleTxt"/>
        <w:spacing w:after="0" w:line="120" w:lineRule="exact"/>
        <w:rPr>
          <w:sz w:val="10"/>
          <w:lang w:val="es-ES_tradnl"/>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408"/>
        <w:gridCol w:w="409"/>
        <w:gridCol w:w="409"/>
        <w:gridCol w:w="409"/>
        <w:gridCol w:w="409"/>
        <w:gridCol w:w="409"/>
        <w:gridCol w:w="409"/>
        <w:gridCol w:w="408"/>
        <w:gridCol w:w="409"/>
        <w:gridCol w:w="409"/>
        <w:gridCol w:w="409"/>
        <w:gridCol w:w="409"/>
        <w:gridCol w:w="409"/>
        <w:gridCol w:w="409"/>
        <w:gridCol w:w="408"/>
        <w:gridCol w:w="409"/>
        <w:gridCol w:w="409"/>
        <w:gridCol w:w="409"/>
        <w:gridCol w:w="409"/>
        <w:gridCol w:w="409"/>
        <w:gridCol w:w="409"/>
      </w:tblGrid>
      <w:tr w:rsidR="0049190F" w:rsidRPr="00AD54FC" w14:paraId="5103CD7A" w14:textId="77777777" w:rsidTr="0049190F">
        <w:trPr>
          <w:tblHeader/>
        </w:trPr>
        <w:tc>
          <w:tcPr>
            <w:tcW w:w="1260" w:type="dxa"/>
            <w:tcBorders>
              <w:top w:val="single" w:sz="4" w:space="0" w:color="auto"/>
              <w:bottom w:val="single" w:sz="12" w:space="0" w:color="auto"/>
            </w:tcBorders>
            <w:shd w:val="clear" w:color="auto" w:fill="auto"/>
            <w:vAlign w:val="bottom"/>
          </w:tcPr>
          <w:p w14:paraId="33A5EA68"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14"/>
              <w:jc w:val="left"/>
              <w:rPr>
                <w:i/>
                <w:spacing w:val="2"/>
                <w:w w:val="101"/>
                <w:sz w:val="15"/>
                <w:szCs w:val="15"/>
                <w:lang w:val="es-ES_tradnl"/>
              </w:rPr>
            </w:pPr>
            <w:r w:rsidRPr="00AD54FC">
              <w:rPr>
                <w:i/>
                <w:iCs/>
                <w:sz w:val="15"/>
                <w:szCs w:val="15"/>
                <w:lang w:val="es-ES_tradnl"/>
              </w:rPr>
              <w:t>Tipo de cualificación obtenida</w:t>
            </w:r>
          </w:p>
        </w:tc>
        <w:tc>
          <w:tcPr>
            <w:tcW w:w="408" w:type="dxa"/>
            <w:tcBorders>
              <w:top w:val="single" w:sz="4" w:space="0" w:color="auto"/>
              <w:bottom w:val="single" w:sz="12" w:space="0" w:color="auto"/>
            </w:tcBorders>
            <w:shd w:val="clear" w:color="auto" w:fill="auto"/>
            <w:vAlign w:val="bottom"/>
          </w:tcPr>
          <w:p w14:paraId="7F1E6F25" w14:textId="22064E7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4D9AD6B3" w14:textId="513C4A7C"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482B7F66" w14:textId="491F5C95"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r w:rsidRPr="00AD54FC">
              <w:rPr>
                <w:sz w:val="15"/>
                <w:szCs w:val="15"/>
                <w:lang w:val="es-ES_tradnl"/>
              </w:rPr>
              <w:t>2014</w:t>
            </w:r>
          </w:p>
        </w:tc>
        <w:tc>
          <w:tcPr>
            <w:tcW w:w="409" w:type="dxa"/>
            <w:tcBorders>
              <w:top w:val="single" w:sz="4" w:space="0" w:color="auto"/>
              <w:bottom w:val="single" w:sz="12" w:space="0" w:color="auto"/>
            </w:tcBorders>
            <w:shd w:val="clear" w:color="auto" w:fill="auto"/>
            <w:vAlign w:val="bottom"/>
          </w:tcPr>
          <w:p w14:paraId="47C334E3" w14:textId="0E5E9661"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26D0B139" w14:textId="5197063F"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2F2B997F" w14:textId="5D96371E"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r w:rsidRPr="00AD54FC">
              <w:rPr>
                <w:sz w:val="15"/>
                <w:szCs w:val="15"/>
                <w:lang w:val="es-ES_tradnl"/>
              </w:rPr>
              <w:t>2015</w:t>
            </w:r>
          </w:p>
        </w:tc>
        <w:tc>
          <w:tcPr>
            <w:tcW w:w="409" w:type="dxa"/>
            <w:tcBorders>
              <w:top w:val="single" w:sz="4" w:space="0" w:color="auto"/>
              <w:bottom w:val="single" w:sz="12" w:space="0" w:color="auto"/>
            </w:tcBorders>
            <w:shd w:val="clear" w:color="auto" w:fill="auto"/>
            <w:vAlign w:val="bottom"/>
          </w:tcPr>
          <w:p w14:paraId="36AC630C" w14:textId="38AFA515"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8" w:type="dxa"/>
            <w:tcBorders>
              <w:top w:val="single" w:sz="4" w:space="0" w:color="auto"/>
              <w:bottom w:val="single" w:sz="12" w:space="0" w:color="auto"/>
            </w:tcBorders>
            <w:shd w:val="clear" w:color="auto" w:fill="auto"/>
            <w:vAlign w:val="bottom"/>
          </w:tcPr>
          <w:p w14:paraId="0E6088E5" w14:textId="4262D4C8"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28708240" w14:textId="6489E62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r w:rsidRPr="00AD54FC">
              <w:rPr>
                <w:sz w:val="15"/>
                <w:szCs w:val="15"/>
                <w:lang w:val="es-ES_tradnl"/>
              </w:rPr>
              <w:t>2016</w:t>
            </w:r>
          </w:p>
        </w:tc>
        <w:tc>
          <w:tcPr>
            <w:tcW w:w="409" w:type="dxa"/>
            <w:tcBorders>
              <w:top w:val="single" w:sz="4" w:space="0" w:color="auto"/>
              <w:bottom w:val="single" w:sz="12" w:space="0" w:color="auto"/>
            </w:tcBorders>
            <w:shd w:val="clear" w:color="auto" w:fill="auto"/>
            <w:vAlign w:val="bottom"/>
          </w:tcPr>
          <w:p w14:paraId="7F41888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10203EA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40102D69" w14:textId="5DBBAD6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r w:rsidRPr="00AD54FC">
              <w:rPr>
                <w:sz w:val="15"/>
                <w:szCs w:val="15"/>
                <w:lang w:val="es-ES_tradnl"/>
              </w:rPr>
              <w:t>2017</w:t>
            </w:r>
          </w:p>
        </w:tc>
        <w:tc>
          <w:tcPr>
            <w:tcW w:w="409" w:type="dxa"/>
            <w:tcBorders>
              <w:top w:val="single" w:sz="4" w:space="0" w:color="auto"/>
              <w:bottom w:val="single" w:sz="12" w:space="0" w:color="auto"/>
            </w:tcBorders>
            <w:shd w:val="clear" w:color="auto" w:fill="auto"/>
            <w:vAlign w:val="bottom"/>
          </w:tcPr>
          <w:p w14:paraId="47AAFD7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05C9D24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8" w:type="dxa"/>
            <w:tcBorders>
              <w:top w:val="single" w:sz="4" w:space="0" w:color="auto"/>
              <w:bottom w:val="single" w:sz="12" w:space="0" w:color="auto"/>
            </w:tcBorders>
            <w:shd w:val="clear" w:color="auto" w:fill="auto"/>
            <w:vAlign w:val="bottom"/>
          </w:tcPr>
          <w:p w14:paraId="2A9411A2" w14:textId="29D782D8"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r w:rsidRPr="00AD54FC">
              <w:rPr>
                <w:sz w:val="15"/>
                <w:szCs w:val="15"/>
                <w:lang w:val="es-ES_tradnl"/>
              </w:rPr>
              <w:t>2018</w:t>
            </w:r>
          </w:p>
        </w:tc>
        <w:tc>
          <w:tcPr>
            <w:tcW w:w="409" w:type="dxa"/>
            <w:tcBorders>
              <w:top w:val="single" w:sz="4" w:space="0" w:color="auto"/>
              <w:bottom w:val="single" w:sz="12" w:space="0" w:color="auto"/>
            </w:tcBorders>
            <w:shd w:val="clear" w:color="auto" w:fill="auto"/>
            <w:vAlign w:val="bottom"/>
          </w:tcPr>
          <w:p w14:paraId="0D753DA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65CB2CA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3E7CB53F" w14:textId="43137E9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r w:rsidRPr="00AD54FC">
              <w:rPr>
                <w:sz w:val="15"/>
                <w:szCs w:val="15"/>
                <w:lang w:val="es-ES_tradnl"/>
              </w:rPr>
              <w:t>2019</w:t>
            </w:r>
          </w:p>
        </w:tc>
        <w:tc>
          <w:tcPr>
            <w:tcW w:w="409" w:type="dxa"/>
            <w:tcBorders>
              <w:top w:val="single" w:sz="4" w:space="0" w:color="auto"/>
              <w:bottom w:val="single" w:sz="12" w:space="0" w:color="auto"/>
            </w:tcBorders>
            <w:shd w:val="clear" w:color="auto" w:fill="auto"/>
            <w:vAlign w:val="bottom"/>
          </w:tcPr>
          <w:p w14:paraId="5141FCA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6B86EA3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p>
        </w:tc>
        <w:tc>
          <w:tcPr>
            <w:tcW w:w="409" w:type="dxa"/>
            <w:tcBorders>
              <w:top w:val="single" w:sz="4" w:space="0" w:color="auto"/>
              <w:bottom w:val="single" w:sz="12" w:space="0" w:color="auto"/>
            </w:tcBorders>
            <w:shd w:val="clear" w:color="auto" w:fill="auto"/>
            <w:vAlign w:val="bottom"/>
          </w:tcPr>
          <w:p w14:paraId="31D4EFE4" w14:textId="455CE574"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 w:right="14"/>
              <w:jc w:val="right"/>
              <w:rPr>
                <w:i/>
                <w:spacing w:val="0"/>
                <w:w w:val="100"/>
                <w:sz w:val="15"/>
                <w:szCs w:val="15"/>
                <w:lang w:val="es-ES_tradnl"/>
              </w:rPr>
            </w:pPr>
            <w:r w:rsidRPr="00AD54FC">
              <w:rPr>
                <w:sz w:val="15"/>
                <w:szCs w:val="15"/>
                <w:lang w:val="es-ES_tradnl"/>
              </w:rPr>
              <w:t>2020</w:t>
            </w:r>
          </w:p>
        </w:tc>
      </w:tr>
      <w:tr w:rsidR="0049190F" w:rsidRPr="00AD54FC" w14:paraId="641A92BC" w14:textId="77777777" w:rsidTr="0049190F">
        <w:trPr>
          <w:trHeight w:hRule="exact" w:val="115"/>
          <w:tblHeader/>
        </w:trPr>
        <w:tc>
          <w:tcPr>
            <w:tcW w:w="1260" w:type="dxa"/>
            <w:tcBorders>
              <w:top w:val="single" w:sz="12" w:space="0" w:color="auto"/>
            </w:tcBorders>
            <w:shd w:val="clear" w:color="auto" w:fill="auto"/>
            <w:vAlign w:val="bottom"/>
          </w:tcPr>
          <w:p w14:paraId="4F3FD7C0"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408" w:type="dxa"/>
            <w:tcBorders>
              <w:top w:val="single" w:sz="12" w:space="0" w:color="auto"/>
            </w:tcBorders>
            <w:shd w:val="clear" w:color="auto" w:fill="auto"/>
            <w:vAlign w:val="bottom"/>
          </w:tcPr>
          <w:p w14:paraId="5F44C60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6C6ED0B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724AD1B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3B5BC7B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4B09DC3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5453472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19DCD2E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8" w:type="dxa"/>
            <w:tcBorders>
              <w:top w:val="single" w:sz="12" w:space="0" w:color="auto"/>
            </w:tcBorders>
            <w:shd w:val="clear" w:color="auto" w:fill="auto"/>
            <w:vAlign w:val="bottom"/>
          </w:tcPr>
          <w:p w14:paraId="47946CF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242539A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4321105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667D73B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75CCE23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500FFED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10AFB53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8" w:type="dxa"/>
            <w:tcBorders>
              <w:top w:val="single" w:sz="12" w:space="0" w:color="auto"/>
            </w:tcBorders>
            <w:shd w:val="clear" w:color="auto" w:fill="auto"/>
            <w:vAlign w:val="bottom"/>
          </w:tcPr>
          <w:p w14:paraId="3FC7497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5B5AD95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47518AE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1E4B33D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460F6F4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592BEF6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c>
          <w:tcPr>
            <w:tcW w:w="409" w:type="dxa"/>
            <w:tcBorders>
              <w:top w:val="single" w:sz="12" w:space="0" w:color="auto"/>
            </w:tcBorders>
            <w:shd w:val="clear" w:color="auto" w:fill="auto"/>
            <w:vAlign w:val="bottom"/>
          </w:tcPr>
          <w:p w14:paraId="058BED4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 w:right="14"/>
              <w:jc w:val="right"/>
              <w:rPr>
                <w:spacing w:val="0"/>
                <w:w w:val="100"/>
                <w:sz w:val="15"/>
                <w:szCs w:val="15"/>
                <w:lang w:val="es-ES_tradnl"/>
              </w:rPr>
            </w:pPr>
          </w:p>
        </w:tc>
      </w:tr>
      <w:tr w:rsidR="0049190F" w:rsidRPr="00AD54FC" w14:paraId="31581505" w14:textId="77777777" w:rsidTr="0049190F">
        <w:tc>
          <w:tcPr>
            <w:tcW w:w="1260" w:type="dxa"/>
            <w:shd w:val="clear" w:color="auto" w:fill="auto"/>
            <w:vAlign w:val="bottom"/>
          </w:tcPr>
          <w:p w14:paraId="19EE9E62"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6"/>
                <w:szCs w:val="16"/>
                <w:lang w:val="es-ES_tradnl"/>
              </w:rPr>
            </w:pPr>
          </w:p>
        </w:tc>
        <w:tc>
          <w:tcPr>
            <w:tcW w:w="408" w:type="dxa"/>
            <w:shd w:val="clear" w:color="auto" w:fill="auto"/>
            <w:vAlign w:val="bottom"/>
          </w:tcPr>
          <w:p w14:paraId="723EE00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M</w:t>
            </w:r>
          </w:p>
        </w:tc>
        <w:tc>
          <w:tcPr>
            <w:tcW w:w="409" w:type="dxa"/>
            <w:shd w:val="clear" w:color="auto" w:fill="auto"/>
            <w:vAlign w:val="bottom"/>
          </w:tcPr>
          <w:p w14:paraId="71246E5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H</w:t>
            </w:r>
          </w:p>
        </w:tc>
        <w:tc>
          <w:tcPr>
            <w:tcW w:w="409" w:type="dxa"/>
            <w:shd w:val="clear" w:color="auto" w:fill="auto"/>
            <w:vAlign w:val="bottom"/>
          </w:tcPr>
          <w:p w14:paraId="1DAAC41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T</w:t>
            </w:r>
          </w:p>
        </w:tc>
        <w:tc>
          <w:tcPr>
            <w:tcW w:w="409" w:type="dxa"/>
            <w:shd w:val="clear" w:color="auto" w:fill="auto"/>
            <w:vAlign w:val="bottom"/>
          </w:tcPr>
          <w:p w14:paraId="3B32A71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M</w:t>
            </w:r>
          </w:p>
        </w:tc>
        <w:tc>
          <w:tcPr>
            <w:tcW w:w="409" w:type="dxa"/>
            <w:shd w:val="clear" w:color="auto" w:fill="auto"/>
            <w:vAlign w:val="bottom"/>
          </w:tcPr>
          <w:p w14:paraId="2141D2D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H</w:t>
            </w:r>
          </w:p>
        </w:tc>
        <w:tc>
          <w:tcPr>
            <w:tcW w:w="409" w:type="dxa"/>
            <w:shd w:val="clear" w:color="auto" w:fill="auto"/>
            <w:vAlign w:val="bottom"/>
          </w:tcPr>
          <w:p w14:paraId="75412FC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T</w:t>
            </w:r>
          </w:p>
        </w:tc>
        <w:tc>
          <w:tcPr>
            <w:tcW w:w="409" w:type="dxa"/>
            <w:shd w:val="clear" w:color="auto" w:fill="auto"/>
            <w:vAlign w:val="bottom"/>
          </w:tcPr>
          <w:p w14:paraId="60D2EAA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M</w:t>
            </w:r>
          </w:p>
        </w:tc>
        <w:tc>
          <w:tcPr>
            <w:tcW w:w="408" w:type="dxa"/>
            <w:shd w:val="clear" w:color="auto" w:fill="auto"/>
            <w:vAlign w:val="bottom"/>
          </w:tcPr>
          <w:p w14:paraId="168161E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H</w:t>
            </w:r>
          </w:p>
        </w:tc>
        <w:tc>
          <w:tcPr>
            <w:tcW w:w="409" w:type="dxa"/>
            <w:shd w:val="clear" w:color="auto" w:fill="auto"/>
            <w:vAlign w:val="bottom"/>
          </w:tcPr>
          <w:p w14:paraId="7C950B0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T</w:t>
            </w:r>
          </w:p>
        </w:tc>
        <w:tc>
          <w:tcPr>
            <w:tcW w:w="409" w:type="dxa"/>
            <w:shd w:val="clear" w:color="auto" w:fill="auto"/>
            <w:vAlign w:val="bottom"/>
          </w:tcPr>
          <w:p w14:paraId="7CD58D1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M</w:t>
            </w:r>
          </w:p>
        </w:tc>
        <w:tc>
          <w:tcPr>
            <w:tcW w:w="409" w:type="dxa"/>
            <w:shd w:val="clear" w:color="auto" w:fill="auto"/>
            <w:vAlign w:val="bottom"/>
          </w:tcPr>
          <w:p w14:paraId="2791D0E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H</w:t>
            </w:r>
          </w:p>
        </w:tc>
        <w:tc>
          <w:tcPr>
            <w:tcW w:w="409" w:type="dxa"/>
            <w:shd w:val="clear" w:color="auto" w:fill="auto"/>
            <w:vAlign w:val="bottom"/>
          </w:tcPr>
          <w:p w14:paraId="2008981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T</w:t>
            </w:r>
          </w:p>
        </w:tc>
        <w:tc>
          <w:tcPr>
            <w:tcW w:w="409" w:type="dxa"/>
            <w:shd w:val="clear" w:color="auto" w:fill="auto"/>
            <w:vAlign w:val="bottom"/>
          </w:tcPr>
          <w:p w14:paraId="04BEB61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M</w:t>
            </w:r>
          </w:p>
        </w:tc>
        <w:tc>
          <w:tcPr>
            <w:tcW w:w="409" w:type="dxa"/>
            <w:shd w:val="clear" w:color="auto" w:fill="auto"/>
            <w:vAlign w:val="bottom"/>
          </w:tcPr>
          <w:p w14:paraId="235B879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H</w:t>
            </w:r>
          </w:p>
        </w:tc>
        <w:tc>
          <w:tcPr>
            <w:tcW w:w="408" w:type="dxa"/>
            <w:shd w:val="clear" w:color="auto" w:fill="auto"/>
            <w:vAlign w:val="bottom"/>
          </w:tcPr>
          <w:p w14:paraId="096E58E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T</w:t>
            </w:r>
          </w:p>
        </w:tc>
        <w:tc>
          <w:tcPr>
            <w:tcW w:w="409" w:type="dxa"/>
            <w:shd w:val="clear" w:color="auto" w:fill="auto"/>
            <w:vAlign w:val="bottom"/>
          </w:tcPr>
          <w:p w14:paraId="695602C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M</w:t>
            </w:r>
          </w:p>
        </w:tc>
        <w:tc>
          <w:tcPr>
            <w:tcW w:w="409" w:type="dxa"/>
            <w:shd w:val="clear" w:color="auto" w:fill="auto"/>
            <w:vAlign w:val="bottom"/>
          </w:tcPr>
          <w:p w14:paraId="23B4F96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H</w:t>
            </w:r>
          </w:p>
        </w:tc>
        <w:tc>
          <w:tcPr>
            <w:tcW w:w="409" w:type="dxa"/>
            <w:shd w:val="clear" w:color="auto" w:fill="auto"/>
            <w:vAlign w:val="bottom"/>
          </w:tcPr>
          <w:p w14:paraId="70D113A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T</w:t>
            </w:r>
          </w:p>
        </w:tc>
        <w:tc>
          <w:tcPr>
            <w:tcW w:w="409" w:type="dxa"/>
            <w:shd w:val="clear" w:color="auto" w:fill="auto"/>
            <w:vAlign w:val="bottom"/>
          </w:tcPr>
          <w:p w14:paraId="1FECA83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M</w:t>
            </w:r>
          </w:p>
        </w:tc>
        <w:tc>
          <w:tcPr>
            <w:tcW w:w="409" w:type="dxa"/>
            <w:shd w:val="clear" w:color="auto" w:fill="auto"/>
            <w:vAlign w:val="bottom"/>
          </w:tcPr>
          <w:p w14:paraId="54FE343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H</w:t>
            </w:r>
          </w:p>
        </w:tc>
        <w:tc>
          <w:tcPr>
            <w:tcW w:w="409" w:type="dxa"/>
            <w:shd w:val="clear" w:color="auto" w:fill="auto"/>
            <w:vAlign w:val="bottom"/>
          </w:tcPr>
          <w:p w14:paraId="372569C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b/>
                <w:bCs/>
                <w:spacing w:val="0"/>
                <w:w w:val="100"/>
                <w:sz w:val="16"/>
                <w:szCs w:val="16"/>
                <w:lang w:val="es-ES_tradnl"/>
              </w:rPr>
            </w:pPr>
            <w:r w:rsidRPr="00AD54FC">
              <w:rPr>
                <w:b/>
                <w:bCs/>
                <w:sz w:val="16"/>
                <w:szCs w:val="16"/>
                <w:lang w:val="es-ES_tradnl"/>
              </w:rPr>
              <w:t>T</w:t>
            </w:r>
          </w:p>
        </w:tc>
      </w:tr>
      <w:tr w:rsidR="0049190F" w:rsidRPr="00AD54FC" w14:paraId="1FCE086D" w14:textId="77777777" w:rsidTr="0049190F">
        <w:tc>
          <w:tcPr>
            <w:tcW w:w="1260" w:type="dxa"/>
            <w:shd w:val="clear" w:color="auto" w:fill="auto"/>
            <w:vAlign w:val="bottom"/>
          </w:tcPr>
          <w:p w14:paraId="1B2B21DB"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pacing w:val="-2"/>
                <w:w w:val="100"/>
                <w:sz w:val="16"/>
                <w:szCs w:val="16"/>
                <w:lang w:val="es-ES_tradnl"/>
              </w:rPr>
            </w:pPr>
            <w:r w:rsidRPr="00AD54FC">
              <w:rPr>
                <w:sz w:val="16"/>
                <w:szCs w:val="16"/>
                <w:lang w:val="es-ES_tradnl"/>
              </w:rPr>
              <w:t xml:space="preserve">Certificado </w:t>
            </w:r>
          </w:p>
        </w:tc>
        <w:tc>
          <w:tcPr>
            <w:tcW w:w="408" w:type="dxa"/>
            <w:shd w:val="clear" w:color="auto" w:fill="auto"/>
            <w:vAlign w:val="bottom"/>
          </w:tcPr>
          <w:p w14:paraId="60BE9B8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170</w:t>
            </w:r>
          </w:p>
        </w:tc>
        <w:tc>
          <w:tcPr>
            <w:tcW w:w="409" w:type="dxa"/>
            <w:shd w:val="clear" w:color="auto" w:fill="auto"/>
            <w:vAlign w:val="bottom"/>
          </w:tcPr>
          <w:p w14:paraId="0B60B8F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134</w:t>
            </w:r>
          </w:p>
        </w:tc>
        <w:tc>
          <w:tcPr>
            <w:tcW w:w="409" w:type="dxa"/>
            <w:shd w:val="clear" w:color="auto" w:fill="auto"/>
            <w:vAlign w:val="bottom"/>
          </w:tcPr>
          <w:p w14:paraId="18A4EDC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304</w:t>
            </w:r>
          </w:p>
        </w:tc>
        <w:tc>
          <w:tcPr>
            <w:tcW w:w="409" w:type="dxa"/>
            <w:shd w:val="clear" w:color="auto" w:fill="auto"/>
            <w:vAlign w:val="bottom"/>
          </w:tcPr>
          <w:p w14:paraId="0A4252B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124</w:t>
            </w:r>
          </w:p>
        </w:tc>
        <w:tc>
          <w:tcPr>
            <w:tcW w:w="409" w:type="dxa"/>
            <w:shd w:val="clear" w:color="auto" w:fill="auto"/>
            <w:vAlign w:val="bottom"/>
          </w:tcPr>
          <w:p w14:paraId="2D6C208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89</w:t>
            </w:r>
          </w:p>
        </w:tc>
        <w:tc>
          <w:tcPr>
            <w:tcW w:w="409" w:type="dxa"/>
            <w:shd w:val="clear" w:color="auto" w:fill="auto"/>
            <w:vAlign w:val="bottom"/>
          </w:tcPr>
          <w:p w14:paraId="2827CF8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213</w:t>
            </w:r>
          </w:p>
        </w:tc>
        <w:tc>
          <w:tcPr>
            <w:tcW w:w="409" w:type="dxa"/>
            <w:shd w:val="clear" w:color="auto" w:fill="auto"/>
            <w:vAlign w:val="bottom"/>
          </w:tcPr>
          <w:p w14:paraId="1A513FA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97</w:t>
            </w:r>
          </w:p>
        </w:tc>
        <w:tc>
          <w:tcPr>
            <w:tcW w:w="408" w:type="dxa"/>
            <w:shd w:val="clear" w:color="auto" w:fill="auto"/>
            <w:vAlign w:val="bottom"/>
          </w:tcPr>
          <w:p w14:paraId="3A03490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104</w:t>
            </w:r>
          </w:p>
        </w:tc>
        <w:tc>
          <w:tcPr>
            <w:tcW w:w="409" w:type="dxa"/>
            <w:shd w:val="clear" w:color="auto" w:fill="auto"/>
            <w:vAlign w:val="bottom"/>
          </w:tcPr>
          <w:p w14:paraId="2B14575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201</w:t>
            </w:r>
          </w:p>
        </w:tc>
        <w:tc>
          <w:tcPr>
            <w:tcW w:w="409" w:type="dxa"/>
            <w:shd w:val="clear" w:color="auto" w:fill="auto"/>
            <w:vAlign w:val="bottom"/>
          </w:tcPr>
          <w:p w14:paraId="4667BCB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96</w:t>
            </w:r>
          </w:p>
        </w:tc>
        <w:tc>
          <w:tcPr>
            <w:tcW w:w="409" w:type="dxa"/>
            <w:shd w:val="clear" w:color="auto" w:fill="auto"/>
            <w:vAlign w:val="bottom"/>
          </w:tcPr>
          <w:p w14:paraId="14BF619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95</w:t>
            </w:r>
          </w:p>
        </w:tc>
        <w:tc>
          <w:tcPr>
            <w:tcW w:w="409" w:type="dxa"/>
            <w:shd w:val="clear" w:color="auto" w:fill="auto"/>
            <w:vAlign w:val="bottom"/>
          </w:tcPr>
          <w:p w14:paraId="0D10B98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191</w:t>
            </w:r>
          </w:p>
        </w:tc>
        <w:tc>
          <w:tcPr>
            <w:tcW w:w="409" w:type="dxa"/>
            <w:shd w:val="clear" w:color="auto" w:fill="auto"/>
            <w:vAlign w:val="bottom"/>
          </w:tcPr>
          <w:p w14:paraId="55AA1C5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65</w:t>
            </w:r>
          </w:p>
        </w:tc>
        <w:tc>
          <w:tcPr>
            <w:tcW w:w="409" w:type="dxa"/>
            <w:shd w:val="clear" w:color="auto" w:fill="auto"/>
            <w:vAlign w:val="bottom"/>
          </w:tcPr>
          <w:p w14:paraId="7A0D836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79</w:t>
            </w:r>
          </w:p>
        </w:tc>
        <w:tc>
          <w:tcPr>
            <w:tcW w:w="408" w:type="dxa"/>
            <w:shd w:val="clear" w:color="auto" w:fill="auto"/>
            <w:vAlign w:val="bottom"/>
          </w:tcPr>
          <w:p w14:paraId="7376EBC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144</w:t>
            </w:r>
          </w:p>
        </w:tc>
        <w:tc>
          <w:tcPr>
            <w:tcW w:w="409" w:type="dxa"/>
            <w:shd w:val="clear" w:color="auto" w:fill="auto"/>
            <w:vAlign w:val="bottom"/>
          </w:tcPr>
          <w:p w14:paraId="3440C1C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64</w:t>
            </w:r>
          </w:p>
        </w:tc>
        <w:tc>
          <w:tcPr>
            <w:tcW w:w="409" w:type="dxa"/>
            <w:shd w:val="clear" w:color="auto" w:fill="auto"/>
            <w:vAlign w:val="bottom"/>
          </w:tcPr>
          <w:p w14:paraId="3357EDC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79</w:t>
            </w:r>
          </w:p>
        </w:tc>
        <w:tc>
          <w:tcPr>
            <w:tcW w:w="409" w:type="dxa"/>
            <w:shd w:val="clear" w:color="auto" w:fill="auto"/>
            <w:vAlign w:val="bottom"/>
          </w:tcPr>
          <w:p w14:paraId="4F4AB5E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143</w:t>
            </w:r>
          </w:p>
        </w:tc>
        <w:tc>
          <w:tcPr>
            <w:tcW w:w="409" w:type="dxa"/>
            <w:shd w:val="clear" w:color="auto" w:fill="auto"/>
            <w:vAlign w:val="bottom"/>
          </w:tcPr>
          <w:p w14:paraId="00303B8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52</w:t>
            </w:r>
          </w:p>
        </w:tc>
        <w:tc>
          <w:tcPr>
            <w:tcW w:w="409" w:type="dxa"/>
            <w:shd w:val="clear" w:color="auto" w:fill="auto"/>
            <w:vAlign w:val="bottom"/>
          </w:tcPr>
          <w:p w14:paraId="5567714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67</w:t>
            </w:r>
          </w:p>
        </w:tc>
        <w:tc>
          <w:tcPr>
            <w:tcW w:w="409" w:type="dxa"/>
            <w:shd w:val="clear" w:color="auto" w:fill="auto"/>
            <w:vAlign w:val="bottom"/>
          </w:tcPr>
          <w:p w14:paraId="7C7140C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119</w:t>
            </w:r>
          </w:p>
        </w:tc>
      </w:tr>
      <w:tr w:rsidR="0049190F" w:rsidRPr="00AD54FC" w14:paraId="07E9563D" w14:textId="77777777" w:rsidTr="0049190F">
        <w:tc>
          <w:tcPr>
            <w:tcW w:w="1260" w:type="dxa"/>
            <w:shd w:val="clear" w:color="auto" w:fill="auto"/>
            <w:vAlign w:val="bottom"/>
          </w:tcPr>
          <w:p w14:paraId="3E260F0C"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pacing w:val="-2"/>
                <w:w w:val="100"/>
                <w:sz w:val="16"/>
                <w:szCs w:val="16"/>
                <w:lang w:val="es-ES_tradnl"/>
              </w:rPr>
            </w:pPr>
            <w:r w:rsidRPr="00AD54FC">
              <w:rPr>
                <w:sz w:val="16"/>
                <w:szCs w:val="16"/>
                <w:lang w:val="es-ES_tradnl"/>
              </w:rPr>
              <w:t xml:space="preserve">Certificado Superior </w:t>
            </w:r>
          </w:p>
        </w:tc>
        <w:tc>
          <w:tcPr>
            <w:tcW w:w="408" w:type="dxa"/>
            <w:shd w:val="clear" w:color="auto" w:fill="auto"/>
            <w:vAlign w:val="bottom"/>
          </w:tcPr>
          <w:p w14:paraId="551C03D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14</w:t>
            </w:r>
          </w:p>
        </w:tc>
        <w:tc>
          <w:tcPr>
            <w:tcW w:w="409" w:type="dxa"/>
            <w:shd w:val="clear" w:color="auto" w:fill="auto"/>
            <w:vAlign w:val="bottom"/>
          </w:tcPr>
          <w:p w14:paraId="2ECC500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35</w:t>
            </w:r>
          </w:p>
        </w:tc>
        <w:tc>
          <w:tcPr>
            <w:tcW w:w="409" w:type="dxa"/>
            <w:shd w:val="clear" w:color="auto" w:fill="auto"/>
            <w:vAlign w:val="bottom"/>
          </w:tcPr>
          <w:p w14:paraId="6F281A1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49</w:t>
            </w:r>
          </w:p>
        </w:tc>
        <w:tc>
          <w:tcPr>
            <w:tcW w:w="409" w:type="dxa"/>
            <w:shd w:val="clear" w:color="auto" w:fill="auto"/>
            <w:vAlign w:val="bottom"/>
          </w:tcPr>
          <w:p w14:paraId="707D47C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11</w:t>
            </w:r>
          </w:p>
        </w:tc>
        <w:tc>
          <w:tcPr>
            <w:tcW w:w="409" w:type="dxa"/>
            <w:shd w:val="clear" w:color="auto" w:fill="auto"/>
            <w:vAlign w:val="bottom"/>
          </w:tcPr>
          <w:p w14:paraId="1138A24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20</w:t>
            </w:r>
          </w:p>
        </w:tc>
        <w:tc>
          <w:tcPr>
            <w:tcW w:w="409" w:type="dxa"/>
            <w:shd w:val="clear" w:color="auto" w:fill="auto"/>
            <w:vAlign w:val="bottom"/>
          </w:tcPr>
          <w:p w14:paraId="44B520D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31</w:t>
            </w:r>
          </w:p>
        </w:tc>
        <w:tc>
          <w:tcPr>
            <w:tcW w:w="409" w:type="dxa"/>
            <w:shd w:val="clear" w:color="auto" w:fill="auto"/>
            <w:vAlign w:val="bottom"/>
          </w:tcPr>
          <w:p w14:paraId="73B94BF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18</w:t>
            </w:r>
          </w:p>
        </w:tc>
        <w:tc>
          <w:tcPr>
            <w:tcW w:w="408" w:type="dxa"/>
            <w:shd w:val="clear" w:color="auto" w:fill="auto"/>
            <w:vAlign w:val="bottom"/>
          </w:tcPr>
          <w:p w14:paraId="26A4329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26</w:t>
            </w:r>
          </w:p>
        </w:tc>
        <w:tc>
          <w:tcPr>
            <w:tcW w:w="409" w:type="dxa"/>
            <w:shd w:val="clear" w:color="auto" w:fill="auto"/>
            <w:vAlign w:val="bottom"/>
          </w:tcPr>
          <w:p w14:paraId="0435F8C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44</w:t>
            </w:r>
          </w:p>
        </w:tc>
        <w:tc>
          <w:tcPr>
            <w:tcW w:w="409" w:type="dxa"/>
            <w:shd w:val="clear" w:color="auto" w:fill="auto"/>
            <w:vAlign w:val="bottom"/>
          </w:tcPr>
          <w:p w14:paraId="2595413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10</w:t>
            </w:r>
          </w:p>
        </w:tc>
        <w:tc>
          <w:tcPr>
            <w:tcW w:w="409" w:type="dxa"/>
            <w:shd w:val="clear" w:color="auto" w:fill="auto"/>
            <w:vAlign w:val="bottom"/>
          </w:tcPr>
          <w:p w14:paraId="69F45FF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18</w:t>
            </w:r>
          </w:p>
        </w:tc>
        <w:tc>
          <w:tcPr>
            <w:tcW w:w="409" w:type="dxa"/>
            <w:shd w:val="clear" w:color="auto" w:fill="auto"/>
            <w:vAlign w:val="bottom"/>
          </w:tcPr>
          <w:p w14:paraId="5F12069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28</w:t>
            </w:r>
          </w:p>
        </w:tc>
        <w:tc>
          <w:tcPr>
            <w:tcW w:w="409" w:type="dxa"/>
            <w:shd w:val="clear" w:color="auto" w:fill="auto"/>
            <w:vAlign w:val="bottom"/>
          </w:tcPr>
          <w:p w14:paraId="51934E0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27</w:t>
            </w:r>
          </w:p>
        </w:tc>
        <w:tc>
          <w:tcPr>
            <w:tcW w:w="409" w:type="dxa"/>
            <w:shd w:val="clear" w:color="auto" w:fill="auto"/>
            <w:vAlign w:val="bottom"/>
          </w:tcPr>
          <w:p w14:paraId="1B2562D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42</w:t>
            </w:r>
          </w:p>
        </w:tc>
        <w:tc>
          <w:tcPr>
            <w:tcW w:w="408" w:type="dxa"/>
            <w:shd w:val="clear" w:color="auto" w:fill="auto"/>
            <w:vAlign w:val="bottom"/>
          </w:tcPr>
          <w:p w14:paraId="044CEAE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69</w:t>
            </w:r>
          </w:p>
        </w:tc>
        <w:tc>
          <w:tcPr>
            <w:tcW w:w="409" w:type="dxa"/>
            <w:shd w:val="clear" w:color="auto" w:fill="auto"/>
            <w:vAlign w:val="bottom"/>
          </w:tcPr>
          <w:p w14:paraId="15DD81B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25</w:t>
            </w:r>
          </w:p>
        </w:tc>
        <w:tc>
          <w:tcPr>
            <w:tcW w:w="409" w:type="dxa"/>
            <w:shd w:val="clear" w:color="auto" w:fill="auto"/>
            <w:vAlign w:val="bottom"/>
          </w:tcPr>
          <w:p w14:paraId="6DC6B18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30</w:t>
            </w:r>
          </w:p>
        </w:tc>
        <w:tc>
          <w:tcPr>
            <w:tcW w:w="409" w:type="dxa"/>
            <w:shd w:val="clear" w:color="auto" w:fill="auto"/>
            <w:vAlign w:val="bottom"/>
          </w:tcPr>
          <w:p w14:paraId="7A959CF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55</w:t>
            </w:r>
          </w:p>
        </w:tc>
        <w:tc>
          <w:tcPr>
            <w:tcW w:w="409" w:type="dxa"/>
            <w:shd w:val="clear" w:color="auto" w:fill="auto"/>
            <w:vAlign w:val="bottom"/>
          </w:tcPr>
          <w:p w14:paraId="58B4E6B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w:t>
            </w:r>
          </w:p>
        </w:tc>
        <w:tc>
          <w:tcPr>
            <w:tcW w:w="409" w:type="dxa"/>
            <w:shd w:val="clear" w:color="auto" w:fill="auto"/>
            <w:vAlign w:val="bottom"/>
          </w:tcPr>
          <w:p w14:paraId="2F049D2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w:t>
            </w:r>
          </w:p>
        </w:tc>
        <w:tc>
          <w:tcPr>
            <w:tcW w:w="409" w:type="dxa"/>
            <w:shd w:val="clear" w:color="auto" w:fill="auto"/>
            <w:vAlign w:val="bottom"/>
          </w:tcPr>
          <w:p w14:paraId="5F0CC4D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8</w:t>
            </w:r>
          </w:p>
        </w:tc>
      </w:tr>
      <w:tr w:rsidR="0049190F" w:rsidRPr="00AD54FC" w14:paraId="7AE2750C" w14:textId="77777777" w:rsidTr="0049190F">
        <w:tc>
          <w:tcPr>
            <w:tcW w:w="1260" w:type="dxa"/>
            <w:shd w:val="clear" w:color="auto" w:fill="auto"/>
            <w:vAlign w:val="bottom"/>
          </w:tcPr>
          <w:p w14:paraId="1D9E109E"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pacing w:val="-2"/>
                <w:w w:val="100"/>
                <w:sz w:val="16"/>
                <w:szCs w:val="16"/>
                <w:lang w:val="es-ES_tradnl"/>
              </w:rPr>
            </w:pPr>
            <w:r w:rsidRPr="00AD54FC">
              <w:rPr>
                <w:sz w:val="16"/>
                <w:szCs w:val="16"/>
                <w:lang w:val="es-ES_tradnl"/>
              </w:rPr>
              <w:t xml:space="preserve">Título de grado </w:t>
            </w:r>
          </w:p>
        </w:tc>
        <w:tc>
          <w:tcPr>
            <w:tcW w:w="408" w:type="dxa"/>
            <w:shd w:val="clear" w:color="auto" w:fill="auto"/>
            <w:vAlign w:val="bottom"/>
          </w:tcPr>
          <w:p w14:paraId="53F0488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890</w:t>
            </w:r>
          </w:p>
        </w:tc>
        <w:tc>
          <w:tcPr>
            <w:tcW w:w="409" w:type="dxa"/>
            <w:shd w:val="clear" w:color="auto" w:fill="auto"/>
            <w:vAlign w:val="bottom"/>
          </w:tcPr>
          <w:p w14:paraId="441C2A2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532</w:t>
            </w:r>
          </w:p>
        </w:tc>
        <w:tc>
          <w:tcPr>
            <w:tcW w:w="409" w:type="dxa"/>
            <w:shd w:val="clear" w:color="auto" w:fill="auto"/>
            <w:vAlign w:val="bottom"/>
          </w:tcPr>
          <w:p w14:paraId="078B0234" w14:textId="1884D445"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1422</w:t>
            </w:r>
          </w:p>
        </w:tc>
        <w:tc>
          <w:tcPr>
            <w:tcW w:w="409" w:type="dxa"/>
            <w:shd w:val="clear" w:color="auto" w:fill="auto"/>
            <w:vAlign w:val="bottom"/>
          </w:tcPr>
          <w:p w14:paraId="7AE0300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866</w:t>
            </w:r>
          </w:p>
        </w:tc>
        <w:tc>
          <w:tcPr>
            <w:tcW w:w="409" w:type="dxa"/>
            <w:shd w:val="clear" w:color="auto" w:fill="auto"/>
            <w:vAlign w:val="bottom"/>
          </w:tcPr>
          <w:p w14:paraId="05A02E2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532</w:t>
            </w:r>
          </w:p>
        </w:tc>
        <w:tc>
          <w:tcPr>
            <w:tcW w:w="409" w:type="dxa"/>
            <w:shd w:val="clear" w:color="auto" w:fill="auto"/>
            <w:vAlign w:val="bottom"/>
          </w:tcPr>
          <w:p w14:paraId="6D184AE3" w14:textId="79898B52"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1398</w:t>
            </w:r>
          </w:p>
        </w:tc>
        <w:tc>
          <w:tcPr>
            <w:tcW w:w="409" w:type="dxa"/>
            <w:shd w:val="clear" w:color="auto" w:fill="auto"/>
            <w:vAlign w:val="bottom"/>
          </w:tcPr>
          <w:p w14:paraId="57FDDEC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857</w:t>
            </w:r>
          </w:p>
        </w:tc>
        <w:tc>
          <w:tcPr>
            <w:tcW w:w="408" w:type="dxa"/>
            <w:shd w:val="clear" w:color="auto" w:fill="auto"/>
            <w:vAlign w:val="bottom"/>
          </w:tcPr>
          <w:p w14:paraId="41592D8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552</w:t>
            </w:r>
          </w:p>
        </w:tc>
        <w:tc>
          <w:tcPr>
            <w:tcW w:w="409" w:type="dxa"/>
            <w:shd w:val="clear" w:color="auto" w:fill="auto"/>
            <w:vAlign w:val="bottom"/>
          </w:tcPr>
          <w:p w14:paraId="1534395C" w14:textId="2B39F90D"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1409</w:t>
            </w:r>
          </w:p>
        </w:tc>
        <w:tc>
          <w:tcPr>
            <w:tcW w:w="409" w:type="dxa"/>
            <w:shd w:val="clear" w:color="auto" w:fill="auto"/>
            <w:vAlign w:val="bottom"/>
          </w:tcPr>
          <w:p w14:paraId="0F89436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769</w:t>
            </w:r>
          </w:p>
        </w:tc>
        <w:tc>
          <w:tcPr>
            <w:tcW w:w="409" w:type="dxa"/>
            <w:shd w:val="clear" w:color="auto" w:fill="auto"/>
            <w:vAlign w:val="bottom"/>
          </w:tcPr>
          <w:p w14:paraId="1FECB7F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536</w:t>
            </w:r>
          </w:p>
        </w:tc>
        <w:tc>
          <w:tcPr>
            <w:tcW w:w="409" w:type="dxa"/>
            <w:shd w:val="clear" w:color="auto" w:fill="auto"/>
            <w:vAlign w:val="bottom"/>
          </w:tcPr>
          <w:p w14:paraId="575A52E0" w14:textId="04368B51"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1305</w:t>
            </w:r>
          </w:p>
        </w:tc>
        <w:tc>
          <w:tcPr>
            <w:tcW w:w="409" w:type="dxa"/>
            <w:shd w:val="clear" w:color="auto" w:fill="auto"/>
            <w:vAlign w:val="bottom"/>
          </w:tcPr>
          <w:p w14:paraId="3F2A348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671</w:t>
            </w:r>
          </w:p>
        </w:tc>
        <w:tc>
          <w:tcPr>
            <w:tcW w:w="409" w:type="dxa"/>
            <w:shd w:val="clear" w:color="auto" w:fill="auto"/>
            <w:vAlign w:val="bottom"/>
          </w:tcPr>
          <w:p w14:paraId="512E71D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532</w:t>
            </w:r>
          </w:p>
        </w:tc>
        <w:tc>
          <w:tcPr>
            <w:tcW w:w="408" w:type="dxa"/>
            <w:shd w:val="clear" w:color="auto" w:fill="auto"/>
            <w:vAlign w:val="bottom"/>
          </w:tcPr>
          <w:p w14:paraId="7DD1370A" w14:textId="7162B85B"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1203</w:t>
            </w:r>
          </w:p>
        </w:tc>
        <w:tc>
          <w:tcPr>
            <w:tcW w:w="409" w:type="dxa"/>
            <w:shd w:val="clear" w:color="auto" w:fill="auto"/>
            <w:vAlign w:val="bottom"/>
          </w:tcPr>
          <w:p w14:paraId="5E396BD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633</w:t>
            </w:r>
          </w:p>
        </w:tc>
        <w:tc>
          <w:tcPr>
            <w:tcW w:w="409" w:type="dxa"/>
            <w:shd w:val="clear" w:color="auto" w:fill="auto"/>
            <w:vAlign w:val="bottom"/>
          </w:tcPr>
          <w:p w14:paraId="5BEB4F5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564</w:t>
            </w:r>
          </w:p>
        </w:tc>
        <w:tc>
          <w:tcPr>
            <w:tcW w:w="409" w:type="dxa"/>
            <w:shd w:val="clear" w:color="auto" w:fill="auto"/>
            <w:vAlign w:val="bottom"/>
          </w:tcPr>
          <w:p w14:paraId="6D5022A2" w14:textId="06529CBD"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1197</w:t>
            </w:r>
          </w:p>
        </w:tc>
        <w:tc>
          <w:tcPr>
            <w:tcW w:w="409" w:type="dxa"/>
            <w:shd w:val="clear" w:color="auto" w:fill="auto"/>
            <w:vAlign w:val="bottom"/>
          </w:tcPr>
          <w:p w14:paraId="364D931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709</w:t>
            </w:r>
          </w:p>
        </w:tc>
        <w:tc>
          <w:tcPr>
            <w:tcW w:w="409" w:type="dxa"/>
            <w:shd w:val="clear" w:color="auto" w:fill="auto"/>
            <w:vAlign w:val="bottom"/>
          </w:tcPr>
          <w:p w14:paraId="5911BFE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561</w:t>
            </w:r>
          </w:p>
        </w:tc>
        <w:tc>
          <w:tcPr>
            <w:tcW w:w="409" w:type="dxa"/>
            <w:shd w:val="clear" w:color="auto" w:fill="auto"/>
            <w:vAlign w:val="bottom"/>
          </w:tcPr>
          <w:p w14:paraId="18FB4713" w14:textId="742B3CC5"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1270</w:t>
            </w:r>
          </w:p>
        </w:tc>
      </w:tr>
      <w:tr w:rsidR="0049190F" w:rsidRPr="00AD54FC" w14:paraId="483F5C1E" w14:textId="77777777" w:rsidTr="0049190F">
        <w:tc>
          <w:tcPr>
            <w:tcW w:w="1260" w:type="dxa"/>
            <w:shd w:val="clear" w:color="auto" w:fill="auto"/>
            <w:vAlign w:val="bottom"/>
          </w:tcPr>
          <w:p w14:paraId="5CB142B2"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pacing w:val="-2"/>
                <w:w w:val="100"/>
                <w:sz w:val="16"/>
                <w:szCs w:val="16"/>
                <w:lang w:val="es-ES_tradnl"/>
              </w:rPr>
            </w:pPr>
            <w:r w:rsidRPr="00AD54FC">
              <w:rPr>
                <w:sz w:val="16"/>
                <w:szCs w:val="16"/>
                <w:lang w:val="es-ES_tradnl"/>
              </w:rPr>
              <w:t xml:space="preserve">Licenciatura </w:t>
            </w:r>
          </w:p>
        </w:tc>
        <w:tc>
          <w:tcPr>
            <w:tcW w:w="408" w:type="dxa"/>
            <w:shd w:val="clear" w:color="auto" w:fill="auto"/>
            <w:vAlign w:val="bottom"/>
          </w:tcPr>
          <w:p w14:paraId="175891E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64</w:t>
            </w:r>
          </w:p>
        </w:tc>
        <w:tc>
          <w:tcPr>
            <w:tcW w:w="409" w:type="dxa"/>
            <w:shd w:val="clear" w:color="auto" w:fill="auto"/>
            <w:vAlign w:val="bottom"/>
          </w:tcPr>
          <w:p w14:paraId="3BE1888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48</w:t>
            </w:r>
          </w:p>
        </w:tc>
        <w:tc>
          <w:tcPr>
            <w:tcW w:w="409" w:type="dxa"/>
            <w:shd w:val="clear" w:color="auto" w:fill="auto"/>
            <w:vAlign w:val="bottom"/>
          </w:tcPr>
          <w:p w14:paraId="563FA5C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112</w:t>
            </w:r>
          </w:p>
        </w:tc>
        <w:tc>
          <w:tcPr>
            <w:tcW w:w="409" w:type="dxa"/>
            <w:shd w:val="clear" w:color="auto" w:fill="auto"/>
            <w:vAlign w:val="bottom"/>
          </w:tcPr>
          <w:p w14:paraId="62C8352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150</w:t>
            </w:r>
          </w:p>
        </w:tc>
        <w:tc>
          <w:tcPr>
            <w:tcW w:w="409" w:type="dxa"/>
            <w:shd w:val="clear" w:color="auto" w:fill="auto"/>
            <w:vAlign w:val="bottom"/>
          </w:tcPr>
          <w:p w14:paraId="35AC4C9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79</w:t>
            </w:r>
          </w:p>
        </w:tc>
        <w:tc>
          <w:tcPr>
            <w:tcW w:w="409" w:type="dxa"/>
            <w:shd w:val="clear" w:color="auto" w:fill="auto"/>
            <w:vAlign w:val="bottom"/>
          </w:tcPr>
          <w:p w14:paraId="2E044AB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229</w:t>
            </w:r>
          </w:p>
        </w:tc>
        <w:tc>
          <w:tcPr>
            <w:tcW w:w="409" w:type="dxa"/>
            <w:shd w:val="clear" w:color="auto" w:fill="auto"/>
            <w:vAlign w:val="bottom"/>
          </w:tcPr>
          <w:p w14:paraId="75B388A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199</w:t>
            </w:r>
          </w:p>
        </w:tc>
        <w:tc>
          <w:tcPr>
            <w:tcW w:w="408" w:type="dxa"/>
            <w:shd w:val="clear" w:color="auto" w:fill="auto"/>
            <w:vAlign w:val="bottom"/>
          </w:tcPr>
          <w:p w14:paraId="038F3D2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108</w:t>
            </w:r>
          </w:p>
        </w:tc>
        <w:tc>
          <w:tcPr>
            <w:tcW w:w="409" w:type="dxa"/>
            <w:shd w:val="clear" w:color="auto" w:fill="auto"/>
            <w:vAlign w:val="bottom"/>
          </w:tcPr>
          <w:p w14:paraId="2929AEA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307</w:t>
            </w:r>
          </w:p>
        </w:tc>
        <w:tc>
          <w:tcPr>
            <w:tcW w:w="409" w:type="dxa"/>
            <w:shd w:val="clear" w:color="auto" w:fill="auto"/>
            <w:vAlign w:val="bottom"/>
          </w:tcPr>
          <w:p w14:paraId="3F1DF9F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260</w:t>
            </w:r>
          </w:p>
        </w:tc>
        <w:tc>
          <w:tcPr>
            <w:tcW w:w="409" w:type="dxa"/>
            <w:shd w:val="clear" w:color="auto" w:fill="auto"/>
            <w:vAlign w:val="bottom"/>
          </w:tcPr>
          <w:p w14:paraId="7C0B1C2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157</w:t>
            </w:r>
          </w:p>
        </w:tc>
        <w:tc>
          <w:tcPr>
            <w:tcW w:w="409" w:type="dxa"/>
            <w:shd w:val="clear" w:color="auto" w:fill="auto"/>
            <w:vAlign w:val="bottom"/>
          </w:tcPr>
          <w:p w14:paraId="51449A9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417</w:t>
            </w:r>
          </w:p>
        </w:tc>
        <w:tc>
          <w:tcPr>
            <w:tcW w:w="409" w:type="dxa"/>
            <w:shd w:val="clear" w:color="auto" w:fill="auto"/>
            <w:vAlign w:val="bottom"/>
          </w:tcPr>
          <w:p w14:paraId="4FEBDEE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330</w:t>
            </w:r>
          </w:p>
        </w:tc>
        <w:tc>
          <w:tcPr>
            <w:tcW w:w="409" w:type="dxa"/>
            <w:shd w:val="clear" w:color="auto" w:fill="auto"/>
            <w:vAlign w:val="bottom"/>
          </w:tcPr>
          <w:p w14:paraId="26D2753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159</w:t>
            </w:r>
          </w:p>
        </w:tc>
        <w:tc>
          <w:tcPr>
            <w:tcW w:w="408" w:type="dxa"/>
            <w:shd w:val="clear" w:color="auto" w:fill="auto"/>
            <w:vAlign w:val="bottom"/>
          </w:tcPr>
          <w:p w14:paraId="72E8B00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489</w:t>
            </w:r>
          </w:p>
        </w:tc>
        <w:tc>
          <w:tcPr>
            <w:tcW w:w="409" w:type="dxa"/>
            <w:shd w:val="clear" w:color="auto" w:fill="auto"/>
            <w:vAlign w:val="bottom"/>
          </w:tcPr>
          <w:p w14:paraId="63B4E01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369</w:t>
            </w:r>
          </w:p>
        </w:tc>
        <w:tc>
          <w:tcPr>
            <w:tcW w:w="409" w:type="dxa"/>
            <w:shd w:val="clear" w:color="auto" w:fill="auto"/>
            <w:vAlign w:val="bottom"/>
          </w:tcPr>
          <w:p w14:paraId="2D05C85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178</w:t>
            </w:r>
          </w:p>
        </w:tc>
        <w:tc>
          <w:tcPr>
            <w:tcW w:w="409" w:type="dxa"/>
            <w:shd w:val="clear" w:color="auto" w:fill="auto"/>
            <w:vAlign w:val="bottom"/>
          </w:tcPr>
          <w:p w14:paraId="51E49B3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547</w:t>
            </w:r>
          </w:p>
        </w:tc>
        <w:tc>
          <w:tcPr>
            <w:tcW w:w="409" w:type="dxa"/>
            <w:shd w:val="clear" w:color="auto" w:fill="auto"/>
            <w:vAlign w:val="bottom"/>
          </w:tcPr>
          <w:p w14:paraId="4A23310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109</w:t>
            </w:r>
          </w:p>
        </w:tc>
        <w:tc>
          <w:tcPr>
            <w:tcW w:w="409" w:type="dxa"/>
            <w:shd w:val="clear" w:color="auto" w:fill="auto"/>
            <w:vAlign w:val="bottom"/>
          </w:tcPr>
          <w:p w14:paraId="431C74D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65</w:t>
            </w:r>
          </w:p>
        </w:tc>
        <w:tc>
          <w:tcPr>
            <w:tcW w:w="409" w:type="dxa"/>
            <w:shd w:val="clear" w:color="auto" w:fill="auto"/>
            <w:vAlign w:val="bottom"/>
          </w:tcPr>
          <w:p w14:paraId="35BA544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174</w:t>
            </w:r>
          </w:p>
        </w:tc>
      </w:tr>
      <w:tr w:rsidR="0049190F" w:rsidRPr="00AD54FC" w14:paraId="63DFA7A7" w14:textId="77777777" w:rsidTr="0049190F">
        <w:tc>
          <w:tcPr>
            <w:tcW w:w="1260" w:type="dxa"/>
            <w:shd w:val="clear" w:color="auto" w:fill="auto"/>
            <w:vAlign w:val="bottom"/>
          </w:tcPr>
          <w:p w14:paraId="41BDB334"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pacing w:val="-2"/>
                <w:w w:val="100"/>
                <w:sz w:val="16"/>
                <w:szCs w:val="16"/>
                <w:lang w:val="es-ES_tradnl"/>
              </w:rPr>
            </w:pPr>
            <w:r w:rsidRPr="00AD54FC">
              <w:rPr>
                <w:sz w:val="16"/>
                <w:szCs w:val="16"/>
                <w:lang w:val="es-ES_tradnl"/>
              </w:rPr>
              <w:t xml:space="preserve">Certificado de posgrado </w:t>
            </w:r>
          </w:p>
        </w:tc>
        <w:tc>
          <w:tcPr>
            <w:tcW w:w="408" w:type="dxa"/>
            <w:shd w:val="clear" w:color="auto" w:fill="auto"/>
            <w:vAlign w:val="bottom"/>
          </w:tcPr>
          <w:p w14:paraId="2590B69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10</w:t>
            </w:r>
          </w:p>
        </w:tc>
        <w:tc>
          <w:tcPr>
            <w:tcW w:w="409" w:type="dxa"/>
            <w:shd w:val="clear" w:color="auto" w:fill="auto"/>
            <w:vAlign w:val="bottom"/>
          </w:tcPr>
          <w:p w14:paraId="3BB9C3D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b/>
                <w:bCs/>
                <w:sz w:val="16"/>
                <w:szCs w:val="16"/>
                <w:lang w:val="es-ES_tradnl"/>
              </w:rPr>
              <w:t>13</w:t>
            </w:r>
          </w:p>
        </w:tc>
        <w:tc>
          <w:tcPr>
            <w:tcW w:w="409" w:type="dxa"/>
            <w:shd w:val="clear" w:color="auto" w:fill="auto"/>
            <w:vAlign w:val="bottom"/>
          </w:tcPr>
          <w:p w14:paraId="609B6BD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23</w:t>
            </w:r>
          </w:p>
        </w:tc>
        <w:tc>
          <w:tcPr>
            <w:tcW w:w="409" w:type="dxa"/>
            <w:shd w:val="clear" w:color="auto" w:fill="auto"/>
            <w:vAlign w:val="bottom"/>
          </w:tcPr>
          <w:p w14:paraId="45851BA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b/>
                <w:bCs/>
                <w:sz w:val="16"/>
                <w:szCs w:val="16"/>
                <w:lang w:val="es-ES_tradnl"/>
              </w:rPr>
              <w:t>13</w:t>
            </w:r>
          </w:p>
        </w:tc>
        <w:tc>
          <w:tcPr>
            <w:tcW w:w="409" w:type="dxa"/>
            <w:shd w:val="clear" w:color="auto" w:fill="auto"/>
            <w:vAlign w:val="bottom"/>
          </w:tcPr>
          <w:p w14:paraId="1E82BBD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9</w:t>
            </w:r>
          </w:p>
        </w:tc>
        <w:tc>
          <w:tcPr>
            <w:tcW w:w="409" w:type="dxa"/>
            <w:shd w:val="clear" w:color="auto" w:fill="auto"/>
            <w:vAlign w:val="bottom"/>
          </w:tcPr>
          <w:p w14:paraId="186E2A9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22</w:t>
            </w:r>
          </w:p>
        </w:tc>
        <w:tc>
          <w:tcPr>
            <w:tcW w:w="409" w:type="dxa"/>
            <w:shd w:val="clear" w:color="auto" w:fill="auto"/>
            <w:vAlign w:val="bottom"/>
          </w:tcPr>
          <w:p w14:paraId="556393E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17</w:t>
            </w:r>
          </w:p>
        </w:tc>
        <w:tc>
          <w:tcPr>
            <w:tcW w:w="408" w:type="dxa"/>
            <w:shd w:val="clear" w:color="auto" w:fill="auto"/>
            <w:vAlign w:val="bottom"/>
          </w:tcPr>
          <w:p w14:paraId="682DEA9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12</w:t>
            </w:r>
          </w:p>
        </w:tc>
        <w:tc>
          <w:tcPr>
            <w:tcW w:w="409" w:type="dxa"/>
            <w:shd w:val="clear" w:color="auto" w:fill="auto"/>
            <w:vAlign w:val="bottom"/>
          </w:tcPr>
          <w:p w14:paraId="448DB5B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b/>
                <w:bCs/>
                <w:sz w:val="16"/>
                <w:szCs w:val="16"/>
                <w:lang w:val="es-ES_tradnl"/>
              </w:rPr>
              <w:t>29</w:t>
            </w:r>
          </w:p>
        </w:tc>
        <w:tc>
          <w:tcPr>
            <w:tcW w:w="409" w:type="dxa"/>
            <w:shd w:val="clear" w:color="auto" w:fill="auto"/>
            <w:vAlign w:val="bottom"/>
          </w:tcPr>
          <w:p w14:paraId="0B8107E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31</w:t>
            </w:r>
          </w:p>
        </w:tc>
        <w:tc>
          <w:tcPr>
            <w:tcW w:w="409" w:type="dxa"/>
            <w:shd w:val="clear" w:color="auto" w:fill="auto"/>
            <w:vAlign w:val="bottom"/>
          </w:tcPr>
          <w:p w14:paraId="7019A56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35</w:t>
            </w:r>
          </w:p>
        </w:tc>
        <w:tc>
          <w:tcPr>
            <w:tcW w:w="409" w:type="dxa"/>
            <w:shd w:val="clear" w:color="auto" w:fill="auto"/>
            <w:vAlign w:val="bottom"/>
          </w:tcPr>
          <w:p w14:paraId="22EC256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66</w:t>
            </w:r>
          </w:p>
        </w:tc>
        <w:tc>
          <w:tcPr>
            <w:tcW w:w="409" w:type="dxa"/>
            <w:shd w:val="clear" w:color="auto" w:fill="auto"/>
            <w:vAlign w:val="bottom"/>
          </w:tcPr>
          <w:p w14:paraId="5862F1E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28</w:t>
            </w:r>
          </w:p>
        </w:tc>
        <w:tc>
          <w:tcPr>
            <w:tcW w:w="409" w:type="dxa"/>
            <w:shd w:val="clear" w:color="auto" w:fill="auto"/>
            <w:vAlign w:val="bottom"/>
          </w:tcPr>
          <w:p w14:paraId="66E6E17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w:t>
            </w:r>
          </w:p>
        </w:tc>
        <w:tc>
          <w:tcPr>
            <w:tcW w:w="408" w:type="dxa"/>
            <w:shd w:val="clear" w:color="auto" w:fill="auto"/>
            <w:vAlign w:val="bottom"/>
          </w:tcPr>
          <w:p w14:paraId="4264751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34</w:t>
            </w:r>
          </w:p>
        </w:tc>
        <w:tc>
          <w:tcPr>
            <w:tcW w:w="409" w:type="dxa"/>
            <w:shd w:val="clear" w:color="auto" w:fill="auto"/>
            <w:vAlign w:val="bottom"/>
          </w:tcPr>
          <w:p w14:paraId="22EBB0B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17</w:t>
            </w:r>
          </w:p>
        </w:tc>
        <w:tc>
          <w:tcPr>
            <w:tcW w:w="409" w:type="dxa"/>
            <w:shd w:val="clear" w:color="auto" w:fill="auto"/>
            <w:vAlign w:val="bottom"/>
          </w:tcPr>
          <w:p w14:paraId="46E653E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18</w:t>
            </w:r>
          </w:p>
        </w:tc>
        <w:tc>
          <w:tcPr>
            <w:tcW w:w="409" w:type="dxa"/>
            <w:shd w:val="clear" w:color="auto" w:fill="auto"/>
            <w:vAlign w:val="bottom"/>
          </w:tcPr>
          <w:p w14:paraId="0D2D004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35</w:t>
            </w:r>
          </w:p>
        </w:tc>
        <w:tc>
          <w:tcPr>
            <w:tcW w:w="409" w:type="dxa"/>
            <w:shd w:val="clear" w:color="auto" w:fill="auto"/>
            <w:vAlign w:val="bottom"/>
          </w:tcPr>
          <w:p w14:paraId="1270BBA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c>
          <w:tcPr>
            <w:tcW w:w="409" w:type="dxa"/>
            <w:shd w:val="clear" w:color="auto" w:fill="auto"/>
            <w:vAlign w:val="bottom"/>
          </w:tcPr>
          <w:p w14:paraId="09DC967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c>
          <w:tcPr>
            <w:tcW w:w="409" w:type="dxa"/>
            <w:shd w:val="clear" w:color="auto" w:fill="auto"/>
            <w:vAlign w:val="bottom"/>
          </w:tcPr>
          <w:p w14:paraId="6E84488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r>
      <w:tr w:rsidR="0049190F" w:rsidRPr="00AD54FC" w14:paraId="326764CA" w14:textId="77777777" w:rsidTr="0049190F">
        <w:tc>
          <w:tcPr>
            <w:tcW w:w="1260" w:type="dxa"/>
            <w:shd w:val="clear" w:color="auto" w:fill="auto"/>
            <w:vAlign w:val="bottom"/>
          </w:tcPr>
          <w:p w14:paraId="162FA37D"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pacing w:val="-2"/>
                <w:w w:val="100"/>
                <w:sz w:val="16"/>
                <w:szCs w:val="16"/>
                <w:lang w:val="es-ES_tradnl"/>
              </w:rPr>
            </w:pPr>
            <w:r w:rsidRPr="00AD54FC">
              <w:rPr>
                <w:sz w:val="16"/>
                <w:szCs w:val="16"/>
                <w:lang w:val="es-ES_tradnl"/>
              </w:rPr>
              <w:t>Diploma de posgrado</w:t>
            </w:r>
          </w:p>
        </w:tc>
        <w:tc>
          <w:tcPr>
            <w:tcW w:w="408" w:type="dxa"/>
            <w:shd w:val="clear" w:color="auto" w:fill="auto"/>
            <w:vAlign w:val="bottom"/>
          </w:tcPr>
          <w:p w14:paraId="3C9FA28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w:t>
            </w:r>
          </w:p>
        </w:tc>
        <w:tc>
          <w:tcPr>
            <w:tcW w:w="409" w:type="dxa"/>
            <w:shd w:val="clear" w:color="auto" w:fill="auto"/>
            <w:vAlign w:val="bottom"/>
          </w:tcPr>
          <w:p w14:paraId="532A6CF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9</w:t>
            </w:r>
          </w:p>
        </w:tc>
        <w:tc>
          <w:tcPr>
            <w:tcW w:w="409" w:type="dxa"/>
            <w:shd w:val="clear" w:color="auto" w:fill="auto"/>
            <w:vAlign w:val="bottom"/>
          </w:tcPr>
          <w:p w14:paraId="1DA2C60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14</w:t>
            </w:r>
          </w:p>
        </w:tc>
        <w:tc>
          <w:tcPr>
            <w:tcW w:w="409" w:type="dxa"/>
            <w:shd w:val="clear" w:color="auto" w:fill="auto"/>
            <w:vAlign w:val="bottom"/>
          </w:tcPr>
          <w:p w14:paraId="0893B7E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17</w:t>
            </w:r>
          </w:p>
        </w:tc>
        <w:tc>
          <w:tcPr>
            <w:tcW w:w="409" w:type="dxa"/>
            <w:shd w:val="clear" w:color="auto" w:fill="auto"/>
            <w:vAlign w:val="bottom"/>
          </w:tcPr>
          <w:p w14:paraId="2603366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9</w:t>
            </w:r>
          </w:p>
        </w:tc>
        <w:tc>
          <w:tcPr>
            <w:tcW w:w="409" w:type="dxa"/>
            <w:shd w:val="clear" w:color="auto" w:fill="auto"/>
            <w:vAlign w:val="bottom"/>
          </w:tcPr>
          <w:p w14:paraId="644B795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26</w:t>
            </w:r>
          </w:p>
        </w:tc>
        <w:tc>
          <w:tcPr>
            <w:tcW w:w="409" w:type="dxa"/>
            <w:shd w:val="clear" w:color="auto" w:fill="auto"/>
            <w:vAlign w:val="bottom"/>
          </w:tcPr>
          <w:p w14:paraId="3E7BE47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7</w:t>
            </w:r>
          </w:p>
        </w:tc>
        <w:tc>
          <w:tcPr>
            <w:tcW w:w="408" w:type="dxa"/>
            <w:shd w:val="clear" w:color="auto" w:fill="auto"/>
            <w:vAlign w:val="bottom"/>
          </w:tcPr>
          <w:p w14:paraId="31F8707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w:t>
            </w:r>
          </w:p>
        </w:tc>
        <w:tc>
          <w:tcPr>
            <w:tcW w:w="409" w:type="dxa"/>
            <w:shd w:val="clear" w:color="auto" w:fill="auto"/>
            <w:vAlign w:val="bottom"/>
          </w:tcPr>
          <w:p w14:paraId="23003B4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9</w:t>
            </w:r>
          </w:p>
        </w:tc>
        <w:tc>
          <w:tcPr>
            <w:tcW w:w="409" w:type="dxa"/>
            <w:shd w:val="clear" w:color="auto" w:fill="auto"/>
            <w:vAlign w:val="bottom"/>
          </w:tcPr>
          <w:p w14:paraId="5AEF2B1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18</w:t>
            </w:r>
          </w:p>
        </w:tc>
        <w:tc>
          <w:tcPr>
            <w:tcW w:w="409" w:type="dxa"/>
            <w:shd w:val="clear" w:color="auto" w:fill="auto"/>
            <w:vAlign w:val="bottom"/>
          </w:tcPr>
          <w:p w14:paraId="245628A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21</w:t>
            </w:r>
          </w:p>
        </w:tc>
        <w:tc>
          <w:tcPr>
            <w:tcW w:w="409" w:type="dxa"/>
            <w:shd w:val="clear" w:color="auto" w:fill="auto"/>
            <w:vAlign w:val="bottom"/>
          </w:tcPr>
          <w:p w14:paraId="1862EAE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39</w:t>
            </w:r>
          </w:p>
        </w:tc>
        <w:tc>
          <w:tcPr>
            <w:tcW w:w="409" w:type="dxa"/>
            <w:shd w:val="clear" w:color="auto" w:fill="auto"/>
            <w:vAlign w:val="bottom"/>
          </w:tcPr>
          <w:p w14:paraId="25D9B3E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8</w:t>
            </w:r>
          </w:p>
        </w:tc>
        <w:tc>
          <w:tcPr>
            <w:tcW w:w="409" w:type="dxa"/>
            <w:shd w:val="clear" w:color="auto" w:fill="auto"/>
            <w:vAlign w:val="bottom"/>
          </w:tcPr>
          <w:p w14:paraId="2BD64EB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w:t>
            </w:r>
          </w:p>
        </w:tc>
        <w:tc>
          <w:tcPr>
            <w:tcW w:w="408" w:type="dxa"/>
            <w:shd w:val="clear" w:color="auto" w:fill="auto"/>
            <w:vAlign w:val="bottom"/>
          </w:tcPr>
          <w:p w14:paraId="5795F6F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11</w:t>
            </w:r>
          </w:p>
        </w:tc>
        <w:tc>
          <w:tcPr>
            <w:tcW w:w="409" w:type="dxa"/>
            <w:shd w:val="clear" w:color="auto" w:fill="auto"/>
            <w:vAlign w:val="bottom"/>
          </w:tcPr>
          <w:p w14:paraId="2F2FC4E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c>
          <w:tcPr>
            <w:tcW w:w="409" w:type="dxa"/>
            <w:shd w:val="clear" w:color="auto" w:fill="auto"/>
            <w:vAlign w:val="bottom"/>
          </w:tcPr>
          <w:p w14:paraId="56A0EE9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c>
          <w:tcPr>
            <w:tcW w:w="409" w:type="dxa"/>
            <w:shd w:val="clear" w:color="auto" w:fill="auto"/>
            <w:vAlign w:val="bottom"/>
          </w:tcPr>
          <w:p w14:paraId="76ECE9B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c>
          <w:tcPr>
            <w:tcW w:w="409" w:type="dxa"/>
            <w:shd w:val="clear" w:color="auto" w:fill="auto"/>
            <w:vAlign w:val="bottom"/>
          </w:tcPr>
          <w:p w14:paraId="79CE344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c>
          <w:tcPr>
            <w:tcW w:w="409" w:type="dxa"/>
            <w:shd w:val="clear" w:color="auto" w:fill="auto"/>
            <w:vAlign w:val="bottom"/>
          </w:tcPr>
          <w:p w14:paraId="76B8166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c>
          <w:tcPr>
            <w:tcW w:w="409" w:type="dxa"/>
            <w:shd w:val="clear" w:color="auto" w:fill="auto"/>
            <w:vAlign w:val="bottom"/>
          </w:tcPr>
          <w:p w14:paraId="0F40577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p>
        </w:tc>
      </w:tr>
      <w:tr w:rsidR="0049190F" w:rsidRPr="00AD54FC" w14:paraId="02F7993B" w14:textId="77777777" w:rsidTr="0049190F">
        <w:tc>
          <w:tcPr>
            <w:tcW w:w="1260" w:type="dxa"/>
            <w:shd w:val="clear" w:color="auto" w:fill="auto"/>
            <w:vAlign w:val="bottom"/>
          </w:tcPr>
          <w:p w14:paraId="439271F3"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pacing w:val="-2"/>
                <w:w w:val="100"/>
                <w:sz w:val="16"/>
                <w:szCs w:val="16"/>
                <w:lang w:val="es-ES_tradnl"/>
              </w:rPr>
            </w:pPr>
            <w:r w:rsidRPr="00AD54FC">
              <w:rPr>
                <w:sz w:val="16"/>
                <w:szCs w:val="16"/>
                <w:lang w:val="es-ES_tradnl"/>
              </w:rPr>
              <w:t xml:space="preserve">Título de máster </w:t>
            </w:r>
          </w:p>
        </w:tc>
        <w:tc>
          <w:tcPr>
            <w:tcW w:w="408" w:type="dxa"/>
            <w:shd w:val="clear" w:color="auto" w:fill="auto"/>
            <w:vAlign w:val="bottom"/>
          </w:tcPr>
          <w:p w14:paraId="642A459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w:t>
            </w:r>
          </w:p>
        </w:tc>
        <w:tc>
          <w:tcPr>
            <w:tcW w:w="409" w:type="dxa"/>
            <w:shd w:val="clear" w:color="auto" w:fill="auto"/>
            <w:vAlign w:val="bottom"/>
          </w:tcPr>
          <w:p w14:paraId="44BC117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4</w:t>
            </w:r>
          </w:p>
        </w:tc>
        <w:tc>
          <w:tcPr>
            <w:tcW w:w="409" w:type="dxa"/>
            <w:shd w:val="clear" w:color="auto" w:fill="auto"/>
            <w:vAlign w:val="bottom"/>
          </w:tcPr>
          <w:p w14:paraId="7DF7B04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w:t>
            </w:r>
          </w:p>
        </w:tc>
        <w:tc>
          <w:tcPr>
            <w:tcW w:w="409" w:type="dxa"/>
            <w:shd w:val="clear" w:color="auto" w:fill="auto"/>
            <w:vAlign w:val="bottom"/>
          </w:tcPr>
          <w:p w14:paraId="223201F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9</w:t>
            </w:r>
          </w:p>
        </w:tc>
        <w:tc>
          <w:tcPr>
            <w:tcW w:w="409" w:type="dxa"/>
            <w:shd w:val="clear" w:color="auto" w:fill="auto"/>
            <w:vAlign w:val="bottom"/>
          </w:tcPr>
          <w:p w14:paraId="73820B8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15</w:t>
            </w:r>
          </w:p>
        </w:tc>
        <w:tc>
          <w:tcPr>
            <w:tcW w:w="409" w:type="dxa"/>
            <w:shd w:val="clear" w:color="auto" w:fill="auto"/>
            <w:vAlign w:val="bottom"/>
          </w:tcPr>
          <w:p w14:paraId="5F0095E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24</w:t>
            </w:r>
          </w:p>
        </w:tc>
        <w:tc>
          <w:tcPr>
            <w:tcW w:w="409" w:type="dxa"/>
            <w:shd w:val="clear" w:color="auto" w:fill="auto"/>
            <w:vAlign w:val="bottom"/>
          </w:tcPr>
          <w:p w14:paraId="3484905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11</w:t>
            </w:r>
          </w:p>
        </w:tc>
        <w:tc>
          <w:tcPr>
            <w:tcW w:w="408" w:type="dxa"/>
            <w:shd w:val="clear" w:color="auto" w:fill="auto"/>
            <w:vAlign w:val="bottom"/>
          </w:tcPr>
          <w:p w14:paraId="5CA170DB"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b/>
                <w:bCs/>
                <w:sz w:val="16"/>
                <w:szCs w:val="16"/>
                <w:lang w:val="es-ES_tradnl"/>
              </w:rPr>
              <w:t>16</w:t>
            </w:r>
          </w:p>
        </w:tc>
        <w:tc>
          <w:tcPr>
            <w:tcW w:w="409" w:type="dxa"/>
            <w:shd w:val="clear" w:color="auto" w:fill="auto"/>
            <w:vAlign w:val="bottom"/>
          </w:tcPr>
          <w:p w14:paraId="38735DF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27</w:t>
            </w:r>
          </w:p>
        </w:tc>
        <w:tc>
          <w:tcPr>
            <w:tcW w:w="409" w:type="dxa"/>
            <w:shd w:val="clear" w:color="auto" w:fill="auto"/>
            <w:vAlign w:val="bottom"/>
          </w:tcPr>
          <w:p w14:paraId="3CE7E55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17</w:t>
            </w:r>
          </w:p>
        </w:tc>
        <w:tc>
          <w:tcPr>
            <w:tcW w:w="409" w:type="dxa"/>
            <w:shd w:val="clear" w:color="auto" w:fill="auto"/>
            <w:vAlign w:val="bottom"/>
          </w:tcPr>
          <w:p w14:paraId="2755AE3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17</w:t>
            </w:r>
          </w:p>
        </w:tc>
        <w:tc>
          <w:tcPr>
            <w:tcW w:w="409" w:type="dxa"/>
            <w:shd w:val="clear" w:color="auto" w:fill="auto"/>
            <w:vAlign w:val="bottom"/>
          </w:tcPr>
          <w:p w14:paraId="1D0A5B7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34</w:t>
            </w:r>
          </w:p>
        </w:tc>
        <w:tc>
          <w:tcPr>
            <w:tcW w:w="409" w:type="dxa"/>
            <w:shd w:val="clear" w:color="auto" w:fill="auto"/>
            <w:vAlign w:val="bottom"/>
          </w:tcPr>
          <w:p w14:paraId="3164918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30</w:t>
            </w:r>
          </w:p>
        </w:tc>
        <w:tc>
          <w:tcPr>
            <w:tcW w:w="409" w:type="dxa"/>
            <w:shd w:val="clear" w:color="auto" w:fill="auto"/>
            <w:vAlign w:val="bottom"/>
          </w:tcPr>
          <w:p w14:paraId="7A2F5D4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23</w:t>
            </w:r>
          </w:p>
        </w:tc>
        <w:tc>
          <w:tcPr>
            <w:tcW w:w="408" w:type="dxa"/>
            <w:shd w:val="clear" w:color="auto" w:fill="auto"/>
            <w:vAlign w:val="bottom"/>
          </w:tcPr>
          <w:p w14:paraId="06195A7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53</w:t>
            </w:r>
          </w:p>
        </w:tc>
        <w:tc>
          <w:tcPr>
            <w:tcW w:w="409" w:type="dxa"/>
            <w:shd w:val="clear" w:color="auto" w:fill="auto"/>
            <w:vAlign w:val="bottom"/>
          </w:tcPr>
          <w:p w14:paraId="15B01E3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36</w:t>
            </w:r>
          </w:p>
        </w:tc>
        <w:tc>
          <w:tcPr>
            <w:tcW w:w="409" w:type="dxa"/>
            <w:shd w:val="clear" w:color="auto" w:fill="auto"/>
            <w:vAlign w:val="bottom"/>
          </w:tcPr>
          <w:p w14:paraId="2084B49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28</w:t>
            </w:r>
          </w:p>
        </w:tc>
        <w:tc>
          <w:tcPr>
            <w:tcW w:w="409" w:type="dxa"/>
            <w:shd w:val="clear" w:color="auto" w:fill="auto"/>
            <w:vAlign w:val="bottom"/>
          </w:tcPr>
          <w:p w14:paraId="1E10178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64</w:t>
            </w:r>
          </w:p>
        </w:tc>
        <w:tc>
          <w:tcPr>
            <w:tcW w:w="409" w:type="dxa"/>
            <w:shd w:val="clear" w:color="auto" w:fill="auto"/>
            <w:vAlign w:val="bottom"/>
          </w:tcPr>
          <w:p w14:paraId="6A63BC1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6</w:t>
            </w:r>
          </w:p>
        </w:tc>
        <w:tc>
          <w:tcPr>
            <w:tcW w:w="409" w:type="dxa"/>
            <w:shd w:val="clear" w:color="auto" w:fill="auto"/>
            <w:vAlign w:val="bottom"/>
          </w:tcPr>
          <w:p w14:paraId="0F335F4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20</w:t>
            </w:r>
          </w:p>
        </w:tc>
        <w:tc>
          <w:tcPr>
            <w:tcW w:w="409" w:type="dxa"/>
            <w:shd w:val="clear" w:color="auto" w:fill="auto"/>
            <w:vAlign w:val="bottom"/>
          </w:tcPr>
          <w:p w14:paraId="40D9EA2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 w:right="14"/>
              <w:jc w:val="right"/>
              <w:rPr>
                <w:spacing w:val="0"/>
                <w:w w:val="100"/>
                <w:sz w:val="16"/>
                <w:szCs w:val="16"/>
                <w:lang w:val="es-ES_tradnl"/>
              </w:rPr>
            </w:pPr>
            <w:r w:rsidRPr="00AD54FC">
              <w:rPr>
                <w:sz w:val="16"/>
                <w:szCs w:val="16"/>
                <w:lang w:val="es-ES_tradnl"/>
              </w:rPr>
              <w:t>26</w:t>
            </w:r>
          </w:p>
        </w:tc>
      </w:tr>
      <w:tr w:rsidR="0049190F" w:rsidRPr="00AD54FC" w14:paraId="0BD0EC2E" w14:textId="77777777" w:rsidTr="0049190F">
        <w:tc>
          <w:tcPr>
            <w:tcW w:w="1260" w:type="dxa"/>
            <w:tcBorders>
              <w:bottom w:val="single" w:sz="4" w:space="0" w:color="auto"/>
            </w:tcBorders>
            <w:shd w:val="clear" w:color="auto" w:fill="auto"/>
            <w:vAlign w:val="bottom"/>
          </w:tcPr>
          <w:p w14:paraId="6FBE2A79" w14:textId="77777777"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4"/>
              <w:jc w:val="left"/>
              <w:rPr>
                <w:spacing w:val="-2"/>
                <w:w w:val="100"/>
                <w:sz w:val="16"/>
                <w:szCs w:val="16"/>
                <w:lang w:val="es-ES_tradnl"/>
              </w:rPr>
            </w:pPr>
            <w:r w:rsidRPr="00AD54FC">
              <w:rPr>
                <w:sz w:val="16"/>
                <w:szCs w:val="16"/>
                <w:lang w:val="es-ES_tradnl"/>
              </w:rPr>
              <w:t xml:space="preserve">Doctorado </w:t>
            </w:r>
          </w:p>
        </w:tc>
        <w:tc>
          <w:tcPr>
            <w:tcW w:w="408" w:type="dxa"/>
            <w:tcBorders>
              <w:bottom w:val="single" w:sz="4" w:space="0" w:color="auto"/>
            </w:tcBorders>
            <w:shd w:val="clear" w:color="auto" w:fill="auto"/>
            <w:vAlign w:val="bottom"/>
          </w:tcPr>
          <w:p w14:paraId="6D704D15"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r w:rsidRPr="00AD54FC">
              <w:rPr>
                <w:sz w:val="16"/>
                <w:szCs w:val="16"/>
                <w:lang w:val="es-ES_tradnl"/>
              </w:rPr>
              <w:t>1</w:t>
            </w:r>
          </w:p>
        </w:tc>
        <w:tc>
          <w:tcPr>
            <w:tcW w:w="409" w:type="dxa"/>
            <w:tcBorders>
              <w:bottom w:val="single" w:sz="4" w:space="0" w:color="auto"/>
            </w:tcBorders>
            <w:shd w:val="clear" w:color="auto" w:fill="auto"/>
            <w:vAlign w:val="bottom"/>
          </w:tcPr>
          <w:p w14:paraId="084A096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r w:rsidRPr="00AD54FC">
              <w:rPr>
                <w:sz w:val="16"/>
                <w:szCs w:val="16"/>
                <w:lang w:val="es-ES_tradnl"/>
              </w:rPr>
              <w:t>1</w:t>
            </w:r>
          </w:p>
        </w:tc>
        <w:tc>
          <w:tcPr>
            <w:tcW w:w="409" w:type="dxa"/>
            <w:tcBorders>
              <w:bottom w:val="single" w:sz="4" w:space="0" w:color="auto"/>
            </w:tcBorders>
            <w:shd w:val="clear" w:color="auto" w:fill="auto"/>
            <w:vAlign w:val="bottom"/>
          </w:tcPr>
          <w:p w14:paraId="1B57881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r w:rsidRPr="00AD54FC">
              <w:rPr>
                <w:sz w:val="16"/>
                <w:szCs w:val="16"/>
                <w:lang w:val="es-ES_tradnl"/>
              </w:rPr>
              <w:t>1</w:t>
            </w:r>
          </w:p>
        </w:tc>
        <w:tc>
          <w:tcPr>
            <w:tcW w:w="409" w:type="dxa"/>
            <w:tcBorders>
              <w:bottom w:val="single" w:sz="4" w:space="0" w:color="auto"/>
            </w:tcBorders>
            <w:shd w:val="clear" w:color="auto" w:fill="auto"/>
            <w:vAlign w:val="bottom"/>
          </w:tcPr>
          <w:p w14:paraId="080D964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r w:rsidRPr="00AD54FC">
              <w:rPr>
                <w:sz w:val="16"/>
                <w:szCs w:val="16"/>
                <w:lang w:val="es-ES_tradnl"/>
              </w:rPr>
              <w:t>2</w:t>
            </w:r>
          </w:p>
        </w:tc>
        <w:tc>
          <w:tcPr>
            <w:tcW w:w="409" w:type="dxa"/>
            <w:tcBorders>
              <w:bottom w:val="single" w:sz="4" w:space="0" w:color="auto"/>
            </w:tcBorders>
            <w:shd w:val="clear" w:color="auto" w:fill="auto"/>
            <w:vAlign w:val="bottom"/>
          </w:tcPr>
          <w:p w14:paraId="0C4A0DAA"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r w:rsidRPr="00AD54FC">
              <w:rPr>
                <w:sz w:val="16"/>
                <w:szCs w:val="16"/>
                <w:lang w:val="es-ES_tradnl"/>
              </w:rPr>
              <w:t>3</w:t>
            </w:r>
          </w:p>
        </w:tc>
        <w:tc>
          <w:tcPr>
            <w:tcW w:w="409" w:type="dxa"/>
            <w:tcBorders>
              <w:bottom w:val="single" w:sz="4" w:space="0" w:color="auto"/>
            </w:tcBorders>
            <w:shd w:val="clear" w:color="auto" w:fill="auto"/>
            <w:vAlign w:val="bottom"/>
          </w:tcPr>
          <w:p w14:paraId="0FFAE244"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r w:rsidRPr="00AD54FC">
              <w:rPr>
                <w:sz w:val="16"/>
                <w:szCs w:val="16"/>
                <w:lang w:val="es-ES_tradnl"/>
              </w:rPr>
              <w:t>2</w:t>
            </w:r>
          </w:p>
        </w:tc>
        <w:tc>
          <w:tcPr>
            <w:tcW w:w="409" w:type="dxa"/>
            <w:tcBorders>
              <w:bottom w:val="single" w:sz="4" w:space="0" w:color="auto"/>
            </w:tcBorders>
            <w:shd w:val="clear" w:color="auto" w:fill="auto"/>
            <w:vAlign w:val="bottom"/>
          </w:tcPr>
          <w:p w14:paraId="26C7045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r w:rsidRPr="00AD54FC">
              <w:rPr>
                <w:sz w:val="16"/>
                <w:szCs w:val="16"/>
                <w:lang w:val="es-ES_tradnl"/>
              </w:rPr>
              <w:t>2</w:t>
            </w:r>
          </w:p>
        </w:tc>
        <w:tc>
          <w:tcPr>
            <w:tcW w:w="408" w:type="dxa"/>
            <w:tcBorders>
              <w:bottom w:val="single" w:sz="4" w:space="0" w:color="auto"/>
            </w:tcBorders>
            <w:shd w:val="clear" w:color="auto" w:fill="auto"/>
            <w:vAlign w:val="bottom"/>
          </w:tcPr>
          <w:p w14:paraId="3BFDB1C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0E9A000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44FFD32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2553508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08447BE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4652C76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70B89CDF"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8" w:type="dxa"/>
            <w:tcBorders>
              <w:bottom w:val="single" w:sz="4" w:space="0" w:color="auto"/>
            </w:tcBorders>
            <w:shd w:val="clear" w:color="auto" w:fill="auto"/>
            <w:vAlign w:val="bottom"/>
          </w:tcPr>
          <w:p w14:paraId="75670AC6"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0D15403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034C982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2C75EFC7"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437C7671"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18D8B30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c>
          <w:tcPr>
            <w:tcW w:w="409" w:type="dxa"/>
            <w:tcBorders>
              <w:bottom w:val="single" w:sz="4" w:space="0" w:color="auto"/>
            </w:tcBorders>
            <w:shd w:val="clear" w:color="auto" w:fill="auto"/>
            <w:vAlign w:val="bottom"/>
          </w:tcPr>
          <w:p w14:paraId="4C58F58C"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 w:right="14"/>
              <w:jc w:val="right"/>
              <w:rPr>
                <w:spacing w:val="0"/>
                <w:w w:val="100"/>
                <w:sz w:val="16"/>
                <w:szCs w:val="16"/>
                <w:lang w:val="es-ES_tradnl"/>
              </w:rPr>
            </w:pPr>
          </w:p>
        </w:tc>
      </w:tr>
      <w:tr w:rsidR="0049190F" w:rsidRPr="00AD54FC" w14:paraId="43488971" w14:textId="77777777" w:rsidTr="0049190F">
        <w:tc>
          <w:tcPr>
            <w:tcW w:w="1260" w:type="dxa"/>
            <w:tcBorders>
              <w:top w:val="single" w:sz="4" w:space="0" w:color="auto"/>
              <w:bottom w:val="single" w:sz="12" w:space="0" w:color="auto"/>
            </w:tcBorders>
            <w:shd w:val="clear" w:color="auto" w:fill="auto"/>
            <w:vAlign w:val="bottom"/>
          </w:tcPr>
          <w:p w14:paraId="69015EE6" w14:textId="63B13933" w:rsidR="0049190F" w:rsidRPr="00AD54FC" w:rsidRDefault="0049190F" w:rsidP="00A435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6"/>
                <w:szCs w:val="16"/>
                <w:lang w:val="es-ES_tradnl"/>
              </w:rPr>
            </w:pPr>
            <w:r w:rsidRPr="00AD54FC">
              <w:rPr>
                <w:sz w:val="16"/>
                <w:szCs w:val="16"/>
                <w:lang w:val="es-ES_tradnl"/>
              </w:rPr>
              <w:tab/>
            </w:r>
            <w:r w:rsidRPr="00AD54FC">
              <w:rPr>
                <w:i/>
                <w:iCs/>
                <w:sz w:val="16"/>
                <w:szCs w:val="16"/>
                <w:lang w:val="es-ES_tradnl"/>
              </w:rPr>
              <w:t>Total</w:t>
            </w:r>
            <w:r w:rsidRPr="00AD54FC">
              <w:rPr>
                <w:sz w:val="16"/>
                <w:szCs w:val="16"/>
                <w:lang w:val="es-ES_tradnl"/>
              </w:rPr>
              <w:t xml:space="preserve"> </w:t>
            </w:r>
          </w:p>
        </w:tc>
        <w:tc>
          <w:tcPr>
            <w:tcW w:w="408" w:type="dxa"/>
            <w:tcBorders>
              <w:top w:val="single" w:sz="4" w:space="0" w:color="auto"/>
              <w:bottom w:val="single" w:sz="12" w:space="0" w:color="auto"/>
            </w:tcBorders>
            <w:shd w:val="clear" w:color="auto" w:fill="auto"/>
            <w:vAlign w:val="bottom"/>
          </w:tcPr>
          <w:p w14:paraId="74A2949D" w14:textId="0F583624"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1140</w:t>
            </w:r>
          </w:p>
        </w:tc>
        <w:tc>
          <w:tcPr>
            <w:tcW w:w="409" w:type="dxa"/>
            <w:tcBorders>
              <w:top w:val="single" w:sz="4" w:space="0" w:color="auto"/>
              <w:bottom w:val="single" w:sz="12" w:space="0" w:color="auto"/>
            </w:tcBorders>
            <w:shd w:val="clear" w:color="auto" w:fill="auto"/>
            <w:vAlign w:val="bottom"/>
          </w:tcPr>
          <w:p w14:paraId="1C2C3CEE"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753</w:t>
            </w:r>
          </w:p>
        </w:tc>
        <w:tc>
          <w:tcPr>
            <w:tcW w:w="409" w:type="dxa"/>
            <w:tcBorders>
              <w:top w:val="single" w:sz="4" w:space="0" w:color="auto"/>
              <w:bottom w:val="single" w:sz="12" w:space="0" w:color="auto"/>
            </w:tcBorders>
            <w:shd w:val="clear" w:color="auto" w:fill="auto"/>
            <w:vAlign w:val="bottom"/>
          </w:tcPr>
          <w:p w14:paraId="682A2D88" w14:textId="34AA965D"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1893</w:t>
            </w:r>
          </w:p>
        </w:tc>
        <w:tc>
          <w:tcPr>
            <w:tcW w:w="409" w:type="dxa"/>
            <w:tcBorders>
              <w:top w:val="single" w:sz="4" w:space="0" w:color="auto"/>
              <w:bottom w:val="single" w:sz="12" w:space="0" w:color="auto"/>
            </w:tcBorders>
            <w:shd w:val="clear" w:color="auto" w:fill="auto"/>
            <w:vAlign w:val="bottom"/>
          </w:tcPr>
          <w:p w14:paraId="3521A7A7" w14:textId="7F90B03D"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1170</w:t>
            </w:r>
          </w:p>
        </w:tc>
        <w:tc>
          <w:tcPr>
            <w:tcW w:w="409" w:type="dxa"/>
            <w:tcBorders>
              <w:top w:val="single" w:sz="4" w:space="0" w:color="auto"/>
              <w:bottom w:val="single" w:sz="12" w:space="0" w:color="auto"/>
            </w:tcBorders>
            <w:shd w:val="clear" w:color="auto" w:fill="auto"/>
            <w:vAlign w:val="bottom"/>
          </w:tcPr>
          <w:p w14:paraId="67298510"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748</w:t>
            </w:r>
          </w:p>
        </w:tc>
        <w:tc>
          <w:tcPr>
            <w:tcW w:w="409" w:type="dxa"/>
            <w:tcBorders>
              <w:top w:val="single" w:sz="4" w:space="0" w:color="auto"/>
              <w:bottom w:val="single" w:sz="12" w:space="0" w:color="auto"/>
            </w:tcBorders>
            <w:shd w:val="clear" w:color="auto" w:fill="auto"/>
            <w:vAlign w:val="bottom"/>
          </w:tcPr>
          <w:p w14:paraId="3EE29705" w14:textId="7E0AEB5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1918</w:t>
            </w:r>
          </w:p>
        </w:tc>
        <w:tc>
          <w:tcPr>
            <w:tcW w:w="409" w:type="dxa"/>
            <w:tcBorders>
              <w:top w:val="single" w:sz="4" w:space="0" w:color="auto"/>
              <w:bottom w:val="single" w:sz="12" w:space="0" w:color="auto"/>
            </w:tcBorders>
            <w:shd w:val="clear" w:color="auto" w:fill="auto"/>
            <w:vAlign w:val="bottom"/>
          </w:tcPr>
          <w:p w14:paraId="15C87D5A" w14:textId="5EBA2C3A"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1200</w:t>
            </w:r>
          </w:p>
        </w:tc>
        <w:tc>
          <w:tcPr>
            <w:tcW w:w="408" w:type="dxa"/>
            <w:tcBorders>
              <w:top w:val="single" w:sz="4" w:space="0" w:color="auto"/>
              <w:bottom w:val="single" w:sz="12" w:space="0" w:color="auto"/>
            </w:tcBorders>
            <w:shd w:val="clear" w:color="auto" w:fill="auto"/>
            <w:vAlign w:val="bottom"/>
          </w:tcPr>
          <w:p w14:paraId="477D93B3"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824</w:t>
            </w:r>
          </w:p>
        </w:tc>
        <w:tc>
          <w:tcPr>
            <w:tcW w:w="409" w:type="dxa"/>
            <w:tcBorders>
              <w:top w:val="single" w:sz="4" w:space="0" w:color="auto"/>
              <w:bottom w:val="single" w:sz="12" w:space="0" w:color="auto"/>
            </w:tcBorders>
            <w:shd w:val="clear" w:color="auto" w:fill="auto"/>
            <w:vAlign w:val="bottom"/>
          </w:tcPr>
          <w:p w14:paraId="37982819" w14:textId="5AC8782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2024</w:t>
            </w:r>
          </w:p>
        </w:tc>
        <w:tc>
          <w:tcPr>
            <w:tcW w:w="409" w:type="dxa"/>
            <w:tcBorders>
              <w:top w:val="single" w:sz="4" w:space="0" w:color="auto"/>
              <w:bottom w:val="single" w:sz="12" w:space="0" w:color="auto"/>
            </w:tcBorders>
            <w:shd w:val="clear" w:color="auto" w:fill="auto"/>
            <w:vAlign w:val="bottom"/>
          </w:tcPr>
          <w:p w14:paraId="63471A67" w14:textId="61054FE4"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1186</w:t>
            </w:r>
          </w:p>
        </w:tc>
        <w:tc>
          <w:tcPr>
            <w:tcW w:w="409" w:type="dxa"/>
            <w:tcBorders>
              <w:top w:val="single" w:sz="4" w:space="0" w:color="auto"/>
              <w:bottom w:val="single" w:sz="12" w:space="0" w:color="auto"/>
            </w:tcBorders>
            <w:shd w:val="clear" w:color="auto" w:fill="auto"/>
            <w:vAlign w:val="bottom"/>
          </w:tcPr>
          <w:p w14:paraId="39CCBAA9"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845</w:t>
            </w:r>
          </w:p>
        </w:tc>
        <w:tc>
          <w:tcPr>
            <w:tcW w:w="409" w:type="dxa"/>
            <w:tcBorders>
              <w:top w:val="single" w:sz="4" w:space="0" w:color="auto"/>
              <w:bottom w:val="single" w:sz="12" w:space="0" w:color="auto"/>
            </w:tcBorders>
            <w:shd w:val="clear" w:color="auto" w:fill="auto"/>
            <w:vAlign w:val="bottom"/>
          </w:tcPr>
          <w:p w14:paraId="7E21A5AE" w14:textId="01DB67E1"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2031</w:t>
            </w:r>
          </w:p>
        </w:tc>
        <w:tc>
          <w:tcPr>
            <w:tcW w:w="409" w:type="dxa"/>
            <w:tcBorders>
              <w:top w:val="single" w:sz="4" w:space="0" w:color="auto"/>
              <w:bottom w:val="single" w:sz="12" w:space="0" w:color="auto"/>
            </w:tcBorders>
            <w:shd w:val="clear" w:color="auto" w:fill="auto"/>
            <w:vAlign w:val="bottom"/>
          </w:tcPr>
          <w:p w14:paraId="6BDDFE91" w14:textId="6772881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1162</w:t>
            </w:r>
          </w:p>
        </w:tc>
        <w:tc>
          <w:tcPr>
            <w:tcW w:w="409" w:type="dxa"/>
            <w:tcBorders>
              <w:top w:val="single" w:sz="4" w:space="0" w:color="auto"/>
              <w:bottom w:val="single" w:sz="12" w:space="0" w:color="auto"/>
            </w:tcBorders>
            <w:shd w:val="clear" w:color="auto" w:fill="auto"/>
            <w:vAlign w:val="bottom"/>
          </w:tcPr>
          <w:p w14:paraId="3E7BF258"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874</w:t>
            </w:r>
          </w:p>
        </w:tc>
        <w:tc>
          <w:tcPr>
            <w:tcW w:w="408" w:type="dxa"/>
            <w:tcBorders>
              <w:top w:val="single" w:sz="4" w:space="0" w:color="auto"/>
              <w:bottom w:val="single" w:sz="12" w:space="0" w:color="auto"/>
            </w:tcBorders>
            <w:shd w:val="clear" w:color="auto" w:fill="auto"/>
            <w:vAlign w:val="bottom"/>
          </w:tcPr>
          <w:p w14:paraId="340CE293" w14:textId="0784B421"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2036</w:t>
            </w:r>
          </w:p>
        </w:tc>
        <w:tc>
          <w:tcPr>
            <w:tcW w:w="409" w:type="dxa"/>
            <w:tcBorders>
              <w:top w:val="single" w:sz="4" w:space="0" w:color="auto"/>
              <w:bottom w:val="single" w:sz="12" w:space="0" w:color="auto"/>
            </w:tcBorders>
            <w:shd w:val="clear" w:color="auto" w:fill="auto"/>
            <w:vAlign w:val="bottom"/>
          </w:tcPr>
          <w:p w14:paraId="6D5CFB9D" w14:textId="4AF06528"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1173</w:t>
            </w:r>
          </w:p>
        </w:tc>
        <w:tc>
          <w:tcPr>
            <w:tcW w:w="409" w:type="dxa"/>
            <w:tcBorders>
              <w:top w:val="single" w:sz="4" w:space="0" w:color="auto"/>
              <w:bottom w:val="single" w:sz="12" w:space="0" w:color="auto"/>
            </w:tcBorders>
            <w:shd w:val="clear" w:color="auto" w:fill="auto"/>
            <w:vAlign w:val="bottom"/>
          </w:tcPr>
          <w:p w14:paraId="232DAA8D"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906</w:t>
            </w:r>
          </w:p>
        </w:tc>
        <w:tc>
          <w:tcPr>
            <w:tcW w:w="409" w:type="dxa"/>
            <w:tcBorders>
              <w:top w:val="single" w:sz="4" w:space="0" w:color="auto"/>
              <w:bottom w:val="single" w:sz="12" w:space="0" w:color="auto"/>
            </w:tcBorders>
            <w:shd w:val="clear" w:color="auto" w:fill="auto"/>
            <w:vAlign w:val="bottom"/>
          </w:tcPr>
          <w:p w14:paraId="29F4A815" w14:textId="233F089F"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2079</w:t>
            </w:r>
          </w:p>
        </w:tc>
        <w:tc>
          <w:tcPr>
            <w:tcW w:w="409" w:type="dxa"/>
            <w:tcBorders>
              <w:top w:val="single" w:sz="4" w:space="0" w:color="auto"/>
              <w:bottom w:val="single" w:sz="12" w:space="0" w:color="auto"/>
            </w:tcBorders>
            <w:shd w:val="clear" w:color="auto" w:fill="auto"/>
            <w:vAlign w:val="bottom"/>
          </w:tcPr>
          <w:p w14:paraId="29E104B2" w14:textId="77777777"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903</w:t>
            </w:r>
          </w:p>
        </w:tc>
        <w:tc>
          <w:tcPr>
            <w:tcW w:w="409" w:type="dxa"/>
            <w:tcBorders>
              <w:top w:val="single" w:sz="4" w:space="0" w:color="auto"/>
              <w:bottom w:val="single" w:sz="12" w:space="0" w:color="auto"/>
            </w:tcBorders>
            <w:shd w:val="clear" w:color="auto" w:fill="auto"/>
            <w:vAlign w:val="bottom"/>
          </w:tcPr>
          <w:p w14:paraId="387DFD0D" w14:textId="58374114"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742</w:t>
            </w:r>
          </w:p>
        </w:tc>
        <w:tc>
          <w:tcPr>
            <w:tcW w:w="409" w:type="dxa"/>
            <w:tcBorders>
              <w:top w:val="single" w:sz="4" w:space="0" w:color="auto"/>
              <w:bottom w:val="single" w:sz="12" w:space="0" w:color="auto"/>
            </w:tcBorders>
            <w:shd w:val="clear" w:color="auto" w:fill="auto"/>
            <w:vAlign w:val="bottom"/>
          </w:tcPr>
          <w:p w14:paraId="5461B423" w14:textId="00269BB0" w:rsidR="0049190F" w:rsidRPr="00AD54FC" w:rsidRDefault="0049190F" w:rsidP="00491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 w:right="14"/>
              <w:jc w:val="right"/>
              <w:rPr>
                <w:b/>
                <w:spacing w:val="0"/>
                <w:w w:val="100"/>
                <w:sz w:val="16"/>
                <w:szCs w:val="16"/>
                <w:lang w:val="es-ES_tradnl"/>
              </w:rPr>
            </w:pPr>
            <w:r w:rsidRPr="00AD54FC">
              <w:rPr>
                <w:b/>
                <w:bCs/>
                <w:sz w:val="16"/>
                <w:szCs w:val="16"/>
                <w:lang w:val="es-ES_tradnl"/>
              </w:rPr>
              <w:t>1645</w:t>
            </w:r>
          </w:p>
        </w:tc>
      </w:tr>
    </w:tbl>
    <w:p w14:paraId="478BE0FC" w14:textId="29E8A2BA" w:rsidR="003D1CF4" w:rsidRPr="00AD54FC" w:rsidRDefault="003D1CF4" w:rsidP="0049190F">
      <w:pPr>
        <w:pStyle w:val="SingleTxt"/>
        <w:spacing w:after="0" w:line="120" w:lineRule="exact"/>
        <w:rPr>
          <w:sz w:val="10"/>
          <w:lang w:val="es-ES_tradnl"/>
        </w:rPr>
      </w:pPr>
    </w:p>
    <w:p w14:paraId="5CB784B9" w14:textId="076B8E2B" w:rsidR="0049190F" w:rsidRPr="00AD54FC" w:rsidRDefault="0049190F" w:rsidP="0049190F">
      <w:pPr>
        <w:pStyle w:val="SingleTxt"/>
        <w:spacing w:after="0" w:line="120" w:lineRule="exact"/>
        <w:rPr>
          <w:sz w:val="10"/>
          <w:lang w:val="es-ES_tradnl"/>
        </w:rPr>
      </w:pPr>
    </w:p>
    <w:p w14:paraId="5C42FAD6" w14:textId="77777777" w:rsidR="003D1CF4" w:rsidRPr="00AD54FC" w:rsidRDefault="003D1CF4" w:rsidP="003D1CF4">
      <w:pPr>
        <w:pStyle w:val="SingleTxt"/>
        <w:rPr>
          <w:lang w:val="es-ES_tradnl"/>
        </w:rPr>
      </w:pPr>
      <w:r w:rsidRPr="00AD54FC">
        <w:rPr>
          <w:lang w:val="es-ES_tradnl"/>
        </w:rPr>
        <w:t>54.</w:t>
      </w:r>
      <w:r w:rsidRPr="00AD54FC">
        <w:rPr>
          <w:lang w:val="es-ES_tradnl"/>
        </w:rPr>
        <w:tab/>
        <w:t>El Ministerio de Educación fomenta la aplicación de la política de prevención y gestión de los embarazos de alumnas en las escuelas a través de:</w:t>
      </w:r>
    </w:p>
    <w:p w14:paraId="109DD509" w14:textId="1663FEFF"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 xml:space="preserve">Capacitación adicional del Marco Nacional de Escuelas Seguras de Namibia, impartiendo formación de formadores de formadores a los consejeros escolares regionales y al Comité Regional de Ayuda a la Educación, y en la región de </w:t>
      </w:r>
      <w:proofErr w:type="spellStart"/>
      <w:r w:rsidRPr="00AD54FC">
        <w:rPr>
          <w:lang w:val="es-ES_tradnl"/>
        </w:rPr>
        <w:t>Kavango</w:t>
      </w:r>
      <w:proofErr w:type="spellEnd"/>
      <w:r w:rsidRPr="00AD54FC">
        <w:rPr>
          <w:lang w:val="es-ES_tradnl"/>
        </w:rPr>
        <w:t xml:space="preserve"> Oriental; </w:t>
      </w:r>
    </w:p>
    <w:p w14:paraId="12028653" w14:textId="55004021"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El Ministerio ha suscrito un memorando de entendimiento con el Ministerio de Sanidad y Servicios Sociales, como principales ministerios encargados del programa de salud escolar en el país. Como resultado, se ha creado el grupo de trabajo nacional sobre salud escolar, de carácter multisectorial, y los grupos de trabajo regionales sobre salud escolar en las 14 regiones, que promueven la estrecha colaboración entre los sectores, el aprovechamiento de los recursos, la planificación y la coordinación de la ejecución de las actividades de salud escolar en las regiones; se ha revisado el plan de estudios de competencias para la vida (del 4º al 12º curso) y se ha incorporado plenamente la educación sexual integral en todo el plan de estudios;</w:t>
      </w:r>
    </w:p>
    <w:p w14:paraId="05E7DFA5" w14:textId="5175CEB3"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Capacitación regional en materia de formación de formadores: el grupo de trabajo nacional sobre salud escolar y los grupos de trabajo regionales sobre salud escolar ya están en marcha (mayo a julio de 2021) en todas las regiones;</w:t>
      </w:r>
    </w:p>
    <w:p w14:paraId="2B7B66FA" w14:textId="4DA92403"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El Ministerio ha llevado a cabo, junto con el Ministerio de Sanidad, una evaluación de la gestión de la salud y la higiene menstruales en Namibia (2020), con el fin de determinar si se trata de un factor impulsor de la asistencia o el abandono escolar, así como para analizar la relación entre el acceso, el conocimiento y los embarazos.</w:t>
      </w:r>
    </w:p>
    <w:p w14:paraId="382A5AD7" w14:textId="77777777" w:rsidR="003D1CF4" w:rsidRPr="00AD54FC" w:rsidRDefault="003D1CF4" w:rsidP="003D1CF4">
      <w:pPr>
        <w:pStyle w:val="SingleTxt"/>
        <w:rPr>
          <w:lang w:val="es-ES_tradnl"/>
        </w:rPr>
      </w:pPr>
      <w:r w:rsidRPr="00AD54FC">
        <w:rPr>
          <w:lang w:val="es-ES_tradnl"/>
        </w:rPr>
        <w:t>55.</w:t>
      </w:r>
      <w:r w:rsidRPr="00AD54FC">
        <w:rPr>
          <w:lang w:val="es-ES_tradnl"/>
        </w:rPr>
        <w:tab/>
        <w:t>Prosigue la aplicación de la política de prevención y gestión de los embarazos de alumnas en el sector educativo, que hace especial hincapié en la prevención, así como en el apoyo y el estímulo a los alumnos que son padres para que completen su educación. Esta política permite que las alumnas embarazadas permanezcan en la escuela hasta cuatro semanas antes de la fecha prevista de parto, lo cual alienta a las alumnas a seguir con sus clases y deberes, y facilita que la madre se reincorpore posteriormente a la escuela. La aplicación de la Política sobre el Embarazo en la Adolescencia de 2009, relativa a la prevención y la gestión de los embarazos, se realiza a través de:</w:t>
      </w:r>
    </w:p>
    <w:p w14:paraId="4BEBB1A9" w14:textId="761300C4"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Actividades de promoción;</w:t>
      </w:r>
    </w:p>
    <w:p w14:paraId="2C0B8C25" w14:textId="12413643"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Formación adicional;</w:t>
      </w:r>
    </w:p>
    <w:p w14:paraId="520C228F" w14:textId="10B5AD14"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 xml:space="preserve">Puesta en marcha del plan de seguimiento; </w:t>
      </w:r>
    </w:p>
    <w:p w14:paraId="3696ADDA" w14:textId="1B04FBDD"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 xml:space="preserve">El Ministerio está evaluando actualmente los efectos de esta política, con el fin de revisarla para mejorar su aplicación. </w:t>
      </w:r>
    </w:p>
    <w:p w14:paraId="4D985F3C" w14:textId="77777777" w:rsidR="003D1CF4" w:rsidRPr="00AD54FC" w:rsidRDefault="003D1CF4" w:rsidP="003D1CF4">
      <w:pPr>
        <w:pStyle w:val="SingleTxt"/>
        <w:rPr>
          <w:lang w:val="es-ES_tradnl"/>
        </w:rPr>
      </w:pPr>
      <w:r w:rsidRPr="00AD54FC">
        <w:rPr>
          <w:lang w:val="es-ES_tradnl"/>
        </w:rPr>
        <w:t>56.</w:t>
      </w:r>
      <w:r w:rsidRPr="00AD54FC">
        <w:rPr>
          <w:lang w:val="es-ES_tradnl"/>
        </w:rPr>
        <w:tab/>
        <w:t xml:space="preserve">La Ley de Educación de 2001 ha sido derogada y sustituida por la Ley de Educación Básica de 2020 (Ley núm. 3 de 2020). La Ley de Educación Básica de 2020 prohíbe todas las formas de violencia, incluido el castigo corporal, en cualquier entorno escolar. Asimismo, la Ley de Atención y Protección de la Infancia de 2015 (Ley núm. 3 de 2015) prohíbe los castigos corporales en el hogar. Para implementar las dos leyes, se han adoptado las siguientes medidas: </w:t>
      </w:r>
    </w:p>
    <w:p w14:paraId="698A4EDF" w14:textId="4F41A3EC"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Formación de todos los docentes del Marco Nacional de Escuelas Seguras de Namibia: reforzar la disciplina positiva;</w:t>
      </w:r>
    </w:p>
    <w:p w14:paraId="7A00A530" w14:textId="65600CD3"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Elaboración de circulares para hacer cumplir las leyes y políticas;</w:t>
      </w:r>
    </w:p>
    <w:p w14:paraId="05CE1D06" w14:textId="77627C51"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Normas escolares – La Ley de Educación de 2001 deja muy claro que las normas escolares y el código de conducta se elaboran de forma consultiva y con la aprobación de los directores regionales. No permiten ni consienten ningún tipo de violencia, ni tampoco el escarnio ni la culpabilización de las víctimas, y protegen los derechos de los alumnos y los profesores;</w:t>
      </w:r>
    </w:p>
    <w:p w14:paraId="4F3C28F3" w14:textId="63F5EEBB" w:rsidR="003D1CF4" w:rsidRPr="00AD54FC" w:rsidRDefault="0049190F" w:rsidP="0049190F">
      <w:pPr>
        <w:pStyle w:val="SingleTxt"/>
        <w:tabs>
          <w:tab w:val="right" w:pos="1685"/>
        </w:tabs>
        <w:ind w:left="1742" w:hanging="475"/>
        <w:rPr>
          <w:lang w:val="es-ES_tradnl"/>
        </w:rPr>
      </w:pPr>
      <w:r w:rsidRPr="00AD54FC">
        <w:rPr>
          <w:lang w:val="es-ES_tradnl"/>
        </w:rPr>
        <w:tab/>
      </w:r>
      <w:r w:rsidR="001B1F44" w:rsidRPr="00AD54FC">
        <w:rPr>
          <w:lang w:val="es-ES"/>
        </w:rPr>
        <w:t>•</w:t>
      </w:r>
      <w:r w:rsidRPr="00AD54FC">
        <w:rPr>
          <w:lang w:val="es-ES_tradnl"/>
        </w:rPr>
        <w:tab/>
        <w:t>Conducta del profesorado – El Ministerio ha seguido el reglamento del personal de la administración pública en cuanto a los procedimientos disciplinarios para todos los docentes implicados en una conducta inapropiada con los alumnos. A los profesores declarados culpables se les aplicaron las medidas disciplinarias pertinentes de acuerdo con el citado reglamento del personal de la administración pública. Los profesores que renunciaron a sus puestos durante el proceso disciplinario quedan registrados y no podrán ser considerados para un empleo en el Ministerio durante ocho años.</w:t>
      </w:r>
    </w:p>
    <w:p w14:paraId="51FBCDD7" w14:textId="77777777" w:rsidR="003D1CF4" w:rsidRPr="00AD54FC" w:rsidRDefault="003D1CF4" w:rsidP="003D1CF4">
      <w:pPr>
        <w:pStyle w:val="SingleTxt"/>
        <w:rPr>
          <w:lang w:val="es-ES_tradnl"/>
        </w:rPr>
      </w:pPr>
      <w:r w:rsidRPr="00AD54FC">
        <w:rPr>
          <w:lang w:val="es-ES_tradnl"/>
        </w:rPr>
        <w:t>57.</w:t>
      </w:r>
      <w:r w:rsidRPr="00AD54FC">
        <w:rPr>
          <w:lang w:val="es-ES_tradnl"/>
        </w:rPr>
        <w:tab/>
        <w:t>Se han adoptado medidas para afrontar la discriminación, el acoso y la violencia denunciados, en particular los que sufren las niñas san en las escuelas:</w:t>
      </w:r>
    </w:p>
    <w:p w14:paraId="44148999" w14:textId="52762390" w:rsidR="003D1CF4" w:rsidRPr="00AD54FC" w:rsidRDefault="0049190F" w:rsidP="0049190F">
      <w:pPr>
        <w:pStyle w:val="SingleTxt"/>
        <w:tabs>
          <w:tab w:val="right" w:pos="1685"/>
        </w:tabs>
        <w:ind w:left="1742" w:hanging="475"/>
        <w:rPr>
          <w:spacing w:val="2"/>
          <w:w w:val="102"/>
          <w:lang w:val="es-ES_tradnl"/>
        </w:rPr>
      </w:pPr>
      <w:r w:rsidRPr="00AD54FC">
        <w:rPr>
          <w:lang w:val="es-ES_tradnl"/>
        </w:rPr>
        <w:tab/>
      </w:r>
      <w:r w:rsidR="001B1F44" w:rsidRPr="00AD54FC">
        <w:rPr>
          <w:lang w:val="es-ES"/>
        </w:rPr>
        <w:t>•</w:t>
      </w:r>
      <w:r w:rsidRPr="00AD54FC">
        <w:rPr>
          <w:lang w:val="es-ES_tradnl"/>
        </w:rPr>
        <w:tab/>
        <w:t xml:space="preserve">El Ministerio de Educación, Arte y Cultura dispone de varios programas que dotan a los alumnos de las habilidades, las actitudes y los conocimientos adecuados para protegerse y llevar una vida productiva. El plan de estudios trata de crear una sociedad tolerante, respetuosa y pacífica. La violencia de género es una cuestión transversal que se aborda desde los múltiples puntos de vista del conocimiento factual en varias asignaturas orientadas a los contenidos y a las aptitudes. El Ministerio también ha desarrollado el Marco Nacional de Escuelas Seguras de Namibia (NSSF, por sus siglas en inglés) para promover la salud, la seguridad y el bienestar de los alumnos y otras partes educativas interesadas de Namibia. El programa tiene por objeto ayudar a los interesados en la salud y la seguridad en las escuelas a aplicar prácticas y programas seguros en las mismas. Además, proporciona a los profesores y al resto del personal escolar herramientas e ideas prácticas para mejorar los niveles de seguridad en las escuelas de forma gradual y les orienta sobre cómo promover comunidades escolares seguras y solidarias. </w:t>
      </w:r>
    </w:p>
    <w:p w14:paraId="23D7F2D5" w14:textId="77777777" w:rsidR="0049190F" w:rsidRPr="00AD54FC" w:rsidRDefault="0049190F" w:rsidP="0049190F">
      <w:pPr>
        <w:pStyle w:val="SingleTxt"/>
        <w:spacing w:after="0" w:line="120" w:lineRule="exact"/>
        <w:rPr>
          <w:sz w:val="10"/>
          <w:lang w:val="es-ES_tradnl"/>
        </w:rPr>
      </w:pPr>
    </w:p>
    <w:p w14:paraId="3BB1B859" w14:textId="77777777" w:rsidR="0049190F" w:rsidRPr="00AD54FC" w:rsidRDefault="0049190F" w:rsidP="0049190F">
      <w:pPr>
        <w:pStyle w:val="SingleTxt"/>
        <w:spacing w:after="0" w:line="120" w:lineRule="exact"/>
        <w:rPr>
          <w:sz w:val="10"/>
          <w:lang w:val="es-ES_tradnl"/>
        </w:rPr>
      </w:pPr>
    </w:p>
    <w:p w14:paraId="62EF79E9" w14:textId="2E8B93CC" w:rsidR="003D1CF4" w:rsidRPr="00AD54FC" w:rsidRDefault="003D1CF4" w:rsidP="0049190F">
      <w:pPr>
        <w:pStyle w:val="H1"/>
        <w:ind w:right="1260"/>
        <w:rPr>
          <w:lang w:val="es-ES_tradnl"/>
        </w:rPr>
      </w:pPr>
      <w:r w:rsidRPr="00AD54FC">
        <w:rPr>
          <w:lang w:val="es-ES_tradnl"/>
        </w:rPr>
        <w:tab/>
      </w:r>
      <w:r w:rsidRPr="00AD54FC">
        <w:rPr>
          <w:lang w:val="es-ES_tradnl"/>
        </w:rPr>
        <w:tab/>
      </w:r>
      <w:r w:rsidRPr="00AD54FC">
        <w:rPr>
          <w:bCs/>
          <w:lang w:val="es-ES_tradnl"/>
        </w:rPr>
        <w:t>Empleo</w:t>
      </w:r>
    </w:p>
    <w:p w14:paraId="33D8BD7C" w14:textId="77777777" w:rsidR="0049190F" w:rsidRPr="00AD54FC" w:rsidRDefault="0049190F" w:rsidP="0049190F">
      <w:pPr>
        <w:pStyle w:val="SingleTxt"/>
        <w:spacing w:after="0" w:line="120" w:lineRule="exact"/>
        <w:rPr>
          <w:sz w:val="10"/>
          <w:lang w:val="es-ES_tradnl"/>
        </w:rPr>
      </w:pPr>
    </w:p>
    <w:p w14:paraId="5736A417" w14:textId="77777777" w:rsidR="0049190F" w:rsidRPr="00AD54FC" w:rsidRDefault="0049190F" w:rsidP="0049190F">
      <w:pPr>
        <w:pStyle w:val="SingleTxt"/>
        <w:spacing w:after="0" w:line="120" w:lineRule="exact"/>
        <w:rPr>
          <w:sz w:val="10"/>
          <w:lang w:val="es-ES_tradnl"/>
        </w:rPr>
      </w:pPr>
    </w:p>
    <w:p w14:paraId="1824DCDA" w14:textId="5B0BE1EA" w:rsidR="003D1CF4" w:rsidRPr="00AD54FC" w:rsidRDefault="003D1CF4" w:rsidP="003D1CF4">
      <w:pPr>
        <w:pStyle w:val="SingleTxt"/>
        <w:rPr>
          <w:lang w:val="es-ES_tradnl"/>
        </w:rPr>
      </w:pPr>
      <w:r w:rsidRPr="00AD54FC">
        <w:rPr>
          <w:lang w:val="es-ES_tradnl"/>
        </w:rPr>
        <w:t>58.</w:t>
      </w:r>
      <w:r w:rsidRPr="00AD54FC">
        <w:rPr>
          <w:lang w:val="es-ES_tradnl"/>
        </w:rPr>
        <w:tab/>
        <w:t>En vista de las anteriores observaciones finales del Comité (</w:t>
      </w:r>
      <w:hyperlink r:id="rId17" w:history="1">
        <w:r w:rsidRPr="00AD54FC">
          <w:rPr>
            <w:rStyle w:val="Hyperlink"/>
            <w:lang w:val="es-ES_tradnl"/>
          </w:rPr>
          <w:t>CEDAW/C/NAM/CO/4-5</w:t>
        </w:r>
      </w:hyperlink>
      <w:r w:rsidRPr="00AD54FC">
        <w:rPr>
          <w:lang w:val="es-ES_tradnl"/>
        </w:rPr>
        <w:t>, párr. 32), en las que se expresaba preocupación por los elevados niveles de desempleo entre las mujeres, y el reconocimiento por el Estado parte de que el desempleo sigue siendo un problema, en particular entre las mujeres en edad de trabajar, sírvanse proporcionar información concreta sobre las medidas adoptadas.</w:t>
      </w:r>
    </w:p>
    <w:p w14:paraId="59395EAD" w14:textId="77777777" w:rsidR="003D1CF4" w:rsidRPr="00AD54FC" w:rsidRDefault="003D1CF4" w:rsidP="003D1CF4">
      <w:pPr>
        <w:pStyle w:val="SingleTxt"/>
        <w:rPr>
          <w:lang w:val="es-ES_tradnl"/>
        </w:rPr>
      </w:pPr>
      <w:r w:rsidRPr="00AD54FC">
        <w:rPr>
          <w:lang w:val="es-ES_tradnl"/>
        </w:rPr>
        <w:t>59.</w:t>
      </w:r>
      <w:r w:rsidRPr="00AD54FC">
        <w:rPr>
          <w:lang w:val="es-ES_tradnl"/>
        </w:rPr>
        <w:tab/>
        <w:t>La Ley de Enmienda de la Ley de Acción Afirmativa (Empleo) (Ley núm. 6 de 2007) exige que los empleadores pongan en práctica medidas positivas para fomentar las oportunidades de empleo de las personas de los grupos designados, entre las que pueden incluirse medidas tales como:</w:t>
      </w:r>
    </w:p>
    <w:p w14:paraId="08F1F7A1" w14:textId="46B55AF4" w:rsidR="003D1CF4" w:rsidRPr="00AD54FC" w:rsidRDefault="0049190F" w:rsidP="0049190F">
      <w:pPr>
        <w:pStyle w:val="SingleTxt"/>
        <w:tabs>
          <w:tab w:val="right" w:pos="1685"/>
        </w:tabs>
        <w:ind w:left="1742" w:hanging="475"/>
        <w:rPr>
          <w:lang w:val="es-ES_tradnl"/>
        </w:rPr>
      </w:pPr>
      <w:r w:rsidRPr="00AD54FC">
        <w:rPr>
          <w:lang w:val="es-ES_tradnl"/>
        </w:rPr>
        <w:tab/>
      </w:r>
      <w:r w:rsidR="007C6D24" w:rsidRPr="00AD54FC">
        <w:rPr>
          <w:lang w:val="es-ES"/>
        </w:rPr>
        <w:t>•</w:t>
      </w:r>
      <w:r w:rsidRPr="00AD54FC">
        <w:rPr>
          <w:lang w:val="es-ES_tradnl"/>
        </w:rPr>
        <w:tab/>
        <w:t>garantizar que los programas de formación existentes contribuyan a promover los objetivos de esta ley;</w:t>
      </w:r>
    </w:p>
    <w:p w14:paraId="45B59ABA" w14:textId="12C2F9A3" w:rsidR="003D1CF4" w:rsidRPr="00AD54FC" w:rsidRDefault="0049190F" w:rsidP="0049190F">
      <w:pPr>
        <w:pStyle w:val="SingleTxt"/>
        <w:tabs>
          <w:tab w:val="right" w:pos="1685"/>
        </w:tabs>
        <w:ind w:left="1742" w:hanging="475"/>
        <w:rPr>
          <w:lang w:val="es-ES_tradnl"/>
        </w:rPr>
      </w:pPr>
      <w:r w:rsidRPr="00AD54FC">
        <w:rPr>
          <w:lang w:val="es-ES_tradnl"/>
        </w:rPr>
        <w:tab/>
      </w:r>
      <w:r w:rsidR="007C6D24" w:rsidRPr="00AD54FC">
        <w:rPr>
          <w:lang w:val="es-ES"/>
        </w:rPr>
        <w:t>•</w:t>
      </w:r>
      <w:r w:rsidRPr="00AD54FC">
        <w:rPr>
          <w:lang w:val="es-ES_tradnl"/>
        </w:rPr>
        <w:tab/>
        <w:t>crear nuevos programas de formación destinados a promover los objetivos de esta ley; y dar un trato preferencial en las decisiones laborales a las personas debidamente cualificadas de los grupos designados con el fin de velar por que dichas personas estén representadas de forma equitativa en la fuerza de trabajo de un empleador relevante.</w:t>
      </w:r>
    </w:p>
    <w:p w14:paraId="62FDB719" w14:textId="0F60E3CE" w:rsidR="003D1CF4" w:rsidRPr="00AD54FC" w:rsidRDefault="003D1CF4" w:rsidP="003D1CF4">
      <w:pPr>
        <w:pStyle w:val="SingleTxt"/>
        <w:rPr>
          <w:lang w:val="es-ES_tradnl"/>
        </w:rPr>
      </w:pPr>
      <w:r w:rsidRPr="00AD54FC">
        <w:rPr>
          <w:lang w:val="es-ES_tradnl"/>
        </w:rPr>
        <w:t>60.</w:t>
      </w:r>
      <w:r w:rsidRPr="00AD54FC">
        <w:rPr>
          <w:lang w:val="es-ES_tradnl"/>
        </w:rPr>
        <w:tab/>
        <w:t>Concluyeron las consultas con las partes interesadas y el Consejo Consultivo Laboral, de carácter tripartito, aconsejó al Ministerio en 2019 que Namibia podía ratificar el Convenio. En octubre de 2020, el Parlamento de Namibia ratificó el Convenio y el Estado parte depositó el instrumento ante la Organización Internacional del Trabajo (OIT) en diciembre de 2020. El Convenio es vinculante para Namibia desde el 9 de diciembre de 2021.</w:t>
      </w:r>
    </w:p>
    <w:p w14:paraId="3A6618A4" w14:textId="2B62BD09" w:rsidR="003D1CF4" w:rsidRPr="00AD54FC" w:rsidRDefault="003D1CF4" w:rsidP="003D1CF4">
      <w:pPr>
        <w:pStyle w:val="SingleTxt"/>
        <w:rPr>
          <w:lang w:val="es-ES_tradnl"/>
        </w:rPr>
      </w:pPr>
      <w:r w:rsidRPr="00AD54FC">
        <w:rPr>
          <w:lang w:val="es-ES_tradnl"/>
        </w:rPr>
        <w:t>61.</w:t>
      </w:r>
      <w:r w:rsidRPr="00AD54FC">
        <w:rPr>
          <w:lang w:val="es-ES_tradnl"/>
        </w:rPr>
        <w:tab/>
        <w:t>El Ministerio de Trabajo, Relaciones Laborales y Creación de Empleo revisó el salario mínimo con efecto a partir del 1 de octubre de 2018, con un aumento del 4,1 % basado en la tasa de inflación más un 1 %. Así, el importe del salario mínimo mensual se incrementó de 1502,05 dólares de Namibia a 1564,39 dólares de Namibia.</w:t>
      </w:r>
    </w:p>
    <w:p w14:paraId="79CC2E41" w14:textId="77777777" w:rsidR="003D1CF4" w:rsidRPr="00AD54FC" w:rsidRDefault="003D1CF4" w:rsidP="003D1CF4">
      <w:pPr>
        <w:pStyle w:val="SingleTxt"/>
        <w:rPr>
          <w:lang w:val="es-ES_tradnl"/>
        </w:rPr>
      </w:pPr>
      <w:r w:rsidRPr="00AD54FC">
        <w:rPr>
          <w:lang w:val="es-ES_tradnl"/>
        </w:rPr>
        <w:t>62.</w:t>
      </w:r>
      <w:r w:rsidRPr="00AD54FC">
        <w:rPr>
          <w:lang w:val="es-ES_tradnl"/>
        </w:rPr>
        <w:tab/>
        <w:t xml:space="preserve">El Ministerio está garantizando el cumplimiento de esta medida mediante inspecciones de acuerdo con el plan anual y llevando a cabo campañas de sensibilización en diferentes idiomas a través de las radios. La mayoría de las trabajadoras domésticas conocen ya el importe del salario mínimo aprobado. </w:t>
      </w:r>
    </w:p>
    <w:p w14:paraId="29177C49" w14:textId="389B8BD5" w:rsidR="003D1CF4" w:rsidRPr="00AD54FC" w:rsidRDefault="003D1CF4" w:rsidP="003D1CF4">
      <w:pPr>
        <w:pStyle w:val="SingleTxt"/>
        <w:rPr>
          <w:lang w:val="es-ES_tradnl"/>
        </w:rPr>
      </w:pPr>
      <w:r w:rsidRPr="00AD54FC">
        <w:rPr>
          <w:lang w:val="es-ES_tradnl"/>
        </w:rPr>
        <w:t>63.</w:t>
      </w:r>
      <w:r w:rsidRPr="00AD54FC">
        <w:rPr>
          <w:lang w:val="es-ES_tradnl"/>
        </w:rPr>
        <w:tab/>
        <w:t xml:space="preserve">El grado de cumplimiento, según las últimas conclusiones, es mayor en las zonas urbanas que en las rurales. El Ministerio está redoblando sus campañas de sensibilización en las zonas rurales para mejorar este aspecto. Además, los empleadores de trabajadoras domésticas están obligados a presentar registros y declaraciones anuales. </w:t>
      </w:r>
    </w:p>
    <w:p w14:paraId="0507BBFD" w14:textId="0A1AC091" w:rsidR="003D1CF4" w:rsidRPr="00AD54FC" w:rsidRDefault="003D1CF4" w:rsidP="003D1CF4">
      <w:pPr>
        <w:pStyle w:val="SingleTxt"/>
        <w:rPr>
          <w:lang w:val="es-ES_tradnl"/>
        </w:rPr>
      </w:pPr>
      <w:r w:rsidRPr="00AD54FC">
        <w:rPr>
          <w:lang w:val="es-ES_tradnl"/>
        </w:rPr>
        <w:t>64.</w:t>
      </w:r>
      <w:r w:rsidRPr="00AD54FC">
        <w:rPr>
          <w:lang w:val="es-ES_tradnl"/>
        </w:rPr>
        <w:tab/>
        <w:t>Se precisa la siguiente información: datos detallados de los empleadores, nacionalidad de la empleada, fecha del empleo, carácter permanente o temporal del empleo, horas de trabajo al día, días de trabajo a la semana, sueldo base, número de días de vacaciones disfrutados desde noviembre del último periodo de notificación y si se ha terminado el empleo. La información recabada puede ser recopilada y analizada en cualquier momento por el Ministerio. La información también facilita el acceso a los locales de los empleadores durante las inspecciones.</w:t>
      </w:r>
    </w:p>
    <w:p w14:paraId="14C3869F" w14:textId="213AA209" w:rsidR="003D1CF4" w:rsidRPr="00AD54FC" w:rsidRDefault="003D1CF4" w:rsidP="003D1CF4">
      <w:pPr>
        <w:pStyle w:val="SingleTxt"/>
        <w:rPr>
          <w:lang w:val="es-ES_tradnl"/>
        </w:rPr>
      </w:pPr>
      <w:r w:rsidRPr="00AD54FC">
        <w:rPr>
          <w:lang w:val="es-ES_tradnl"/>
        </w:rPr>
        <w:t>65.</w:t>
      </w:r>
      <w:r w:rsidRPr="00AD54FC">
        <w:rPr>
          <w:lang w:val="es-ES_tradnl"/>
        </w:rPr>
        <w:tab/>
        <w:t>Para velar por la protección de las trabajadoras de la economía informal, se está debatiendo la posibilidad de ampliar la prestación de la licencia de maternidad a la economía informal. La Comisión de Seguridad Social sometió a la consideración del Ministerio las enmiendas a la Ley de la Seguridad Social, que prevén la cobertura de los trabajadores de la economía informal.</w:t>
      </w:r>
    </w:p>
    <w:p w14:paraId="2C102D99" w14:textId="77777777" w:rsidR="003D1CF4" w:rsidRPr="00AD54FC" w:rsidRDefault="003D1CF4" w:rsidP="003D1CF4">
      <w:pPr>
        <w:pStyle w:val="SingleTxt"/>
        <w:rPr>
          <w:lang w:val="es-ES_tradnl"/>
        </w:rPr>
      </w:pPr>
      <w:r w:rsidRPr="00AD54FC">
        <w:rPr>
          <w:lang w:val="es-ES_tradnl"/>
        </w:rPr>
        <w:t>66.</w:t>
      </w:r>
      <w:r w:rsidRPr="00AD54FC">
        <w:rPr>
          <w:lang w:val="es-ES_tradnl"/>
        </w:rPr>
        <w:tab/>
        <w:t xml:space="preserve">El Consejo Consultivo Laboral, de carácter tripartito, creó un comité de trabajo para contribuir a la transición de la economía informal a la formal, en el marco de la recomendación núm. 204 de la Organización Internacional del Trabajo, sobre la transición de la economía informal a la economía formal. </w:t>
      </w:r>
    </w:p>
    <w:p w14:paraId="03B20407" w14:textId="038C4A1E" w:rsidR="003D1CF4" w:rsidRPr="00AD54FC" w:rsidRDefault="003D1CF4" w:rsidP="003D1CF4">
      <w:pPr>
        <w:pStyle w:val="SingleTxt"/>
        <w:rPr>
          <w:lang w:val="es-ES_tradnl"/>
        </w:rPr>
      </w:pPr>
      <w:r w:rsidRPr="00AD54FC">
        <w:rPr>
          <w:lang w:val="es-ES_tradnl"/>
        </w:rPr>
        <w:t>67.</w:t>
      </w:r>
      <w:r w:rsidRPr="00AD54FC">
        <w:rPr>
          <w:lang w:val="es-ES_tradnl"/>
        </w:rPr>
        <w:tab/>
        <w:t>Los casos de discriminación por razón de sexo solo se registran cuando se presentan denuncias ante la Oficina del Comisionado de Trabajo. En 2020 la Oficina registró cinco (5) casos de acoso sexual. Las conclusiones del estudio de evaluación rápida se difundieron ampliamente como parte de la campaña del Gobierno para la ratificación del Convenio núm. 190. El Gobierno, previa consulta con el Consejo Consultivo Laboral, presentó el Convenio núm. 190 ante el Parlamento para su ratificación, en octubre de 2020. Namibia fue el primer país de África y el tercero del mundo en ratificar el Convenio núm. 190, el día 9 de diciembre de 2020. El Ministerio ha creado un Comité de Trabajo Tripartito para dirigir la implementación del Convenio núm. 190.</w:t>
      </w:r>
    </w:p>
    <w:p w14:paraId="09C1341D" w14:textId="77777777" w:rsidR="0049190F" w:rsidRPr="00AD54FC" w:rsidRDefault="0049190F" w:rsidP="0049190F">
      <w:pPr>
        <w:pStyle w:val="SingleTxt"/>
        <w:spacing w:after="0" w:line="120" w:lineRule="exact"/>
        <w:rPr>
          <w:sz w:val="10"/>
          <w:lang w:val="es-ES_tradnl"/>
        </w:rPr>
      </w:pPr>
    </w:p>
    <w:p w14:paraId="111C4941" w14:textId="77777777" w:rsidR="0049190F" w:rsidRPr="00AD54FC" w:rsidRDefault="0049190F" w:rsidP="0049190F">
      <w:pPr>
        <w:pStyle w:val="SingleTxt"/>
        <w:spacing w:after="0" w:line="120" w:lineRule="exact"/>
        <w:rPr>
          <w:sz w:val="10"/>
          <w:lang w:val="es-ES_tradnl"/>
        </w:rPr>
      </w:pPr>
    </w:p>
    <w:p w14:paraId="5F5131EB" w14:textId="53F8F6AE" w:rsidR="003D1CF4" w:rsidRPr="00AD54FC" w:rsidRDefault="003D1CF4" w:rsidP="0049190F">
      <w:pPr>
        <w:pStyle w:val="H1"/>
        <w:ind w:right="1260"/>
        <w:rPr>
          <w:lang w:val="es-ES_tradnl"/>
        </w:rPr>
      </w:pPr>
      <w:r w:rsidRPr="00AD54FC">
        <w:rPr>
          <w:lang w:val="es-ES_tradnl"/>
        </w:rPr>
        <w:tab/>
      </w:r>
      <w:r w:rsidRPr="00AD54FC">
        <w:rPr>
          <w:lang w:val="es-ES_tradnl"/>
        </w:rPr>
        <w:tab/>
      </w:r>
      <w:r w:rsidRPr="00AD54FC">
        <w:rPr>
          <w:bCs/>
          <w:lang w:val="es-ES_tradnl"/>
        </w:rPr>
        <w:t>Salud</w:t>
      </w:r>
    </w:p>
    <w:p w14:paraId="118D25B5" w14:textId="77777777" w:rsidR="0049190F" w:rsidRPr="00AD54FC" w:rsidRDefault="0049190F" w:rsidP="0049190F">
      <w:pPr>
        <w:pStyle w:val="SingleTxt"/>
        <w:spacing w:after="0" w:line="120" w:lineRule="exact"/>
        <w:rPr>
          <w:sz w:val="10"/>
          <w:lang w:val="es-ES_tradnl"/>
        </w:rPr>
      </w:pPr>
    </w:p>
    <w:p w14:paraId="7BAB9E74" w14:textId="77777777" w:rsidR="0049190F" w:rsidRPr="00AD54FC" w:rsidRDefault="0049190F" w:rsidP="0049190F">
      <w:pPr>
        <w:pStyle w:val="SingleTxt"/>
        <w:spacing w:after="0" w:line="120" w:lineRule="exact"/>
        <w:rPr>
          <w:sz w:val="10"/>
          <w:lang w:val="es-ES_tradnl"/>
        </w:rPr>
      </w:pPr>
    </w:p>
    <w:p w14:paraId="48F4F91C" w14:textId="6EEC55FC" w:rsidR="003D1CF4" w:rsidRPr="00AD54FC" w:rsidRDefault="003D1CF4" w:rsidP="003D1CF4">
      <w:pPr>
        <w:pStyle w:val="SingleTxt"/>
        <w:rPr>
          <w:lang w:val="es-ES_tradnl"/>
        </w:rPr>
      </w:pPr>
      <w:r w:rsidRPr="00AD54FC">
        <w:rPr>
          <w:lang w:val="es-ES_tradnl"/>
        </w:rPr>
        <w:t>68.</w:t>
      </w:r>
      <w:r w:rsidRPr="00AD54FC">
        <w:rPr>
          <w:lang w:val="es-ES_tradnl"/>
        </w:rPr>
        <w:tab/>
        <w:t xml:space="preserve">Para mejorar el acceso a la atención prenatal, en todos los centros de salud pública del país se prestan servicios de atención prenatal de manera gratuita. </w:t>
      </w:r>
    </w:p>
    <w:p w14:paraId="790580DC" w14:textId="77777777" w:rsidR="003D1CF4" w:rsidRPr="00AD54FC" w:rsidRDefault="003D1CF4" w:rsidP="003D1CF4">
      <w:pPr>
        <w:pStyle w:val="SingleTxt"/>
        <w:rPr>
          <w:lang w:val="es-ES_tradnl"/>
        </w:rPr>
      </w:pPr>
      <w:r w:rsidRPr="00AD54FC">
        <w:rPr>
          <w:lang w:val="es-ES_tradnl"/>
        </w:rPr>
        <w:t>69.</w:t>
      </w:r>
      <w:r w:rsidRPr="00AD54FC">
        <w:rPr>
          <w:lang w:val="es-ES_tradnl"/>
        </w:rPr>
        <w:tab/>
        <w:t>Todos los centros de salud pública del país disponen de métodos de planificación familiar y anticonceptivos, que se proporcionan gratuitamente a toda persona que los necesite.</w:t>
      </w:r>
    </w:p>
    <w:p w14:paraId="632D6205" w14:textId="2462C8C1" w:rsidR="003D1CF4" w:rsidRPr="00AD54FC" w:rsidRDefault="003D1CF4" w:rsidP="003D1CF4">
      <w:pPr>
        <w:pStyle w:val="SingleTxt"/>
        <w:rPr>
          <w:lang w:val="es-ES_tradnl"/>
        </w:rPr>
      </w:pPr>
      <w:r w:rsidRPr="00AD54FC">
        <w:rPr>
          <w:lang w:val="es-ES_tradnl"/>
        </w:rPr>
        <w:t>70.</w:t>
      </w:r>
      <w:r w:rsidRPr="00AD54FC">
        <w:rPr>
          <w:lang w:val="es-ES_tradnl"/>
        </w:rPr>
        <w:tab/>
        <w:t>En Namibia el aborto solo es legal cuando existe una amenaza para la vida de la mujer embarazada, cuando el embarazo supone una amenaza para la salud física o mental de la mujer; y cuando el embarazo es resultado de una violación o un incesto o cuando existe una malformación del feto.</w:t>
      </w:r>
    </w:p>
    <w:p w14:paraId="5F163B72" w14:textId="77777777" w:rsidR="003D1CF4" w:rsidRPr="00AD54FC" w:rsidRDefault="003D1CF4" w:rsidP="003D1CF4">
      <w:pPr>
        <w:pStyle w:val="SingleTxt"/>
        <w:rPr>
          <w:lang w:val="es-ES_tradnl"/>
        </w:rPr>
      </w:pPr>
      <w:r w:rsidRPr="00AD54FC">
        <w:rPr>
          <w:lang w:val="es-ES_tradnl"/>
        </w:rPr>
        <w:t>71.</w:t>
      </w:r>
      <w:r w:rsidRPr="00AD54FC">
        <w:rPr>
          <w:lang w:val="es-ES_tradnl"/>
        </w:rPr>
        <w:tab/>
        <w:t xml:space="preserve">La esterilización forzada de </w:t>
      </w:r>
      <w:proofErr w:type="gramStart"/>
      <w:r w:rsidRPr="00AD54FC">
        <w:rPr>
          <w:lang w:val="es-ES_tradnl"/>
        </w:rPr>
        <w:t>la mujeres seropositivas</w:t>
      </w:r>
      <w:proofErr w:type="gramEnd"/>
      <w:r w:rsidRPr="00AD54FC">
        <w:rPr>
          <w:lang w:val="es-ES_tradnl"/>
        </w:rPr>
        <w:t xml:space="preserve"> para el VIH está prohibida por la Constitución de Namibia, que es la ley suprema del país. La Corte Suprema ha fallado en contra del Gobierno en el caso </w:t>
      </w:r>
      <w:r w:rsidRPr="00AD54FC">
        <w:rPr>
          <w:i/>
          <w:iCs/>
          <w:lang w:val="es-ES_tradnl"/>
        </w:rPr>
        <w:t>LM y otros contra el Gobierno de la República de Namibia</w:t>
      </w:r>
      <w:r w:rsidRPr="00AD54FC">
        <w:rPr>
          <w:lang w:val="es-ES_tradnl"/>
        </w:rPr>
        <w:t xml:space="preserve">, caso núm. SA 49/2012, aludiendo a la falta de consentimiento informado debido a la capacidad mental durante el parto. </w:t>
      </w:r>
    </w:p>
    <w:p w14:paraId="72F37840" w14:textId="77777777" w:rsidR="003D1CF4" w:rsidRPr="00AD54FC" w:rsidRDefault="003D1CF4" w:rsidP="003D1CF4">
      <w:pPr>
        <w:pStyle w:val="SingleTxt"/>
        <w:rPr>
          <w:lang w:val="es-ES_tradnl"/>
        </w:rPr>
      </w:pPr>
      <w:r w:rsidRPr="00AD54FC">
        <w:rPr>
          <w:lang w:val="es-ES_tradnl"/>
        </w:rPr>
        <w:t>72.</w:t>
      </w:r>
      <w:r w:rsidRPr="00AD54FC">
        <w:rPr>
          <w:lang w:val="es-ES_tradnl"/>
        </w:rPr>
        <w:tab/>
        <w:t>Namibia aborda la prevalencia del VIH y el sida mediante la ampliación estratégica de los servicios de prevención y tratamiento del VIH, a nivel comunitario, y la rápida aplicación de políticas de vanguardia en materia de VIH.</w:t>
      </w:r>
    </w:p>
    <w:p w14:paraId="0159286A" w14:textId="6E92267B" w:rsidR="003D1CF4" w:rsidRPr="00AD54FC" w:rsidRDefault="003D1CF4" w:rsidP="003D1CF4">
      <w:pPr>
        <w:pStyle w:val="SingleTxt"/>
        <w:rPr>
          <w:lang w:val="es-ES_tradnl"/>
        </w:rPr>
      </w:pPr>
      <w:r w:rsidRPr="00AD54FC">
        <w:rPr>
          <w:lang w:val="es-ES_tradnl"/>
        </w:rPr>
        <w:t>73.</w:t>
      </w:r>
      <w:r w:rsidRPr="00AD54FC">
        <w:rPr>
          <w:lang w:val="es-ES_tradnl"/>
        </w:rPr>
        <w:tab/>
        <w:t>Para combatir los abusos sexuales contra mujeres y niñas, Namibia sigue aplicando la Ley de Lucha contra la Violación y la Ley de Lucha contra la Violencia Doméstica.</w:t>
      </w:r>
    </w:p>
    <w:p w14:paraId="5470130B" w14:textId="77DB28BA" w:rsidR="003D1CF4" w:rsidRPr="00AD54FC" w:rsidRDefault="003D1CF4" w:rsidP="003D1CF4">
      <w:pPr>
        <w:pStyle w:val="SingleTxt"/>
        <w:rPr>
          <w:lang w:val="es-ES_tradnl"/>
        </w:rPr>
      </w:pPr>
      <w:r w:rsidRPr="00AD54FC">
        <w:rPr>
          <w:lang w:val="es-ES_tradnl"/>
        </w:rPr>
        <w:t>74.</w:t>
      </w:r>
      <w:r w:rsidRPr="00AD54FC">
        <w:rPr>
          <w:lang w:val="es-ES_tradnl"/>
        </w:rPr>
        <w:tab/>
        <w:t>En el 70 % de los 35 distritos sanitarios se prestan servicios de salud adaptados a los adolescentes. Se ha elaborado un manual de formación sobre los servicios de salud adaptados a los adolescentes y se ha capacitado a 139 trabajadores sanitarios de las 14 regiones acerca de la utilización del manual; se han creado directrices para los adolescentes que viven con el VIH; también se ha publicado material de información, educación y comunicaciones con motivo de la campaña en los medios de comunicación sobre la prevención de los embarazos en la adolescencia y se han establecido siete (7) clínicas adaptadas a las adolescentes en centros de salud seleccionados y se han llevado a cabo programas de detección del cáncer de cuello uterino entre las adolescentes en los centros de salud.</w:t>
      </w:r>
    </w:p>
    <w:p w14:paraId="49506D55" w14:textId="77777777" w:rsidR="0049190F" w:rsidRPr="00AD54FC" w:rsidRDefault="0049190F" w:rsidP="0049190F">
      <w:pPr>
        <w:pStyle w:val="SingleTxt"/>
        <w:spacing w:after="0" w:line="120" w:lineRule="exact"/>
        <w:rPr>
          <w:sz w:val="10"/>
          <w:lang w:val="es-ES_tradnl"/>
        </w:rPr>
      </w:pPr>
    </w:p>
    <w:p w14:paraId="038D1510" w14:textId="77777777" w:rsidR="0049190F" w:rsidRPr="00AD54FC" w:rsidRDefault="0049190F" w:rsidP="0049190F">
      <w:pPr>
        <w:pStyle w:val="SingleTxt"/>
        <w:spacing w:after="0" w:line="120" w:lineRule="exact"/>
        <w:rPr>
          <w:sz w:val="10"/>
          <w:lang w:val="es-ES_tradnl"/>
        </w:rPr>
      </w:pPr>
    </w:p>
    <w:p w14:paraId="6A977119" w14:textId="2D7F3125" w:rsidR="003D1CF4" w:rsidRPr="00AD54FC" w:rsidRDefault="003D1CF4" w:rsidP="0049190F">
      <w:pPr>
        <w:pStyle w:val="H1"/>
        <w:ind w:right="1260"/>
        <w:rPr>
          <w:lang w:val="es-ES_tradnl"/>
        </w:rPr>
      </w:pPr>
      <w:r w:rsidRPr="00AD54FC">
        <w:rPr>
          <w:lang w:val="es-ES_tradnl"/>
        </w:rPr>
        <w:tab/>
      </w:r>
      <w:r w:rsidRPr="00AD54FC">
        <w:rPr>
          <w:lang w:val="es-ES_tradnl"/>
        </w:rPr>
        <w:tab/>
      </w:r>
      <w:r w:rsidRPr="00AD54FC">
        <w:rPr>
          <w:bCs/>
          <w:lang w:val="es-ES_tradnl"/>
        </w:rPr>
        <w:t>Grupos de mujeres desfavorecidas</w:t>
      </w:r>
    </w:p>
    <w:p w14:paraId="4A42DE0C" w14:textId="77777777" w:rsidR="0049190F" w:rsidRPr="00AD54FC" w:rsidRDefault="0049190F" w:rsidP="0049190F">
      <w:pPr>
        <w:pStyle w:val="SingleTxt"/>
        <w:spacing w:after="0" w:line="120" w:lineRule="exact"/>
        <w:rPr>
          <w:sz w:val="10"/>
          <w:lang w:val="es-ES_tradnl"/>
        </w:rPr>
      </w:pPr>
    </w:p>
    <w:p w14:paraId="69CD3992" w14:textId="77777777" w:rsidR="0049190F" w:rsidRPr="00AD54FC" w:rsidRDefault="0049190F" w:rsidP="0049190F">
      <w:pPr>
        <w:pStyle w:val="SingleTxt"/>
        <w:spacing w:after="0" w:line="120" w:lineRule="exact"/>
        <w:rPr>
          <w:sz w:val="10"/>
          <w:lang w:val="es-ES_tradnl"/>
        </w:rPr>
      </w:pPr>
    </w:p>
    <w:p w14:paraId="4EDACB29" w14:textId="26C6D068" w:rsidR="003D1CF4" w:rsidRPr="00AD54FC" w:rsidRDefault="003D1CF4" w:rsidP="003D1CF4">
      <w:pPr>
        <w:pStyle w:val="SingleTxt"/>
        <w:rPr>
          <w:lang w:val="es-ES_tradnl"/>
        </w:rPr>
      </w:pPr>
      <w:r w:rsidRPr="00AD54FC">
        <w:rPr>
          <w:lang w:val="es-ES_tradnl"/>
        </w:rPr>
        <w:t>75.</w:t>
      </w:r>
      <w:r w:rsidRPr="00AD54FC">
        <w:rPr>
          <w:lang w:val="es-ES_tradnl"/>
        </w:rPr>
        <w:tab/>
        <w:t>El Gobierno ofrece servicios en materia de educación, empleo, salud, vivienda y saneamiento a las personas marginadas y las personas con discapacidad, a través de programas de protección social de la Oficina de la Presidencia.</w:t>
      </w:r>
    </w:p>
    <w:p w14:paraId="3B42CC0B" w14:textId="77777777" w:rsidR="0049190F" w:rsidRPr="00AD54FC" w:rsidRDefault="0049190F" w:rsidP="0049190F">
      <w:pPr>
        <w:pStyle w:val="SingleTxt"/>
        <w:spacing w:after="0" w:line="120" w:lineRule="exact"/>
        <w:rPr>
          <w:sz w:val="10"/>
          <w:lang w:val="es-ES_tradnl"/>
        </w:rPr>
      </w:pPr>
    </w:p>
    <w:p w14:paraId="20371674" w14:textId="77777777" w:rsidR="0049190F" w:rsidRPr="00AD54FC" w:rsidRDefault="0049190F" w:rsidP="0049190F">
      <w:pPr>
        <w:pStyle w:val="SingleTxt"/>
        <w:spacing w:after="0" w:line="120" w:lineRule="exact"/>
        <w:rPr>
          <w:sz w:val="10"/>
          <w:lang w:val="es-ES_tradnl"/>
        </w:rPr>
      </w:pPr>
    </w:p>
    <w:p w14:paraId="3AB0C022" w14:textId="0C9A8D9A" w:rsidR="003D1CF4" w:rsidRPr="00AD54FC" w:rsidRDefault="003D1CF4" w:rsidP="0049190F">
      <w:pPr>
        <w:pStyle w:val="H1"/>
        <w:ind w:right="1260"/>
        <w:rPr>
          <w:lang w:val="es-ES_tradnl"/>
        </w:rPr>
      </w:pPr>
      <w:r w:rsidRPr="00AD54FC">
        <w:rPr>
          <w:lang w:val="es-ES_tradnl"/>
        </w:rPr>
        <w:tab/>
      </w:r>
      <w:r w:rsidRPr="00AD54FC">
        <w:rPr>
          <w:lang w:val="es-ES_tradnl"/>
        </w:rPr>
        <w:tab/>
      </w:r>
      <w:r w:rsidRPr="00AD54FC">
        <w:rPr>
          <w:bCs/>
          <w:lang w:val="es-ES_tradnl"/>
        </w:rPr>
        <w:t>Reducción del riesgo de desastres y cambio climático</w:t>
      </w:r>
    </w:p>
    <w:p w14:paraId="4DC53986" w14:textId="77777777" w:rsidR="0049190F" w:rsidRPr="00AD54FC" w:rsidRDefault="0049190F" w:rsidP="0049190F">
      <w:pPr>
        <w:pStyle w:val="SingleTxt"/>
        <w:spacing w:after="0" w:line="120" w:lineRule="exact"/>
        <w:rPr>
          <w:sz w:val="10"/>
          <w:lang w:val="es-ES_tradnl"/>
        </w:rPr>
      </w:pPr>
    </w:p>
    <w:p w14:paraId="0EA1513A" w14:textId="77777777" w:rsidR="0049190F" w:rsidRPr="00AD54FC" w:rsidRDefault="0049190F" w:rsidP="0049190F">
      <w:pPr>
        <w:pStyle w:val="SingleTxt"/>
        <w:spacing w:after="0" w:line="120" w:lineRule="exact"/>
        <w:rPr>
          <w:sz w:val="10"/>
          <w:lang w:val="es-ES_tradnl"/>
        </w:rPr>
      </w:pPr>
    </w:p>
    <w:p w14:paraId="29C7A2D5" w14:textId="223CB966" w:rsidR="003D1CF4" w:rsidRPr="00AD54FC" w:rsidRDefault="003D1CF4" w:rsidP="003D1CF4">
      <w:pPr>
        <w:pStyle w:val="SingleTxt"/>
        <w:rPr>
          <w:lang w:val="es-ES_tradnl"/>
        </w:rPr>
      </w:pPr>
      <w:r w:rsidRPr="00AD54FC">
        <w:rPr>
          <w:lang w:val="es-ES_tradnl"/>
        </w:rPr>
        <w:t>76.</w:t>
      </w:r>
      <w:r w:rsidRPr="00AD54FC">
        <w:rPr>
          <w:lang w:val="es-ES_tradnl"/>
        </w:rPr>
        <w:tab/>
        <w:t xml:space="preserve">En el próximo informe periódico se facilitará información detallada sobre esta consulta. </w:t>
      </w:r>
    </w:p>
    <w:p w14:paraId="159F53D1" w14:textId="77777777" w:rsidR="0049190F" w:rsidRPr="00AD54FC" w:rsidRDefault="0049190F" w:rsidP="0049190F">
      <w:pPr>
        <w:pStyle w:val="SingleTxt"/>
        <w:spacing w:after="0" w:line="120" w:lineRule="exact"/>
        <w:rPr>
          <w:sz w:val="10"/>
          <w:lang w:val="es-ES_tradnl"/>
        </w:rPr>
      </w:pPr>
    </w:p>
    <w:p w14:paraId="0CC0DFDE" w14:textId="77777777" w:rsidR="0049190F" w:rsidRPr="00AD54FC" w:rsidRDefault="0049190F" w:rsidP="0049190F">
      <w:pPr>
        <w:pStyle w:val="SingleTxt"/>
        <w:spacing w:after="0" w:line="120" w:lineRule="exact"/>
        <w:rPr>
          <w:sz w:val="10"/>
          <w:lang w:val="es-ES_tradnl"/>
        </w:rPr>
      </w:pPr>
    </w:p>
    <w:p w14:paraId="6ABE8DFB" w14:textId="1C5F3D56" w:rsidR="003D1CF4" w:rsidRPr="00AD54FC" w:rsidRDefault="003D1CF4" w:rsidP="0049190F">
      <w:pPr>
        <w:pStyle w:val="H1"/>
        <w:ind w:right="1260"/>
        <w:rPr>
          <w:lang w:val="es-ES_tradnl"/>
        </w:rPr>
      </w:pPr>
      <w:r w:rsidRPr="00AD54FC">
        <w:rPr>
          <w:lang w:val="es-ES_tradnl"/>
        </w:rPr>
        <w:tab/>
      </w:r>
      <w:r w:rsidRPr="00AD54FC">
        <w:rPr>
          <w:lang w:val="es-ES_tradnl"/>
        </w:rPr>
        <w:tab/>
      </w:r>
      <w:r w:rsidRPr="00AD54FC">
        <w:rPr>
          <w:bCs/>
          <w:lang w:val="es-ES_tradnl"/>
        </w:rPr>
        <w:t>Mujeres de las zonas rurales</w:t>
      </w:r>
    </w:p>
    <w:p w14:paraId="14FD5F71" w14:textId="77777777" w:rsidR="0049190F" w:rsidRPr="00AD54FC" w:rsidRDefault="0049190F" w:rsidP="0049190F">
      <w:pPr>
        <w:pStyle w:val="SingleTxt"/>
        <w:spacing w:after="0" w:line="120" w:lineRule="exact"/>
        <w:rPr>
          <w:sz w:val="10"/>
          <w:lang w:val="es-ES_tradnl"/>
        </w:rPr>
      </w:pPr>
    </w:p>
    <w:p w14:paraId="455CC537" w14:textId="77777777" w:rsidR="0049190F" w:rsidRPr="00AD54FC" w:rsidRDefault="0049190F" w:rsidP="0049190F">
      <w:pPr>
        <w:pStyle w:val="SingleTxt"/>
        <w:spacing w:after="0" w:line="120" w:lineRule="exact"/>
        <w:rPr>
          <w:sz w:val="10"/>
          <w:lang w:val="es-ES_tradnl"/>
        </w:rPr>
      </w:pPr>
    </w:p>
    <w:p w14:paraId="2B59D6C3" w14:textId="38041221" w:rsidR="003D1CF4" w:rsidRPr="00AD54FC" w:rsidRDefault="003D1CF4" w:rsidP="003D1CF4">
      <w:pPr>
        <w:pStyle w:val="SingleTxt"/>
        <w:rPr>
          <w:lang w:val="es-ES_tradnl"/>
        </w:rPr>
      </w:pPr>
      <w:r w:rsidRPr="00AD54FC">
        <w:rPr>
          <w:lang w:val="es-ES_tradnl"/>
        </w:rPr>
        <w:t>77.</w:t>
      </w:r>
      <w:r w:rsidRPr="00AD54FC">
        <w:rPr>
          <w:lang w:val="es-ES_tradnl"/>
        </w:rPr>
        <w:tab/>
        <w:t xml:space="preserve">Los datos disponibles indican que un total de 67 familias de las comunidades san fueron reasentadas en el marco del Programa de Asentamiento. Sin embargo, la medida se limitó al reasentamiento, puesto que el Ministerio de Reforma Agraria no les ofrece ningún programa especial adicional. El Consejo Regional de </w:t>
      </w:r>
      <w:proofErr w:type="spellStart"/>
      <w:r w:rsidRPr="00AD54FC">
        <w:rPr>
          <w:lang w:val="es-ES_tradnl"/>
        </w:rPr>
        <w:t>Otjozondjupa</w:t>
      </w:r>
      <w:proofErr w:type="spellEnd"/>
      <w:r w:rsidRPr="00AD54FC">
        <w:rPr>
          <w:lang w:val="es-ES_tradnl"/>
        </w:rPr>
        <w:t xml:space="preserve">, a través de la oficina de la circunscripción de </w:t>
      </w:r>
      <w:proofErr w:type="spellStart"/>
      <w:r w:rsidRPr="00AD54FC">
        <w:rPr>
          <w:lang w:val="es-ES_tradnl"/>
        </w:rPr>
        <w:t>Grootfontein</w:t>
      </w:r>
      <w:proofErr w:type="spellEnd"/>
      <w:r w:rsidRPr="00AD54FC">
        <w:rPr>
          <w:lang w:val="es-ES_tradnl"/>
        </w:rPr>
        <w:t xml:space="preserve">, ofrece a la comunidad san alimentación de socorro en caso de sequía y también financia proyectos para la comunidad san, como por ejemplo huertos y proyectos de cría de ganado (goas) y de aves de corral (gallinas). En el marco del Programa de Registro de los Derechos sobre las Tierras Comunales, en la zona de </w:t>
      </w:r>
      <w:proofErr w:type="spellStart"/>
      <w:r w:rsidRPr="00AD54FC">
        <w:rPr>
          <w:lang w:val="es-ES_tradnl"/>
        </w:rPr>
        <w:t>Mangetti</w:t>
      </w:r>
      <w:proofErr w:type="spellEnd"/>
      <w:r w:rsidRPr="00AD54FC">
        <w:rPr>
          <w:lang w:val="es-ES_tradnl"/>
        </w:rPr>
        <w:t xml:space="preserve"> </w:t>
      </w:r>
      <w:proofErr w:type="spellStart"/>
      <w:r w:rsidRPr="00AD54FC">
        <w:rPr>
          <w:lang w:val="es-ES_tradnl"/>
        </w:rPr>
        <w:t>Dune</w:t>
      </w:r>
      <w:proofErr w:type="spellEnd"/>
      <w:r w:rsidRPr="00AD54FC">
        <w:rPr>
          <w:lang w:val="es-ES_tradnl"/>
        </w:rPr>
        <w:t xml:space="preserve"> de </w:t>
      </w:r>
      <w:proofErr w:type="spellStart"/>
      <w:r w:rsidRPr="00AD54FC">
        <w:rPr>
          <w:lang w:val="es-ES_tradnl"/>
        </w:rPr>
        <w:t>Tsumkwe</w:t>
      </w:r>
      <w:proofErr w:type="spellEnd"/>
      <w:r w:rsidRPr="00AD54FC">
        <w:rPr>
          <w:lang w:val="es-ES_tradnl"/>
        </w:rPr>
        <w:t xml:space="preserve"> Occidental, se han registrado un total de 270 derechos territoriales en las siguientes poblaciones: </w:t>
      </w:r>
      <w:proofErr w:type="spellStart"/>
      <w:r w:rsidRPr="00AD54FC">
        <w:rPr>
          <w:lang w:val="es-ES_tradnl"/>
        </w:rPr>
        <w:t>Danger</w:t>
      </w:r>
      <w:proofErr w:type="spellEnd"/>
      <w:r w:rsidRPr="00AD54FC">
        <w:rPr>
          <w:lang w:val="es-ES_tradnl"/>
        </w:rPr>
        <w:t xml:space="preserve">, </w:t>
      </w:r>
      <w:proofErr w:type="spellStart"/>
      <w:r w:rsidRPr="00AD54FC">
        <w:rPr>
          <w:lang w:val="es-ES_tradnl"/>
        </w:rPr>
        <w:t>Kankundi</w:t>
      </w:r>
      <w:proofErr w:type="spellEnd"/>
      <w:r w:rsidRPr="00AD54FC">
        <w:rPr>
          <w:lang w:val="es-ES_tradnl"/>
        </w:rPr>
        <w:t xml:space="preserve"> </w:t>
      </w:r>
      <w:proofErr w:type="spellStart"/>
      <w:r w:rsidRPr="00AD54FC">
        <w:rPr>
          <w:lang w:val="es-ES_tradnl"/>
        </w:rPr>
        <w:t>M'kata</w:t>
      </w:r>
      <w:proofErr w:type="spellEnd"/>
      <w:r w:rsidRPr="00AD54FC">
        <w:rPr>
          <w:lang w:val="es-ES_tradnl"/>
        </w:rPr>
        <w:t xml:space="preserve">, </w:t>
      </w:r>
      <w:proofErr w:type="spellStart"/>
      <w:r w:rsidRPr="00AD54FC">
        <w:rPr>
          <w:lang w:val="es-ES_tradnl"/>
        </w:rPr>
        <w:t>Meduletu</w:t>
      </w:r>
      <w:proofErr w:type="spellEnd"/>
      <w:r w:rsidRPr="00AD54FC">
        <w:rPr>
          <w:lang w:val="es-ES_tradnl"/>
        </w:rPr>
        <w:t xml:space="preserve">, </w:t>
      </w:r>
      <w:proofErr w:type="spellStart"/>
      <w:r w:rsidRPr="00AD54FC">
        <w:rPr>
          <w:lang w:val="es-ES_tradnl"/>
        </w:rPr>
        <w:t>Kukurushe</w:t>
      </w:r>
      <w:proofErr w:type="spellEnd"/>
      <w:r w:rsidRPr="00AD54FC">
        <w:rPr>
          <w:lang w:val="es-ES_tradnl"/>
        </w:rPr>
        <w:t xml:space="preserve">, </w:t>
      </w:r>
      <w:proofErr w:type="spellStart"/>
      <w:r w:rsidRPr="00AD54FC">
        <w:rPr>
          <w:lang w:val="es-ES_tradnl"/>
        </w:rPr>
        <w:t>Mugoro</w:t>
      </w:r>
      <w:proofErr w:type="spellEnd"/>
      <w:r w:rsidRPr="00AD54FC">
        <w:rPr>
          <w:lang w:val="es-ES_tradnl"/>
        </w:rPr>
        <w:t xml:space="preserve">, </w:t>
      </w:r>
      <w:proofErr w:type="spellStart"/>
      <w:r w:rsidRPr="00AD54FC">
        <w:rPr>
          <w:lang w:val="es-ES_tradnl"/>
        </w:rPr>
        <w:t>Luhebu</w:t>
      </w:r>
      <w:proofErr w:type="spellEnd"/>
      <w:r w:rsidRPr="00AD54FC">
        <w:rPr>
          <w:lang w:val="es-ES_tradnl"/>
        </w:rPr>
        <w:t xml:space="preserve">, </w:t>
      </w:r>
      <w:proofErr w:type="spellStart"/>
      <w:r w:rsidRPr="00AD54FC">
        <w:rPr>
          <w:lang w:val="es-ES_tradnl"/>
        </w:rPr>
        <w:t>Xurube</w:t>
      </w:r>
      <w:proofErr w:type="spellEnd"/>
      <w:r w:rsidRPr="00AD54FC">
        <w:rPr>
          <w:lang w:val="es-ES_tradnl"/>
        </w:rPr>
        <w:t xml:space="preserve"> y Soweto. Además, en la zona de </w:t>
      </w:r>
      <w:proofErr w:type="spellStart"/>
      <w:r w:rsidRPr="00AD54FC">
        <w:rPr>
          <w:lang w:val="es-ES_tradnl"/>
        </w:rPr>
        <w:t>Mangetti</w:t>
      </w:r>
      <w:proofErr w:type="spellEnd"/>
      <w:r w:rsidRPr="00AD54FC">
        <w:rPr>
          <w:lang w:val="es-ES_tradnl"/>
        </w:rPr>
        <w:t xml:space="preserve"> </w:t>
      </w:r>
      <w:proofErr w:type="spellStart"/>
      <w:r w:rsidRPr="00AD54FC">
        <w:rPr>
          <w:lang w:val="es-ES_tradnl"/>
        </w:rPr>
        <w:t>Dune</w:t>
      </w:r>
      <w:proofErr w:type="spellEnd"/>
      <w:r w:rsidRPr="00AD54FC">
        <w:rPr>
          <w:lang w:val="es-ES_tradnl"/>
        </w:rPr>
        <w:t xml:space="preserve">, el Ministerio de Reforma Agraria presta apoyo a los cultivos a través del proyecto de </w:t>
      </w:r>
      <w:proofErr w:type="spellStart"/>
      <w:r w:rsidRPr="00AD54FC">
        <w:rPr>
          <w:lang w:val="es-ES_tradnl"/>
        </w:rPr>
        <w:t>Mangetti</w:t>
      </w:r>
      <w:proofErr w:type="spellEnd"/>
      <w:r w:rsidRPr="00AD54FC">
        <w:rPr>
          <w:lang w:val="es-ES_tradnl"/>
        </w:rPr>
        <w:t xml:space="preserve"> </w:t>
      </w:r>
      <w:proofErr w:type="spellStart"/>
      <w:r w:rsidRPr="00AD54FC">
        <w:rPr>
          <w:lang w:val="es-ES_tradnl"/>
        </w:rPr>
        <w:t>Dune</w:t>
      </w:r>
      <w:proofErr w:type="spellEnd"/>
      <w:r w:rsidRPr="00AD54FC">
        <w:rPr>
          <w:lang w:val="es-ES_tradnl"/>
        </w:rPr>
        <w:t xml:space="preserve">. El Ministerio proporcionó servicios de arado y entregó semillas a la comunidad san. El proyecto de </w:t>
      </w:r>
      <w:proofErr w:type="spellStart"/>
      <w:r w:rsidRPr="00AD54FC">
        <w:rPr>
          <w:lang w:val="es-ES_tradnl"/>
        </w:rPr>
        <w:t>Mangetti</w:t>
      </w:r>
      <w:proofErr w:type="spellEnd"/>
      <w:r w:rsidRPr="00AD54FC">
        <w:rPr>
          <w:lang w:val="es-ES_tradnl"/>
        </w:rPr>
        <w:t xml:space="preserve"> </w:t>
      </w:r>
      <w:proofErr w:type="spellStart"/>
      <w:r w:rsidRPr="00AD54FC">
        <w:rPr>
          <w:lang w:val="es-ES_tradnl"/>
        </w:rPr>
        <w:t>Dune</w:t>
      </w:r>
      <w:proofErr w:type="spellEnd"/>
      <w:r w:rsidRPr="00AD54FC">
        <w:rPr>
          <w:lang w:val="es-ES_tradnl"/>
        </w:rPr>
        <w:t xml:space="preserve"> está registrado en la Comisión Nacional de Planificación y recibe financiación anual.</w:t>
      </w:r>
    </w:p>
    <w:p w14:paraId="3090C4FE" w14:textId="77777777" w:rsidR="003D1CF4" w:rsidRPr="00AD54FC" w:rsidRDefault="003D1CF4" w:rsidP="003D1CF4">
      <w:pPr>
        <w:pStyle w:val="SingleTxt"/>
        <w:rPr>
          <w:lang w:val="es-ES_tradnl"/>
        </w:rPr>
      </w:pPr>
      <w:r w:rsidRPr="00AD54FC">
        <w:rPr>
          <w:lang w:val="es-ES_tradnl"/>
        </w:rPr>
        <w:t>78.</w:t>
      </w:r>
      <w:r w:rsidRPr="00AD54FC">
        <w:rPr>
          <w:lang w:val="es-ES_tradnl"/>
        </w:rPr>
        <w:tab/>
        <w:t xml:space="preserve">En el próximo informe periódico se facilitará información detallada y actualizada sobre esta consulta. </w:t>
      </w:r>
    </w:p>
    <w:p w14:paraId="57ABAE6A" w14:textId="77777777" w:rsidR="0049190F" w:rsidRPr="00AD54FC" w:rsidRDefault="0049190F" w:rsidP="0049190F">
      <w:pPr>
        <w:pStyle w:val="SingleTxt"/>
        <w:spacing w:after="0" w:line="120" w:lineRule="exact"/>
        <w:rPr>
          <w:sz w:val="10"/>
          <w:lang w:val="es-ES_tradnl"/>
        </w:rPr>
      </w:pPr>
    </w:p>
    <w:p w14:paraId="1F6F151C" w14:textId="77777777" w:rsidR="0049190F" w:rsidRPr="00AD54FC" w:rsidRDefault="0049190F" w:rsidP="0049190F">
      <w:pPr>
        <w:pStyle w:val="SingleTxt"/>
        <w:spacing w:after="0" w:line="120" w:lineRule="exact"/>
        <w:rPr>
          <w:sz w:val="10"/>
          <w:lang w:val="es-ES_tradnl"/>
        </w:rPr>
      </w:pPr>
    </w:p>
    <w:p w14:paraId="3CE2090F" w14:textId="704EF08C" w:rsidR="003D1CF4" w:rsidRPr="00AD54FC" w:rsidRDefault="003D1CF4" w:rsidP="0049190F">
      <w:pPr>
        <w:pStyle w:val="H1"/>
        <w:ind w:right="1260"/>
        <w:rPr>
          <w:lang w:val="es-ES_tradnl"/>
        </w:rPr>
      </w:pPr>
      <w:r w:rsidRPr="00AD54FC">
        <w:rPr>
          <w:lang w:val="es-ES_tradnl"/>
        </w:rPr>
        <w:tab/>
      </w:r>
      <w:r w:rsidRPr="00AD54FC">
        <w:rPr>
          <w:lang w:val="es-ES_tradnl"/>
        </w:rPr>
        <w:tab/>
      </w:r>
      <w:r w:rsidRPr="00AD54FC">
        <w:rPr>
          <w:bCs/>
          <w:lang w:val="es-ES_tradnl"/>
        </w:rPr>
        <w:t>Matrimonio y relaciones familiares</w:t>
      </w:r>
    </w:p>
    <w:p w14:paraId="5146BA36" w14:textId="77777777" w:rsidR="0049190F" w:rsidRPr="00AD54FC" w:rsidRDefault="0049190F" w:rsidP="0049190F">
      <w:pPr>
        <w:pStyle w:val="SingleTxt"/>
        <w:spacing w:after="0" w:line="120" w:lineRule="exact"/>
        <w:rPr>
          <w:sz w:val="10"/>
          <w:lang w:val="es-ES_tradnl"/>
        </w:rPr>
      </w:pPr>
    </w:p>
    <w:p w14:paraId="5EEC080C" w14:textId="77777777" w:rsidR="0049190F" w:rsidRPr="00AD54FC" w:rsidRDefault="0049190F" w:rsidP="0049190F">
      <w:pPr>
        <w:pStyle w:val="SingleTxt"/>
        <w:spacing w:after="0" w:line="120" w:lineRule="exact"/>
        <w:rPr>
          <w:sz w:val="10"/>
          <w:lang w:val="es-ES_tradnl"/>
        </w:rPr>
      </w:pPr>
    </w:p>
    <w:p w14:paraId="4682548C" w14:textId="189BFCF0" w:rsidR="003D1CF4" w:rsidRPr="00AD54FC" w:rsidRDefault="003D1CF4" w:rsidP="003D1CF4">
      <w:pPr>
        <w:pStyle w:val="SingleTxt"/>
        <w:rPr>
          <w:lang w:val="es-ES_tradnl"/>
        </w:rPr>
      </w:pPr>
      <w:r w:rsidRPr="00AD54FC">
        <w:rPr>
          <w:lang w:val="es-ES_tradnl"/>
        </w:rPr>
        <w:t>79.</w:t>
      </w:r>
      <w:r w:rsidRPr="00AD54FC">
        <w:rPr>
          <w:lang w:val="es-ES_tradnl"/>
        </w:rPr>
        <w:tab/>
        <w:t xml:space="preserve">El proceso de promulgación de la Ley de Matrimonio y de la Ley de Divorcio está todavía en fase de consultas con las partes interesadas. Conforme a nuestra respuesta al apartado, no hay planes para abolir la poligamia. El artículo 66 de la Constitución de Namibia reconoce la poligamia como parte integral de la cultura africana y el Estado parte no considera que esta práctica represente una práctica cultural nociva. </w:t>
      </w:r>
    </w:p>
    <w:p w14:paraId="4BDDFED3" w14:textId="1E85C2B1" w:rsidR="00893B6E" w:rsidRPr="00AD54FC" w:rsidRDefault="003D1CF4" w:rsidP="003D1CF4">
      <w:pPr>
        <w:pStyle w:val="SingleTxt"/>
        <w:rPr>
          <w:lang w:val="es-ES_tradnl"/>
        </w:rPr>
      </w:pPr>
      <w:r w:rsidRPr="00AD54FC">
        <w:rPr>
          <w:lang w:val="es-ES_tradnl"/>
        </w:rPr>
        <w:t>80.</w:t>
      </w:r>
      <w:r w:rsidRPr="00AD54FC">
        <w:rPr>
          <w:lang w:val="es-ES_tradnl"/>
        </w:rPr>
        <w:tab/>
        <w:t>La Ley de Reforma de las Tierras Comunales permite a las mujeres, concretamente a las viudas, heredar las tierras comunales del patrimonio del marido fallecido. Aunque no existe una edad concreta para contraer matrimonio en una unión</w:t>
      </w:r>
      <w:r w:rsidR="00893B6E" w:rsidRPr="00AD54FC">
        <w:rPr>
          <w:lang w:val="es-ES_tradnl"/>
        </w:rPr>
        <w:br/>
      </w:r>
    </w:p>
    <w:p w14:paraId="0C8AB235" w14:textId="77777777" w:rsidR="00893B6E" w:rsidRPr="00AD54FC" w:rsidRDefault="00893B6E" w:rsidP="003D1CF4">
      <w:pPr>
        <w:pStyle w:val="SingleTxt"/>
        <w:rPr>
          <w:lang w:val="es-ES_tradnl"/>
        </w:rPr>
      </w:pPr>
    </w:p>
    <w:p w14:paraId="10F25F5F" w14:textId="249A3B34" w:rsidR="003D1CF4" w:rsidRPr="00AD54FC" w:rsidRDefault="003D1CF4" w:rsidP="003D1CF4">
      <w:pPr>
        <w:pStyle w:val="SingleTxt"/>
        <w:rPr>
          <w:lang w:val="es-ES_tradnl"/>
        </w:rPr>
      </w:pPr>
      <w:r w:rsidRPr="00AD54FC">
        <w:rPr>
          <w:lang w:val="es-ES_tradnl"/>
        </w:rPr>
        <w:t>consuetudinaria, es un delito casarse con una mujer de 15 años o menos. La Ley de Atención y Protección de la Infancia de 2015 ha puesto en marcha medidas para proteger a los niños de las prácticas culturales y religiosas nocivas, y estas medidas se aplican a las uniones contraídas con arreglo al derecho consuetudinario.</w:t>
      </w:r>
    </w:p>
    <w:p w14:paraId="4692737D" w14:textId="6207D55D" w:rsidR="003D1CF4" w:rsidRPr="00AD54FC" w:rsidRDefault="0049190F" w:rsidP="003D1CF4">
      <w:pPr>
        <w:pStyle w:val="SingleTxt"/>
        <w:rPr>
          <w:lang w:val="es-ES_tradnl"/>
        </w:rPr>
      </w:pPr>
      <w:r w:rsidRPr="00AD54FC">
        <w:rPr>
          <w:noProof/>
          <w:w w:val="100"/>
          <w:lang w:val="es-ES_tradnl"/>
        </w:rPr>
        <mc:AlternateContent>
          <mc:Choice Requires="wps">
            <w:drawing>
              <wp:anchor distT="0" distB="0" distL="114300" distR="114300" simplePos="0" relativeHeight="251660288" behindDoc="0" locked="0" layoutInCell="1" allowOverlap="1" wp14:anchorId="61913B8E" wp14:editId="5AD6B52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43AA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3D1CF4" w:rsidRPr="00AD54FC" w:rsidSect="00270CB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4T15:47:00Z" w:initials="Start">
    <w:p w14:paraId="09EC3527" w14:textId="77777777" w:rsidR="001658DE" w:rsidRDefault="00D42E8B">
      <w:pPr>
        <w:pStyle w:val="CommentText"/>
      </w:pPr>
      <w:r>
        <w:rPr>
          <w:rStyle w:val="CommentReference"/>
        </w:rPr>
        <w:annotationRef/>
      </w:r>
      <w:r w:rsidR="001658DE">
        <w:t>&lt;&lt;ODS JOB NO&gt;&gt;N2202789S&lt;&lt;ODS JOB NO&gt;&gt;</w:t>
      </w:r>
    </w:p>
    <w:p w14:paraId="45BFD689" w14:textId="77777777" w:rsidR="001658DE" w:rsidRDefault="001658DE">
      <w:pPr>
        <w:pStyle w:val="CommentText"/>
      </w:pPr>
      <w:r>
        <w:t>&lt;&lt;ODS DOC SYMBOL1&gt;&gt;CEDAW/C/NAM/RQ/6&lt;&lt;ODS DOC SYMBOL1&gt;&gt;</w:t>
      </w:r>
    </w:p>
    <w:p w14:paraId="6B96168A" w14:textId="77777777" w:rsidR="001658DE" w:rsidRDefault="001658DE" w:rsidP="0085693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616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B2F9" w16cex:dateUtc="2022-03-04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6168A" w16cid:durableId="25CCB2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9406" w14:textId="77777777" w:rsidR="001A7245" w:rsidRDefault="001A7245" w:rsidP="00556720">
      <w:r>
        <w:separator/>
      </w:r>
    </w:p>
  </w:endnote>
  <w:endnote w:type="continuationSeparator" w:id="0">
    <w:p w14:paraId="4BAD837A" w14:textId="77777777" w:rsidR="001A7245" w:rsidRDefault="001A724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42E8B" w14:paraId="65207FE7" w14:textId="77777777" w:rsidTr="00D42E8B">
      <w:tc>
        <w:tcPr>
          <w:tcW w:w="4920" w:type="dxa"/>
          <w:shd w:val="clear" w:color="auto" w:fill="auto"/>
        </w:tcPr>
        <w:p w14:paraId="19CF601A" w14:textId="3855F118" w:rsidR="00D42E8B" w:rsidRPr="00D42E8B" w:rsidRDefault="00847C6F" w:rsidP="00D42E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0FFE">
            <w:rPr>
              <w:b w:val="0"/>
              <w:w w:val="103"/>
              <w:sz w:val="14"/>
            </w:rPr>
            <w:t>22-02789</w:t>
          </w:r>
          <w:r>
            <w:rPr>
              <w:b w:val="0"/>
              <w:w w:val="103"/>
              <w:sz w:val="14"/>
            </w:rPr>
            <w:fldChar w:fldCharType="end"/>
          </w:r>
        </w:p>
      </w:tc>
      <w:tc>
        <w:tcPr>
          <w:tcW w:w="4920" w:type="dxa"/>
          <w:shd w:val="clear" w:color="auto" w:fill="auto"/>
        </w:tcPr>
        <w:p w14:paraId="43A67D44" w14:textId="2EB525C4" w:rsidR="00D42E8B" w:rsidRPr="00D42E8B" w:rsidRDefault="00D42E8B" w:rsidP="00D42E8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FF49782" w14:textId="77777777" w:rsidR="00D42E8B" w:rsidRPr="00D42E8B" w:rsidRDefault="00D42E8B" w:rsidP="00D42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42E8B" w14:paraId="26450AE3" w14:textId="77777777" w:rsidTr="00D42E8B">
      <w:tc>
        <w:tcPr>
          <w:tcW w:w="4920" w:type="dxa"/>
          <w:shd w:val="clear" w:color="auto" w:fill="auto"/>
        </w:tcPr>
        <w:p w14:paraId="6ECF8A31" w14:textId="3AA0885B" w:rsidR="00D42E8B" w:rsidRPr="00D42E8B" w:rsidRDefault="00D42E8B" w:rsidP="00D42E8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AF5798E" w14:textId="5E5AC386" w:rsidR="00D42E8B" w:rsidRPr="00D42E8B" w:rsidRDefault="00847C6F" w:rsidP="00D42E8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0FFE">
            <w:rPr>
              <w:b w:val="0"/>
              <w:w w:val="103"/>
              <w:sz w:val="14"/>
            </w:rPr>
            <w:t>22-02789</w:t>
          </w:r>
          <w:r>
            <w:rPr>
              <w:b w:val="0"/>
              <w:w w:val="103"/>
              <w:sz w:val="14"/>
            </w:rPr>
            <w:fldChar w:fldCharType="end"/>
          </w:r>
        </w:p>
      </w:tc>
    </w:tr>
  </w:tbl>
  <w:p w14:paraId="22EFC0F0" w14:textId="77777777" w:rsidR="00D42E8B" w:rsidRPr="00D42E8B" w:rsidRDefault="00D42E8B" w:rsidP="00D42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D42E8B" w14:paraId="603CBF45" w14:textId="77777777" w:rsidTr="00D42E8B">
      <w:tc>
        <w:tcPr>
          <w:tcW w:w="3801" w:type="dxa"/>
        </w:tcPr>
        <w:p w14:paraId="17D94EFD" w14:textId="07B2167D" w:rsidR="00D42E8B" w:rsidRDefault="00D42E8B" w:rsidP="00D42E8B">
          <w:pPr>
            <w:pStyle w:val="ReleaseDate0"/>
          </w:pPr>
          <w:r>
            <w:rPr>
              <w:noProof/>
              <w:lang w:val="es-ES"/>
            </w:rPr>
            <w:drawing>
              <wp:anchor distT="0" distB="0" distL="114300" distR="114300" simplePos="0" relativeHeight="251658240" behindDoc="0" locked="0" layoutInCell="1" allowOverlap="1" wp14:anchorId="71B300EB" wp14:editId="04544990">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lang w:val="es-ES"/>
            </w:rPr>
            <w:t>22-02789</w:t>
          </w:r>
          <w:r w:rsidR="003A37AD">
            <w:rPr>
              <w:lang w:val="es-ES"/>
            </w:rPr>
            <w:t>X</w:t>
          </w:r>
          <w:r>
            <w:rPr>
              <w:lang w:val="es-ES"/>
            </w:rPr>
            <w:t xml:space="preserve"> (S)    </w:t>
          </w:r>
        </w:p>
        <w:p w14:paraId="033DCB13" w14:textId="06B7F231" w:rsidR="00D42E8B" w:rsidRPr="002E3549" w:rsidRDefault="00D42E8B" w:rsidP="00D42E8B">
          <w:pPr>
            <w:pStyle w:val="Footer"/>
            <w:spacing w:before="80" w:line="210" w:lineRule="exact"/>
            <w:rPr>
              <w:rFonts w:ascii="Barcode 3 of 9 by request" w:hAnsi="Barcode 3 of 9 by request"/>
              <w:b w:val="0"/>
              <w:sz w:val="24"/>
            </w:rPr>
          </w:pPr>
          <w:r w:rsidRPr="002E3549">
            <w:rPr>
              <w:rFonts w:ascii="Barcode 3 of 9 by request" w:hAnsi="Barcode 3 of 9 by request"/>
              <w:bCs/>
              <w:sz w:val="24"/>
              <w:lang w:val="es-ES"/>
            </w:rPr>
            <w:t>*2202789*</w:t>
          </w:r>
        </w:p>
      </w:tc>
      <w:tc>
        <w:tcPr>
          <w:tcW w:w="4920" w:type="dxa"/>
        </w:tcPr>
        <w:p w14:paraId="74A45ACF" w14:textId="17B7FE97" w:rsidR="00D42E8B" w:rsidRDefault="00CF4844" w:rsidP="00D42E8B">
          <w:pPr>
            <w:pStyle w:val="Footer"/>
            <w:jc w:val="right"/>
            <w:rPr>
              <w:b w:val="0"/>
              <w:sz w:val="20"/>
            </w:rPr>
          </w:pPr>
          <w:r>
            <w:rPr>
              <w:b w:val="0"/>
              <w:sz w:val="20"/>
              <w:lang w:val="es-ES" w:eastAsia="zh-CN"/>
            </w:rPr>
            <w:drawing>
              <wp:inline distT="0" distB="0" distL="0" distR="0" wp14:anchorId="08AEB7DB" wp14:editId="31D00D99">
                <wp:extent cx="1038225" cy="209550"/>
                <wp:effectExtent l="0" t="0" r="0" b="0"/>
                <wp:docPr id="2" name="Picture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tip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p>
      </w:tc>
    </w:tr>
  </w:tbl>
  <w:p w14:paraId="7EE76E9A" w14:textId="77777777" w:rsidR="00D42E8B" w:rsidRPr="00D42E8B" w:rsidRDefault="00D42E8B" w:rsidP="00D42E8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4E0C" w14:textId="77777777" w:rsidR="001A7245" w:rsidRDefault="001A7245" w:rsidP="00556720">
      <w:r>
        <w:separator/>
      </w:r>
    </w:p>
  </w:footnote>
  <w:footnote w:type="continuationSeparator" w:id="0">
    <w:p w14:paraId="790A7315" w14:textId="77777777" w:rsidR="001A7245" w:rsidRDefault="001A724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42E8B" w14:paraId="043CC0ED" w14:textId="77777777" w:rsidTr="00D42E8B">
      <w:trPr>
        <w:trHeight w:hRule="exact" w:val="864"/>
      </w:trPr>
      <w:tc>
        <w:tcPr>
          <w:tcW w:w="4920" w:type="dxa"/>
          <w:shd w:val="clear" w:color="auto" w:fill="auto"/>
          <w:vAlign w:val="bottom"/>
        </w:tcPr>
        <w:p w14:paraId="59020894" w14:textId="5A3B318E" w:rsidR="00D42E8B" w:rsidRPr="00D42E8B" w:rsidRDefault="00C41A50" w:rsidP="00D42E8B">
          <w:pPr>
            <w:pStyle w:val="Header"/>
            <w:spacing w:after="80"/>
            <w:rPr>
              <w:b/>
            </w:rPr>
          </w:pPr>
          <w:r>
            <w:rPr>
              <w:b/>
            </w:rPr>
            <w:fldChar w:fldCharType="begin"/>
          </w:r>
          <w:r>
            <w:rPr>
              <w:b/>
            </w:rPr>
            <w:instrText xml:space="preserve"> DOCVARIABLE "sss1" \* MERGEFORMAT </w:instrText>
          </w:r>
          <w:r>
            <w:rPr>
              <w:b/>
            </w:rPr>
            <w:fldChar w:fldCharType="separate"/>
          </w:r>
          <w:r w:rsidR="00EC0FFE">
            <w:rPr>
              <w:b/>
            </w:rPr>
            <w:t>CEDAW/C/NAM/RQ/6</w:t>
          </w:r>
          <w:r>
            <w:rPr>
              <w:b/>
            </w:rPr>
            <w:fldChar w:fldCharType="end"/>
          </w:r>
        </w:p>
      </w:tc>
      <w:tc>
        <w:tcPr>
          <w:tcW w:w="4920" w:type="dxa"/>
          <w:shd w:val="clear" w:color="auto" w:fill="auto"/>
          <w:vAlign w:val="bottom"/>
        </w:tcPr>
        <w:p w14:paraId="3E0FEE7B" w14:textId="77777777" w:rsidR="00D42E8B" w:rsidRDefault="00D42E8B" w:rsidP="00D42E8B">
          <w:pPr>
            <w:pStyle w:val="Header"/>
          </w:pPr>
        </w:p>
      </w:tc>
    </w:tr>
  </w:tbl>
  <w:p w14:paraId="529B4E6A" w14:textId="77777777" w:rsidR="00D42E8B" w:rsidRPr="00D42E8B" w:rsidRDefault="00D42E8B" w:rsidP="00D42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42E8B" w14:paraId="69EB58C0" w14:textId="77777777" w:rsidTr="00D42E8B">
      <w:trPr>
        <w:trHeight w:hRule="exact" w:val="864"/>
      </w:trPr>
      <w:tc>
        <w:tcPr>
          <w:tcW w:w="4920" w:type="dxa"/>
          <w:shd w:val="clear" w:color="auto" w:fill="auto"/>
          <w:vAlign w:val="bottom"/>
        </w:tcPr>
        <w:p w14:paraId="11227A60" w14:textId="77777777" w:rsidR="00D42E8B" w:rsidRDefault="00D42E8B" w:rsidP="00D42E8B">
          <w:pPr>
            <w:pStyle w:val="Header"/>
          </w:pPr>
        </w:p>
      </w:tc>
      <w:tc>
        <w:tcPr>
          <w:tcW w:w="4920" w:type="dxa"/>
          <w:shd w:val="clear" w:color="auto" w:fill="auto"/>
          <w:vAlign w:val="bottom"/>
        </w:tcPr>
        <w:p w14:paraId="72BD7982" w14:textId="26C9C6D3" w:rsidR="00D42E8B" w:rsidRPr="00D42E8B" w:rsidRDefault="00C41A50" w:rsidP="00D42E8B">
          <w:pPr>
            <w:pStyle w:val="Header"/>
            <w:spacing w:after="80"/>
            <w:jc w:val="right"/>
            <w:rPr>
              <w:b/>
            </w:rPr>
          </w:pPr>
          <w:r>
            <w:rPr>
              <w:b/>
            </w:rPr>
            <w:fldChar w:fldCharType="begin"/>
          </w:r>
          <w:r>
            <w:rPr>
              <w:b/>
            </w:rPr>
            <w:instrText xml:space="preserve"> DOCVARIABLE "sss1" \* MERGEFORMAT </w:instrText>
          </w:r>
          <w:r>
            <w:rPr>
              <w:b/>
            </w:rPr>
            <w:fldChar w:fldCharType="separate"/>
          </w:r>
          <w:r w:rsidR="00EC0FFE">
            <w:rPr>
              <w:b/>
            </w:rPr>
            <w:t>CEDAW/C/NAM/RQ/6</w:t>
          </w:r>
          <w:r>
            <w:rPr>
              <w:b/>
            </w:rPr>
            <w:fldChar w:fldCharType="end"/>
          </w:r>
        </w:p>
      </w:tc>
    </w:tr>
  </w:tbl>
  <w:p w14:paraId="0FF8F9E3" w14:textId="77777777" w:rsidR="00D42E8B" w:rsidRPr="00D42E8B" w:rsidRDefault="00D42E8B" w:rsidP="00D42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117"/>
      <w:gridCol w:w="3110"/>
      <w:gridCol w:w="245"/>
      <w:gridCol w:w="3096"/>
      <w:gridCol w:w="15"/>
    </w:tblGrid>
    <w:tr w:rsidR="000C4AA7" w14:paraId="51C135DA" w14:textId="77777777" w:rsidTr="00FD7F5E">
      <w:trPr>
        <w:trHeight w:hRule="exact" w:val="864"/>
      </w:trPr>
      <w:tc>
        <w:tcPr>
          <w:tcW w:w="1267" w:type="dxa"/>
          <w:tcBorders>
            <w:bottom w:val="single" w:sz="4" w:space="0" w:color="auto"/>
          </w:tcBorders>
          <w:shd w:val="clear" w:color="auto" w:fill="auto"/>
          <w:vAlign w:val="bottom"/>
        </w:tcPr>
        <w:p w14:paraId="5CB711AA" w14:textId="77777777" w:rsidR="000C4AA7" w:rsidRDefault="000C4AA7" w:rsidP="00D42E8B">
          <w:pPr>
            <w:pStyle w:val="Header"/>
            <w:spacing w:after="120"/>
          </w:pPr>
        </w:p>
      </w:tc>
      <w:tc>
        <w:tcPr>
          <w:tcW w:w="2117" w:type="dxa"/>
          <w:tcBorders>
            <w:bottom w:val="single" w:sz="4" w:space="0" w:color="auto"/>
          </w:tcBorders>
          <w:shd w:val="clear" w:color="auto" w:fill="auto"/>
          <w:vAlign w:val="bottom"/>
        </w:tcPr>
        <w:p w14:paraId="4AA29FA4" w14:textId="56DC8D39" w:rsidR="000C4AA7" w:rsidRPr="000C4AA7" w:rsidRDefault="000C4AA7" w:rsidP="000C4AA7">
          <w:pPr>
            <w:pStyle w:val="HCh"/>
            <w:spacing w:after="80"/>
            <w:rPr>
              <w:lang w:val="es-ES"/>
            </w:rPr>
          </w:pPr>
          <w:r>
            <w:rPr>
              <w:lang w:val="es-ES"/>
            </w:rPr>
            <w:t>Naciones Unidas</w:t>
          </w:r>
        </w:p>
      </w:tc>
      <w:tc>
        <w:tcPr>
          <w:tcW w:w="6466" w:type="dxa"/>
          <w:gridSpan w:val="4"/>
          <w:tcBorders>
            <w:bottom w:val="single" w:sz="4" w:space="0" w:color="auto"/>
          </w:tcBorders>
          <w:shd w:val="clear" w:color="auto" w:fill="auto"/>
          <w:vAlign w:val="bottom"/>
        </w:tcPr>
        <w:p w14:paraId="5BD33C68" w14:textId="10CDED65" w:rsidR="000C4AA7" w:rsidRPr="00D42E8B" w:rsidRDefault="000C4AA7" w:rsidP="00D42E8B">
          <w:pPr>
            <w:spacing w:after="80" w:line="240" w:lineRule="auto"/>
            <w:jc w:val="right"/>
            <w:rPr>
              <w:position w:val="-4"/>
            </w:rPr>
          </w:pPr>
          <w:r>
            <w:rPr>
              <w:position w:val="-4"/>
              <w:sz w:val="40"/>
            </w:rPr>
            <w:t>CEDAW</w:t>
          </w:r>
          <w:r>
            <w:rPr>
              <w:position w:val="-4"/>
            </w:rPr>
            <w:t>/C/NAM/RQ/6</w:t>
          </w:r>
        </w:p>
      </w:tc>
    </w:tr>
    <w:tr w:rsidR="00D42E8B" w:rsidRPr="00EC0FFE" w14:paraId="1358CB90" w14:textId="77777777" w:rsidTr="00D42E8B">
      <w:trPr>
        <w:gridAfter w:val="1"/>
        <w:wAfter w:w="15" w:type="dxa"/>
        <w:trHeight w:hRule="exact" w:val="2880"/>
      </w:trPr>
      <w:tc>
        <w:tcPr>
          <w:tcW w:w="1267" w:type="dxa"/>
          <w:tcBorders>
            <w:top w:val="single" w:sz="4" w:space="0" w:color="auto"/>
            <w:bottom w:val="single" w:sz="12" w:space="0" w:color="auto"/>
          </w:tcBorders>
          <w:shd w:val="clear" w:color="auto" w:fill="auto"/>
        </w:tcPr>
        <w:p w14:paraId="7C3BBE63" w14:textId="6A2E1935" w:rsidR="00D42E8B" w:rsidRPr="00D42E8B" w:rsidRDefault="00D42E8B" w:rsidP="00D42E8B">
          <w:pPr>
            <w:pStyle w:val="Header"/>
            <w:spacing w:before="120"/>
            <w:jc w:val="center"/>
          </w:pPr>
          <w:r>
            <w:t xml:space="preserve"> </w:t>
          </w:r>
          <w:r>
            <w:drawing>
              <wp:inline distT="0" distB="0" distL="0" distR="0" wp14:anchorId="058A0124" wp14:editId="102A3E0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2"/>
          <w:tcBorders>
            <w:top w:val="single" w:sz="4" w:space="0" w:color="auto"/>
            <w:bottom w:val="single" w:sz="12" w:space="0" w:color="auto"/>
          </w:tcBorders>
          <w:shd w:val="clear" w:color="auto" w:fill="auto"/>
        </w:tcPr>
        <w:p w14:paraId="1B03E623" w14:textId="5F42B25B" w:rsidR="00D42E8B" w:rsidRPr="006744B9" w:rsidRDefault="00D42E8B" w:rsidP="00D42E8B">
          <w:pPr>
            <w:pStyle w:val="XLarge"/>
            <w:spacing w:before="109"/>
            <w:rPr>
              <w:lang w:val="es-ES"/>
            </w:rPr>
          </w:pPr>
          <w:r>
            <w:rPr>
              <w:bCs/>
              <w:lang w:val="es-ES"/>
            </w:rPr>
            <w:t>Convención sobre la Eliminación de Todas las Formas de Discriminación contra la Mujer</w:t>
          </w:r>
        </w:p>
      </w:tc>
      <w:tc>
        <w:tcPr>
          <w:tcW w:w="245" w:type="dxa"/>
          <w:tcBorders>
            <w:top w:val="single" w:sz="4" w:space="0" w:color="auto"/>
            <w:bottom w:val="single" w:sz="12" w:space="0" w:color="auto"/>
          </w:tcBorders>
          <w:shd w:val="clear" w:color="auto" w:fill="auto"/>
        </w:tcPr>
        <w:p w14:paraId="7FA07E17" w14:textId="77777777" w:rsidR="00D42E8B" w:rsidRPr="006744B9" w:rsidRDefault="00D42E8B" w:rsidP="00D42E8B">
          <w:pPr>
            <w:pStyle w:val="Header"/>
            <w:spacing w:before="109"/>
            <w:rPr>
              <w:lang w:val="es-ES"/>
            </w:rPr>
          </w:pPr>
        </w:p>
      </w:tc>
      <w:tc>
        <w:tcPr>
          <w:tcW w:w="3096" w:type="dxa"/>
          <w:tcBorders>
            <w:top w:val="single" w:sz="4" w:space="0" w:color="auto"/>
            <w:bottom w:val="single" w:sz="12" w:space="0" w:color="auto"/>
          </w:tcBorders>
          <w:shd w:val="clear" w:color="auto" w:fill="auto"/>
        </w:tcPr>
        <w:p w14:paraId="6622408F" w14:textId="77777777" w:rsidR="00D42E8B" w:rsidRPr="006744B9" w:rsidRDefault="00D42E8B" w:rsidP="00D42E8B">
          <w:pPr>
            <w:pStyle w:val="Publication"/>
            <w:spacing w:before="240"/>
            <w:rPr>
              <w:color w:val="010000"/>
              <w:lang w:val="es-ES"/>
            </w:rPr>
          </w:pPr>
          <w:proofErr w:type="spellStart"/>
          <w:r>
            <w:rPr>
              <w:lang w:val="es-ES"/>
            </w:rPr>
            <w:t>Distr</w:t>
          </w:r>
          <w:proofErr w:type="spellEnd"/>
          <w:r>
            <w:rPr>
              <w:lang w:val="es-ES"/>
            </w:rPr>
            <w:t>. general</w:t>
          </w:r>
        </w:p>
        <w:p w14:paraId="5761CC72" w14:textId="1BEAF9B0" w:rsidR="00D42E8B" w:rsidRPr="006744B9" w:rsidRDefault="00DD0552" w:rsidP="00D42E8B">
          <w:pPr>
            <w:rPr>
              <w:lang w:val="es-ES"/>
            </w:rPr>
          </w:pPr>
          <w:r>
            <w:rPr>
              <w:lang w:val="es-ES"/>
            </w:rPr>
            <w:t>25 de febrero de 2022</w:t>
          </w:r>
        </w:p>
        <w:p w14:paraId="6765C2B8" w14:textId="7BB39F93" w:rsidR="00D42E8B" w:rsidRPr="006744B9" w:rsidRDefault="00D42E8B" w:rsidP="00D42E8B">
          <w:pPr>
            <w:rPr>
              <w:lang w:val="es-ES"/>
            </w:rPr>
          </w:pPr>
        </w:p>
        <w:p w14:paraId="26A56CE2" w14:textId="77777777" w:rsidR="000C4AA7" w:rsidRDefault="00D42E8B" w:rsidP="00D42E8B">
          <w:pPr>
            <w:rPr>
              <w:lang w:val="es-ES"/>
            </w:rPr>
          </w:pPr>
          <w:r>
            <w:rPr>
              <w:lang w:val="es-ES"/>
            </w:rPr>
            <w:t xml:space="preserve">Español </w:t>
          </w:r>
        </w:p>
        <w:p w14:paraId="77C07F09" w14:textId="69A629FB" w:rsidR="00D42E8B" w:rsidRPr="006744B9" w:rsidRDefault="00D42E8B" w:rsidP="00D42E8B">
          <w:pPr>
            <w:rPr>
              <w:lang w:val="es-ES"/>
            </w:rPr>
          </w:pPr>
          <w:r>
            <w:rPr>
              <w:lang w:val="es-ES"/>
            </w:rPr>
            <w:t>Original: inglés</w:t>
          </w:r>
        </w:p>
        <w:p w14:paraId="4B122D18" w14:textId="2ED67B6D" w:rsidR="00DD0552" w:rsidRPr="006744B9" w:rsidRDefault="00DD0552" w:rsidP="00D42E8B">
          <w:pPr>
            <w:rPr>
              <w:lang w:val="es-ES"/>
            </w:rPr>
          </w:pPr>
          <w:r>
            <w:rPr>
              <w:lang w:val="es-ES"/>
            </w:rPr>
            <w:t>Español, francés e inglés únicamente</w:t>
          </w:r>
        </w:p>
      </w:tc>
    </w:tr>
  </w:tbl>
  <w:p w14:paraId="0661B897" w14:textId="77777777" w:rsidR="00D42E8B" w:rsidRPr="006744B9" w:rsidRDefault="00D42E8B" w:rsidP="00D42E8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1F765F5"/>
    <w:multiLevelType w:val="hybridMultilevel"/>
    <w:tmpl w:val="34A06656"/>
    <w:lvl w:ilvl="0" w:tplc="66C8843A">
      <w:start w:val="1"/>
      <w:numFmt w:val="upperRoman"/>
      <w:lvlText w:val="%1."/>
      <w:lvlJc w:val="left"/>
      <w:pPr>
        <w:ind w:left="1380" w:hanging="10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475"/>
  <w:hyphenationZone w:val="20"/>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202789*"/>
    <w:docVar w:name="CreationDt" w:val="04/03/2022 3:47: PM"/>
    <w:docVar w:name="DocCategory" w:val="Doc"/>
    <w:docVar w:name="DocType" w:val="Final"/>
    <w:docVar w:name="DutyStation" w:val="New York"/>
    <w:docVar w:name="FooterJN" w:val="22-02789"/>
    <w:docVar w:name="jobn" w:val="22-02789 (E)"/>
    <w:docVar w:name="jobnDT" w:val="22-02789 (E)   040322"/>
    <w:docVar w:name="jobnDTDT" w:val="22-02789 (E)   040322   040322"/>
    <w:docVar w:name="JobNo" w:val="2202789E"/>
    <w:docVar w:name="JobNo2" w:val="2226938E"/>
    <w:docVar w:name="LocalDrive" w:val="-1"/>
    <w:docVar w:name="OandT" w:val=" "/>
    <w:docVar w:name="Session1" w:val="Eighty-second session_x000d_"/>
    <w:docVar w:name="sss1" w:val="CEDAW/C/NAM/RQ/6"/>
    <w:docVar w:name="sss2" w:val="-"/>
    <w:docVar w:name="Symbol1" w:val="CEDAW/C/NAM/RQ/6"/>
    <w:docVar w:name="Symbol2" w:val="-"/>
    <w:docVar w:name="Title1" w:val="_x0009__x0009_Replies of Namibia to the list of issues and questions in relation to its sixth periodic report*_x000d_"/>
  </w:docVars>
  <w:rsids>
    <w:rsidRoot w:val="00C723BF"/>
    <w:rsid w:val="00012805"/>
    <w:rsid w:val="0001325F"/>
    <w:rsid w:val="00017284"/>
    <w:rsid w:val="00017FCF"/>
    <w:rsid w:val="00024D1E"/>
    <w:rsid w:val="0002696A"/>
    <w:rsid w:val="000408AB"/>
    <w:rsid w:val="00084C4B"/>
    <w:rsid w:val="000B25C2"/>
    <w:rsid w:val="000B3288"/>
    <w:rsid w:val="000B5AFB"/>
    <w:rsid w:val="000C4AA7"/>
    <w:rsid w:val="000C4C9C"/>
    <w:rsid w:val="000C632A"/>
    <w:rsid w:val="000D47B8"/>
    <w:rsid w:val="000F33D5"/>
    <w:rsid w:val="0011766D"/>
    <w:rsid w:val="00141EC2"/>
    <w:rsid w:val="001658DE"/>
    <w:rsid w:val="00176423"/>
    <w:rsid w:val="001A207A"/>
    <w:rsid w:val="001A41C6"/>
    <w:rsid w:val="001A7245"/>
    <w:rsid w:val="001B1F44"/>
    <w:rsid w:val="001C22A4"/>
    <w:rsid w:val="001C66B8"/>
    <w:rsid w:val="001D4C42"/>
    <w:rsid w:val="001D79B0"/>
    <w:rsid w:val="001F7C93"/>
    <w:rsid w:val="002007C7"/>
    <w:rsid w:val="00200F9C"/>
    <w:rsid w:val="00201732"/>
    <w:rsid w:val="00214645"/>
    <w:rsid w:val="0021603A"/>
    <w:rsid w:val="00230647"/>
    <w:rsid w:val="002706A2"/>
    <w:rsid w:val="00270CB6"/>
    <w:rsid w:val="00284647"/>
    <w:rsid w:val="002B264F"/>
    <w:rsid w:val="002C633D"/>
    <w:rsid w:val="002D5AB8"/>
    <w:rsid w:val="002E09A8"/>
    <w:rsid w:val="002E3549"/>
    <w:rsid w:val="002E5BC2"/>
    <w:rsid w:val="00300B6A"/>
    <w:rsid w:val="003160A9"/>
    <w:rsid w:val="00346E64"/>
    <w:rsid w:val="00371A3B"/>
    <w:rsid w:val="0037789A"/>
    <w:rsid w:val="003A0A16"/>
    <w:rsid w:val="003A37AD"/>
    <w:rsid w:val="003B2C30"/>
    <w:rsid w:val="003B41A7"/>
    <w:rsid w:val="003D159A"/>
    <w:rsid w:val="003D1CF4"/>
    <w:rsid w:val="003E3B08"/>
    <w:rsid w:val="003E723B"/>
    <w:rsid w:val="003F18CF"/>
    <w:rsid w:val="003F25BA"/>
    <w:rsid w:val="004127FF"/>
    <w:rsid w:val="0044179B"/>
    <w:rsid w:val="004856CD"/>
    <w:rsid w:val="0049190F"/>
    <w:rsid w:val="00492ED8"/>
    <w:rsid w:val="004A199E"/>
    <w:rsid w:val="004A6554"/>
    <w:rsid w:val="004B0B18"/>
    <w:rsid w:val="004B4C46"/>
    <w:rsid w:val="004C6B6A"/>
    <w:rsid w:val="004D17DB"/>
    <w:rsid w:val="005151CB"/>
    <w:rsid w:val="00525648"/>
    <w:rsid w:val="00525667"/>
    <w:rsid w:val="0054091E"/>
    <w:rsid w:val="005439A3"/>
    <w:rsid w:val="00556720"/>
    <w:rsid w:val="00564E7E"/>
    <w:rsid w:val="005C49C8"/>
    <w:rsid w:val="005D3507"/>
    <w:rsid w:val="005E4C8F"/>
    <w:rsid w:val="005F2F1C"/>
    <w:rsid w:val="0060207B"/>
    <w:rsid w:val="00612565"/>
    <w:rsid w:val="006137E4"/>
    <w:rsid w:val="00625A01"/>
    <w:rsid w:val="00636929"/>
    <w:rsid w:val="0064252E"/>
    <w:rsid w:val="00651750"/>
    <w:rsid w:val="00674235"/>
    <w:rsid w:val="006744B9"/>
    <w:rsid w:val="006D3D38"/>
    <w:rsid w:val="006D6278"/>
    <w:rsid w:val="006E19F3"/>
    <w:rsid w:val="006E2FA3"/>
    <w:rsid w:val="00707CAD"/>
    <w:rsid w:val="007341A9"/>
    <w:rsid w:val="00747697"/>
    <w:rsid w:val="00764DD9"/>
    <w:rsid w:val="00777887"/>
    <w:rsid w:val="007A4C14"/>
    <w:rsid w:val="007A620C"/>
    <w:rsid w:val="007B0DF1"/>
    <w:rsid w:val="007C6D24"/>
    <w:rsid w:val="007F1EE6"/>
    <w:rsid w:val="007F7E12"/>
    <w:rsid w:val="0080467C"/>
    <w:rsid w:val="00811400"/>
    <w:rsid w:val="0083435C"/>
    <w:rsid w:val="00846D29"/>
    <w:rsid w:val="00847C6F"/>
    <w:rsid w:val="00855FFA"/>
    <w:rsid w:val="008723C3"/>
    <w:rsid w:val="008868A8"/>
    <w:rsid w:val="00890662"/>
    <w:rsid w:val="0089085F"/>
    <w:rsid w:val="00893B6E"/>
    <w:rsid w:val="008A156F"/>
    <w:rsid w:val="008F1C5D"/>
    <w:rsid w:val="00915F2C"/>
    <w:rsid w:val="00947922"/>
    <w:rsid w:val="009517EC"/>
    <w:rsid w:val="00957DFC"/>
    <w:rsid w:val="009817BB"/>
    <w:rsid w:val="009B3563"/>
    <w:rsid w:val="009B5867"/>
    <w:rsid w:val="009E1969"/>
    <w:rsid w:val="009E4BA1"/>
    <w:rsid w:val="00A20AC0"/>
    <w:rsid w:val="00A30DCB"/>
    <w:rsid w:val="00A33A05"/>
    <w:rsid w:val="00A43587"/>
    <w:rsid w:val="00A67B69"/>
    <w:rsid w:val="00A73452"/>
    <w:rsid w:val="00A81678"/>
    <w:rsid w:val="00A8791E"/>
    <w:rsid w:val="00A93A73"/>
    <w:rsid w:val="00AA2E74"/>
    <w:rsid w:val="00AA31F4"/>
    <w:rsid w:val="00AB2BAB"/>
    <w:rsid w:val="00AC617F"/>
    <w:rsid w:val="00AD1064"/>
    <w:rsid w:val="00AD54FC"/>
    <w:rsid w:val="00AE72A3"/>
    <w:rsid w:val="00AF3073"/>
    <w:rsid w:val="00B27E2C"/>
    <w:rsid w:val="00B40842"/>
    <w:rsid w:val="00BA2187"/>
    <w:rsid w:val="00BA42E9"/>
    <w:rsid w:val="00BA666B"/>
    <w:rsid w:val="00BB5C7D"/>
    <w:rsid w:val="00BD19FF"/>
    <w:rsid w:val="00BE196B"/>
    <w:rsid w:val="00BE753A"/>
    <w:rsid w:val="00BF5B27"/>
    <w:rsid w:val="00BF6BE0"/>
    <w:rsid w:val="00C14944"/>
    <w:rsid w:val="00C35AFD"/>
    <w:rsid w:val="00C41A50"/>
    <w:rsid w:val="00C47CB3"/>
    <w:rsid w:val="00C50111"/>
    <w:rsid w:val="00C723BF"/>
    <w:rsid w:val="00C779E4"/>
    <w:rsid w:val="00CC3913"/>
    <w:rsid w:val="00CD4AC4"/>
    <w:rsid w:val="00CE3D06"/>
    <w:rsid w:val="00CF4844"/>
    <w:rsid w:val="00D026E4"/>
    <w:rsid w:val="00D42E8B"/>
    <w:rsid w:val="00D526E8"/>
    <w:rsid w:val="00D623FC"/>
    <w:rsid w:val="00D62AEE"/>
    <w:rsid w:val="00D94A42"/>
    <w:rsid w:val="00DA0E21"/>
    <w:rsid w:val="00DC0BF6"/>
    <w:rsid w:val="00DC7B16"/>
    <w:rsid w:val="00DD0552"/>
    <w:rsid w:val="00DD42F7"/>
    <w:rsid w:val="00DD5D18"/>
    <w:rsid w:val="00E51979"/>
    <w:rsid w:val="00E6773D"/>
    <w:rsid w:val="00E870C2"/>
    <w:rsid w:val="00EA2E7D"/>
    <w:rsid w:val="00EC0FFE"/>
    <w:rsid w:val="00ED42F5"/>
    <w:rsid w:val="00ED5AA7"/>
    <w:rsid w:val="00F07BA5"/>
    <w:rsid w:val="00F27BF6"/>
    <w:rsid w:val="00F30184"/>
    <w:rsid w:val="00F4552C"/>
    <w:rsid w:val="00F5593E"/>
    <w:rsid w:val="00F66BD1"/>
    <w:rsid w:val="00F7600D"/>
    <w:rsid w:val="00F8600E"/>
    <w:rsid w:val="00F94BC6"/>
    <w:rsid w:val="00FA5F7C"/>
    <w:rsid w:val="00FC49F5"/>
    <w:rsid w:val="00FE7E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35251C"/>
  <w15:chartTrackingRefBased/>
  <w15:docId w15:val="{14FB9F58-F7E0-4585-97BD-8ECFB300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3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B2C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B2C30"/>
    <w:pPr>
      <w:spacing w:line="300" w:lineRule="exact"/>
      <w:ind w:left="0" w:right="0" w:firstLine="0"/>
    </w:pPr>
    <w:rPr>
      <w:spacing w:val="-2"/>
      <w:sz w:val="28"/>
    </w:rPr>
  </w:style>
  <w:style w:type="paragraph" w:customStyle="1" w:styleId="HM">
    <w:name w:val="_ H __M"/>
    <w:basedOn w:val="HCh"/>
    <w:next w:val="Normal"/>
    <w:rsid w:val="003B2C30"/>
    <w:pPr>
      <w:spacing w:line="360" w:lineRule="exact"/>
    </w:pPr>
    <w:rPr>
      <w:spacing w:val="-3"/>
      <w:w w:val="99"/>
      <w:sz w:val="34"/>
    </w:rPr>
  </w:style>
  <w:style w:type="paragraph" w:customStyle="1" w:styleId="H23">
    <w:name w:val="_ H_2/3"/>
    <w:basedOn w:val="Normal"/>
    <w:next w:val="SingleTxt"/>
    <w:rsid w:val="003B2C30"/>
    <w:pPr>
      <w:outlineLvl w:val="1"/>
    </w:pPr>
    <w:rPr>
      <w:b/>
      <w:lang w:val="en-US"/>
    </w:rPr>
  </w:style>
  <w:style w:type="paragraph" w:customStyle="1" w:styleId="H4">
    <w:name w:val="_ H_4"/>
    <w:basedOn w:val="Normal"/>
    <w:next w:val="SingleTxt"/>
    <w:rsid w:val="003B2C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B2C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B2C3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B2C3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B2C30"/>
    <w:pPr>
      <w:spacing w:line="540" w:lineRule="exact"/>
    </w:pPr>
    <w:rPr>
      <w:spacing w:val="-8"/>
      <w:w w:val="96"/>
      <w:sz w:val="57"/>
    </w:rPr>
  </w:style>
  <w:style w:type="paragraph" w:customStyle="1" w:styleId="SS">
    <w:name w:val="__S_S"/>
    <w:basedOn w:val="HCh"/>
    <w:next w:val="Normal"/>
    <w:rsid w:val="003B2C30"/>
    <w:pPr>
      <w:ind w:left="1267" w:right="1267"/>
    </w:pPr>
  </w:style>
  <w:style w:type="paragraph" w:customStyle="1" w:styleId="SingleTxt">
    <w:name w:val="__Single Txt"/>
    <w:basedOn w:val="Normal"/>
    <w:rsid w:val="003B2C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B2C3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B2C3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B2C30"/>
    <w:pPr>
      <w:spacing w:line="240" w:lineRule="exact"/>
      <w:ind w:left="0" w:right="5040" w:firstLine="0"/>
      <w:outlineLvl w:val="1"/>
    </w:pPr>
    <w:rPr>
      <w:sz w:val="20"/>
    </w:rPr>
  </w:style>
  <w:style w:type="paragraph" w:styleId="BalloonText">
    <w:name w:val="Balloon Text"/>
    <w:basedOn w:val="Normal"/>
    <w:link w:val="BalloonTextChar"/>
    <w:semiHidden/>
    <w:rsid w:val="003B2C30"/>
    <w:rPr>
      <w:rFonts w:ascii="Tahoma" w:hAnsi="Tahoma" w:cs="Tahoma"/>
      <w:sz w:val="16"/>
      <w:szCs w:val="16"/>
    </w:rPr>
  </w:style>
  <w:style w:type="character" w:customStyle="1" w:styleId="BalloonTextChar">
    <w:name w:val="Balloon Text Char"/>
    <w:basedOn w:val="DefaultParagraphFont"/>
    <w:link w:val="BalloonText"/>
    <w:semiHidden/>
    <w:rsid w:val="003B2C3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B2C3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B2C3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B2C30"/>
    <w:rPr>
      <w:sz w:val="6"/>
    </w:rPr>
  </w:style>
  <w:style w:type="paragraph" w:customStyle="1" w:styleId="Distribution">
    <w:name w:val="Distribution"/>
    <w:next w:val="Normal"/>
    <w:rsid w:val="003B2C3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B2C3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B2C3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B2C3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B2C30"/>
  </w:style>
  <w:style w:type="character" w:customStyle="1" w:styleId="EndnoteTextChar">
    <w:name w:val="Endnote Text Char"/>
    <w:basedOn w:val="DefaultParagraphFont"/>
    <w:link w:val="EndnoteText"/>
    <w:semiHidden/>
    <w:rsid w:val="003B2C3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B2C3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B2C3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B2C3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B2C3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B2C3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B2C3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B2C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B2C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B2C30"/>
    <w:pPr>
      <w:tabs>
        <w:tab w:val="right" w:pos="9965"/>
      </w:tabs>
      <w:spacing w:line="210" w:lineRule="exact"/>
    </w:pPr>
    <w:rPr>
      <w:spacing w:val="5"/>
      <w:w w:val="104"/>
      <w:sz w:val="17"/>
    </w:rPr>
  </w:style>
  <w:style w:type="paragraph" w:customStyle="1" w:styleId="SmallX">
    <w:name w:val="SmallX"/>
    <w:basedOn w:val="Small"/>
    <w:next w:val="Normal"/>
    <w:rsid w:val="003B2C30"/>
    <w:pPr>
      <w:spacing w:line="180" w:lineRule="exact"/>
      <w:jc w:val="right"/>
    </w:pPr>
    <w:rPr>
      <w:spacing w:val="6"/>
      <w:w w:val="106"/>
      <w:sz w:val="14"/>
    </w:rPr>
  </w:style>
  <w:style w:type="paragraph" w:customStyle="1" w:styleId="TitleHCH">
    <w:name w:val="Title_H_CH"/>
    <w:basedOn w:val="H1"/>
    <w:next w:val="Normal"/>
    <w:qFormat/>
    <w:rsid w:val="003B2C30"/>
    <w:pPr>
      <w:spacing w:line="300" w:lineRule="exact"/>
      <w:ind w:left="0" w:right="0" w:firstLine="0"/>
    </w:pPr>
    <w:rPr>
      <w:spacing w:val="-2"/>
      <w:sz w:val="28"/>
    </w:rPr>
  </w:style>
  <w:style w:type="paragraph" w:customStyle="1" w:styleId="TitleH2">
    <w:name w:val="Title_H2"/>
    <w:basedOn w:val="Normal"/>
    <w:next w:val="Normal"/>
    <w:qFormat/>
    <w:rsid w:val="003B2C3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B2C30"/>
    <w:pPr>
      <w:spacing w:line="390" w:lineRule="exact"/>
    </w:pPr>
    <w:rPr>
      <w:spacing w:val="-4"/>
      <w:w w:val="98"/>
      <w:sz w:val="40"/>
    </w:rPr>
  </w:style>
  <w:style w:type="character" w:styleId="Hyperlink">
    <w:name w:val="Hyperlink"/>
    <w:basedOn w:val="DefaultParagraphFont"/>
    <w:rsid w:val="003B2C30"/>
    <w:rPr>
      <w:color w:val="0000FF"/>
      <w:u w:val="none"/>
    </w:rPr>
  </w:style>
  <w:style w:type="paragraph" w:styleId="PlainText">
    <w:name w:val="Plain Text"/>
    <w:basedOn w:val="Normal"/>
    <w:link w:val="PlainTextChar"/>
    <w:rsid w:val="003B2C3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B2C30"/>
    <w:rPr>
      <w:rFonts w:ascii="Courier New" w:eastAsia="Times New Roman" w:hAnsi="Courier New" w:cs="Times New Roman"/>
      <w:sz w:val="20"/>
      <w:szCs w:val="20"/>
      <w:lang w:val="en-US" w:eastAsia="en-GB"/>
    </w:rPr>
  </w:style>
  <w:style w:type="paragraph" w:customStyle="1" w:styleId="ReleaseDate0">
    <w:name w:val="Release Date"/>
    <w:next w:val="Footer"/>
    <w:rsid w:val="003B2C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B2C30"/>
  </w:style>
  <w:style w:type="table" w:styleId="TableGrid">
    <w:name w:val="Table Grid"/>
    <w:basedOn w:val="TableNormal"/>
    <w:rsid w:val="003B2C3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D42E8B"/>
    <w:pPr>
      <w:spacing w:line="240" w:lineRule="auto"/>
    </w:pPr>
  </w:style>
  <w:style w:type="character" w:customStyle="1" w:styleId="CommentTextChar">
    <w:name w:val="Comment Text Char"/>
    <w:basedOn w:val="DefaultParagraphFont"/>
    <w:link w:val="CommentText"/>
    <w:uiPriority w:val="99"/>
    <w:rsid w:val="00D42E8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42E8B"/>
    <w:rPr>
      <w:b/>
      <w:bCs/>
    </w:rPr>
  </w:style>
  <w:style w:type="character" w:customStyle="1" w:styleId="CommentSubjectChar">
    <w:name w:val="Comment Subject Char"/>
    <w:basedOn w:val="CommentTextChar"/>
    <w:link w:val="CommentSubject"/>
    <w:uiPriority w:val="99"/>
    <w:semiHidden/>
    <w:rsid w:val="00D42E8B"/>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link w:val="SingleTxtGChar"/>
    <w:qFormat/>
    <w:rsid w:val="003B41A7"/>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kern w:val="0"/>
    </w:rPr>
  </w:style>
  <w:style w:type="character" w:customStyle="1" w:styleId="SingleTxtGChar">
    <w:name w:val="_ Single Txt_G Char"/>
    <w:link w:val="SingleTxtG"/>
    <w:locked/>
    <w:rsid w:val="003B41A7"/>
    <w:rPr>
      <w:rFonts w:ascii="Times New Roman" w:eastAsiaTheme="minorHAnsi" w:hAnsi="Times New Roman" w:cs="Times New Roman"/>
      <w:sz w:val="20"/>
      <w:szCs w:val="20"/>
      <w:lang w:eastAsia="en-US"/>
    </w:rPr>
  </w:style>
  <w:style w:type="paragraph" w:styleId="Revision">
    <w:name w:val="Revision"/>
    <w:hidden/>
    <w:uiPriority w:val="99"/>
    <w:semiHidden/>
    <w:rsid w:val="00A33A05"/>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491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NAM/CO/4-5"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8278</Words>
  <Characters>47190</Characters>
  <Application>Microsoft Office Word</Application>
  <DocSecurity>0</DocSecurity>
  <Lines>393</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Eduardo Alfaro</cp:lastModifiedBy>
  <cp:revision>5</cp:revision>
  <cp:lastPrinted>2022-03-21T19:26:00Z</cp:lastPrinted>
  <dcterms:created xsi:type="dcterms:W3CDTF">2022-03-21T19:26:00Z</dcterms:created>
  <dcterms:modified xsi:type="dcterms:W3CDTF">2022-03-21T19:27:00Z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2202789</vt:lpwstr>
  </property>
  <property fmtid="{D5CDD505-2E9C-101B-9397-08002B2CF9AE}" pid="3" name="ODSRefJobNo">
    <vt:lpwstr>2226938E</vt:lpwstr>
  </property>
  <property fmtid="{D5CDD505-2E9C-101B-9397-08002B2CF9AE}" pid="4" name="Symbol1">
    <vt:lpwstr>CEDAW/C/NAM/RQ/6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ranslatedWith">
    <vt:lpwstr>Mercury</vt:lpwstr>
  </property>
  <property fmtid="{D5CDD505-2E9C-101B-9397-08002B2CF9AE}" pid="14" name="GeneratedBy">
    <vt:lpwstr>irina.chugur</vt:lpwstr>
  </property>
  <property fmtid="{D5CDD505-2E9C-101B-9397-08002B2CF9AE}" pid="15" name="GeneratedDate">
    <vt:lpwstr>03/09/2022 23:12:54</vt:lpwstr>
  </property>
  <property fmtid="{D5CDD505-2E9C-101B-9397-08002B2CF9AE}" pid="16" name="Session1">
    <vt:lpwstr>82º período de sesiones_x000d_</vt:lpwstr>
  </property>
  <property fmtid="{D5CDD505-2E9C-101B-9397-08002B2CF9AE}" pid="17" name="Agenda1">
    <vt:lpwstr>Tema 4 del programa provisional_x000d_</vt:lpwstr>
  </property>
  <property fmtid="{D5CDD505-2E9C-101B-9397-08002B2CF9AE}" pid="18"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9" name="Title1">
    <vt:lpwstr>		Respuestas de Namibia a la lista de cuestiones y preguntas relativa a su sexto informe periódico*_x000d_</vt:lpwstr>
  </property>
</Properties>
</file>