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24E84" w14:textId="77777777" w:rsidR="00A9139F" w:rsidRPr="00BA578C" w:rsidRDefault="00A9139F" w:rsidP="00A9139F">
      <w:pPr>
        <w:spacing w:line="240" w:lineRule="auto"/>
        <w:rPr>
          <w:sz w:val="2"/>
        </w:rPr>
        <w:sectPr w:rsidR="00A9139F" w:rsidRPr="00BA578C" w:rsidSect="00BA578C">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BA578C">
        <w:rPr>
          <w:rStyle w:val="CommentReference"/>
        </w:rPr>
        <w:commentReference w:id="0"/>
      </w:r>
    </w:p>
    <w:p w14:paraId="311FEAD6" w14:textId="69AE2CBC" w:rsidR="00BA578C" w:rsidRPr="00BA578C" w:rsidRDefault="00BA578C" w:rsidP="00BA578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0"/>
        <w:rPr>
          <w:lang w:val="fr-FR"/>
        </w:rPr>
      </w:pPr>
      <w:r w:rsidRPr="00BA578C">
        <w:rPr>
          <w:lang w:bidi="fr-FR"/>
        </w:rPr>
        <w:t>Comité pour l</w:t>
      </w:r>
      <w:r w:rsidR="00943120">
        <w:rPr>
          <w:lang w:bidi="fr-FR"/>
        </w:rPr>
        <w:t>’</w:t>
      </w:r>
      <w:r w:rsidRPr="00BA578C">
        <w:rPr>
          <w:lang w:bidi="fr-FR"/>
        </w:rPr>
        <w:t>élimination de la discrimination à l</w:t>
      </w:r>
      <w:r w:rsidR="00943120">
        <w:rPr>
          <w:lang w:bidi="fr-FR"/>
        </w:rPr>
        <w:t>’</w:t>
      </w:r>
      <w:r w:rsidRPr="00BA578C">
        <w:rPr>
          <w:lang w:bidi="fr-FR"/>
        </w:rPr>
        <w:t>égard des femmes</w:t>
      </w:r>
    </w:p>
    <w:p w14:paraId="3080E0B2" w14:textId="65E83295" w:rsidR="00BA578C" w:rsidRPr="00BA578C" w:rsidRDefault="00BA578C" w:rsidP="00BA578C">
      <w:pPr>
        <w:pStyle w:val="SingleTxt"/>
        <w:spacing w:after="0" w:line="120" w:lineRule="exact"/>
        <w:rPr>
          <w:sz w:val="10"/>
          <w:lang w:val="fr-FR"/>
        </w:rPr>
      </w:pPr>
    </w:p>
    <w:p w14:paraId="35AAB247" w14:textId="5692D305" w:rsidR="00BA578C" w:rsidRPr="00BA578C" w:rsidRDefault="00BA578C" w:rsidP="00BA578C">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sidRPr="00BA578C">
        <w:rPr>
          <w:noProof/>
          <w:w w:val="100"/>
        </w:rPr>
        <mc:AlternateContent>
          <mc:Choice Requires="wps">
            <w:drawing>
              <wp:anchor distT="0" distB="0" distL="114300" distR="114300" simplePos="0" relativeHeight="251659264" behindDoc="0" locked="0" layoutInCell="1" allowOverlap="1" wp14:anchorId="0E07B29B" wp14:editId="4E89F84B">
                <wp:simplePos x="0" y="0"/>
                <wp:positionH relativeFrom="column">
                  <wp:posOffset>548640</wp:posOffset>
                </wp:positionH>
                <wp:positionV relativeFrom="paragraph">
                  <wp:posOffset>-12700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3B2104"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" strokecolor="#010000" strokeweight=".25pt">
                <v:stroke joinstyle="miter"/>
              </v:line>
            </w:pict>
          </mc:Fallback>
        </mc:AlternateContent>
      </w:r>
      <w:r w:rsidRPr="00BA578C">
        <w:rPr>
          <w:spacing w:val="5"/>
          <w:w w:val="104"/>
          <w:sz w:val="17"/>
          <w:szCs w:val="20"/>
        </w:rPr>
        <w:tab/>
        <w:t>*</w:t>
      </w:r>
      <w:r w:rsidRPr="00BA578C">
        <w:rPr>
          <w:spacing w:val="5"/>
          <w:w w:val="104"/>
          <w:sz w:val="17"/>
          <w:szCs w:val="20"/>
        </w:rPr>
        <w:tab/>
      </w:r>
      <w:r w:rsidRPr="00BA578C">
        <w:rPr>
          <w:spacing w:val="5"/>
          <w:w w:val="104"/>
          <w:sz w:val="17"/>
          <w:szCs w:val="20"/>
          <w:lang w:bidi="fr-FR"/>
        </w:rPr>
        <w:t>La version originale du présent document n</w:t>
      </w:r>
      <w:r w:rsidR="00943120">
        <w:rPr>
          <w:spacing w:val="5"/>
          <w:w w:val="104"/>
          <w:sz w:val="17"/>
          <w:szCs w:val="20"/>
          <w:lang w:bidi="fr-FR"/>
        </w:rPr>
        <w:t>’</w:t>
      </w:r>
      <w:r w:rsidRPr="00BA578C">
        <w:rPr>
          <w:spacing w:val="5"/>
          <w:w w:val="104"/>
          <w:sz w:val="17"/>
          <w:szCs w:val="20"/>
          <w:lang w:bidi="fr-FR"/>
        </w:rPr>
        <w:t>a pas été revue par les services d</w:t>
      </w:r>
      <w:r w:rsidR="00943120">
        <w:rPr>
          <w:spacing w:val="5"/>
          <w:w w:val="104"/>
          <w:sz w:val="17"/>
          <w:szCs w:val="20"/>
          <w:lang w:bidi="fr-FR"/>
        </w:rPr>
        <w:t>’</w:t>
      </w:r>
      <w:r w:rsidRPr="00BA578C">
        <w:rPr>
          <w:spacing w:val="5"/>
          <w:w w:val="104"/>
          <w:sz w:val="17"/>
          <w:szCs w:val="20"/>
          <w:lang w:bidi="fr-FR"/>
        </w:rPr>
        <w:t>édition.</w:t>
      </w:r>
    </w:p>
    <w:p w14:paraId="17E969CE" w14:textId="708CB7FC" w:rsidR="00BA578C" w:rsidRPr="00BA578C" w:rsidRDefault="00BA578C" w:rsidP="00BA578C">
      <w:pPr>
        <w:pStyle w:val="SingleTxt"/>
        <w:spacing w:after="0" w:line="120" w:lineRule="exact"/>
        <w:rPr>
          <w:sz w:val="10"/>
          <w:lang w:val="fr-FR"/>
        </w:rPr>
      </w:pPr>
    </w:p>
    <w:p w14:paraId="617B2892" w14:textId="4CD043C7" w:rsidR="00BA578C" w:rsidRPr="00BA578C" w:rsidRDefault="00BA578C" w:rsidP="00BA578C">
      <w:pPr>
        <w:pStyle w:val="SingleTxt"/>
        <w:spacing w:after="0" w:line="120" w:lineRule="exact"/>
        <w:rPr>
          <w:sz w:val="10"/>
          <w:lang w:val="fr-FR"/>
        </w:rPr>
      </w:pPr>
    </w:p>
    <w:p w14:paraId="1EC2600A" w14:textId="77777777" w:rsidR="00BA578C" w:rsidRPr="00BA578C" w:rsidRDefault="00BA578C" w:rsidP="00BA578C">
      <w:pPr>
        <w:pStyle w:val="TitleHCH"/>
        <w:ind w:right="1260"/>
        <w:rPr>
          <w:lang w:val="fr-FR"/>
        </w:rPr>
      </w:pPr>
      <w:r w:rsidRPr="00BA578C">
        <w:rPr>
          <w:lang w:bidi="fr-FR"/>
        </w:rPr>
        <w:tab/>
      </w:r>
      <w:r w:rsidRPr="00BA578C">
        <w:rPr>
          <w:lang w:bidi="fr-FR"/>
        </w:rPr>
        <w:tab/>
        <w:t>Informations reçues de la Nouvelle-Zélande sur le suivi des observations finales relatives à son huitième rapport périodique</w:t>
      </w:r>
      <w:r w:rsidRPr="00BF32FC">
        <w:rPr>
          <w:b w:val="0"/>
          <w:bCs/>
          <w:sz w:val="20"/>
          <w:szCs w:val="20"/>
          <w:lang w:bidi="fr-FR"/>
        </w:rPr>
        <w:t>*</w:t>
      </w:r>
    </w:p>
    <w:p w14:paraId="21EB313B" w14:textId="5CE52338" w:rsidR="00BA578C" w:rsidRPr="00BA578C" w:rsidRDefault="00BA578C" w:rsidP="00BA578C">
      <w:pPr>
        <w:pStyle w:val="SingleTxt"/>
        <w:spacing w:after="0" w:line="120" w:lineRule="exact"/>
        <w:rPr>
          <w:sz w:val="10"/>
          <w:lang w:val="fr-FR"/>
        </w:rPr>
      </w:pPr>
    </w:p>
    <w:p w14:paraId="5D851480" w14:textId="557067B0" w:rsidR="00BA578C" w:rsidRPr="00BA578C" w:rsidRDefault="00BA578C" w:rsidP="00BA578C">
      <w:pPr>
        <w:pStyle w:val="SingleTxt"/>
        <w:spacing w:after="0" w:line="120" w:lineRule="exact"/>
        <w:rPr>
          <w:sz w:val="10"/>
          <w:lang w:val="fr-FR"/>
        </w:rPr>
      </w:pPr>
    </w:p>
    <w:p w14:paraId="7CF881E7" w14:textId="67260123" w:rsidR="00BA578C" w:rsidRPr="00BA578C" w:rsidRDefault="00BA578C" w:rsidP="00BA578C">
      <w:pPr>
        <w:pStyle w:val="SingleTxt"/>
        <w:jc w:val="right"/>
        <w:rPr>
          <w:lang w:val="fr-FR"/>
        </w:rPr>
      </w:pPr>
      <w:r w:rsidRPr="00BA578C">
        <w:rPr>
          <w:lang w:bidi="fr-FR"/>
        </w:rPr>
        <w:t>[Date de réception</w:t>
      </w:r>
      <w:r w:rsidR="00943120">
        <w:rPr>
          <w:lang w:bidi="fr-FR"/>
        </w:rPr>
        <w:t> :</w:t>
      </w:r>
      <w:r w:rsidRPr="00BA578C">
        <w:rPr>
          <w:lang w:bidi="fr-FR"/>
        </w:rPr>
        <w:t xml:space="preserve"> 30 juillet 2020]</w:t>
      </w:r>
    </w:p>
    <w:p w14:paraId="649C6CA8" w14:textId="77777777" w:rsidR="00BA578C" w:rsidRPr="00BA578C" w:rsidRDefault="00BA578C" w:rsidP="00BA578C">
      <w:pPr>
        <w:pStyle w:val="SingleTxt"/>
        <w:rPr>
          <w:lang w:val="fr-FR"/>
        </w:rPr>
      </w:pPr>
      <w:r w:rsidRPr="00BA578C">
        <w:rPr>
          <w:lang w:bidi="fr-FR"/>
        </w:rPr>
        <w:br w:type="page"/>
      </w:r>
    </w:p>
    <w:p w14:paraId="60015F0B" w14:textId="77777777" w:rsidR="00BA578C" w:rsidRPr="00BA578C" w:rsidRDefault="00BA578C" w:rsidP="00BA578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578C">
        <w:rPr>
          <w:sz w:val="20"/>
          <w:lang w:bidi="fr-FR"/>
        </w:rPr>
        <w:lastRenderedPageBreak/>
        <w:tab/>
      </w:r>
      <w:r w:rsidRPr="00BA578C">
        <w:rPr>
          <w:lang w:bidi="fr-FR"/>
        </w:rPr>
        <w:t>I.</w:t>
      </w:r>
      <w:r w:rsidRPr="00BA578C">
        <w:rPr>
          <w:lang w:bidi="fr-FR"/>
        </w:rPr>
        <w:tab/>
        <w:t xml:space="preserve">Introduction </w:t>
      </w:r>
    </w:p>
    <w:p w14:paraId="2FA8060F" w14:textId="5727D398" w:rsidR="00BA578C" w:rsidRPr="00BA578C" w:rsidRDefault="00BA578C" w:rsidP="00BA578C">
      <w:pPr>
        <w:pStyle w:val="SingleTxt"/>
        <w:spacing w:after="0" w:line="120" w:lineRule="exact"/>
        <w:rPr>
          <w:sz w:val="10"/>
          <w:lang w:val="fr-FR"/>
        </w:rPr>
      </w:pPr>
    </w:p>
    <w:p w14:paraId="2DED62CF" w14:textId="06F46AF5" w:rsidR="00BA578C" w:rsidRPr="00BA578C" w:rsidRDefault="00BA578C" w:rsidP="00BA578C">
      <w:pPr>
        <w:pStyle w:val="SingleTxt"/>
        <w:spacing w:after="0" w:line="120" w:lineRule="exact"/>
        <w:rPr>
          <w:sz w:val="10"/>
          <w:lang w:val="fr-FR"/>
        </w:rPr>
      </w:pPr>
    </w:p>
    <w:p w14:paraId="1C548E33" w14:textId="5DBC9627" w:rsidR="00BA578C" w:rsidRPr="00BA578C" w:rsidRDefault="00BA578C" w:rsidP="00BA578C">
      <w:pPr>
        <w:pStyle w:val="SingleTxt"/>
        <w:numPr>
          <w:ilvl w:val="0"/>
          <w:numId w:val="13"/>
        </w:numPr>
        <w:spacing w:line="240" w:lineRule="exact"/>
        <w:ind w:left="1267"/>
        <w:rPr>
          <w:lang w:val="fr-FR"/>
        </w:rPr>
      </w:pPr>
      <w:r w:rsidRPr="00BA578C">
        <w:rPr>
          <w:lang w:bidi="fr-FR"/>
        </w:rPr>
        <w:t>En juillet 2018, le Comité a publié ses observations finales sur le huitième rapport périodique de la Nouvelle-Zélande (</w:t>
      </w:r>
      <w:hyperlink r:id="rId16" w:history="1">
        <w:r w:rsidRPr="00BA578C">
          <w:rPr>
            <w:rStyle w:val="Hyperlink"/>
            <w:lang w:bidi="fr-FR"/>
          </w:rPr>
          <w:t>CEDAW/C/NZL/CO/8</w:t>
        </w:r>
      </w:hyperlink>
      <w:r w:rsidRPr="00BA578C">
        <w:rPr>
          <w:lang w:bidi="fr-FR"/>
        </w:rPr>
        <w:t>). Outre un certain nombre d</w:t>
      </w:r>
      <w:r w:rsidR="00943120">
        <w:rPr>
          <w:lang w:bidi="fr-FR"/>
        </w:rPr>
        <w:t>’</w:t>
      </w:r>
      <w:r w:rsidRPr="00BA578C">
        <w:rPr>
          <w:lang w:bidi="fr-FR"/>
        </w:rPr>
        <w:t>observations positives, le Comité a formulé quelques recommandations pour suite à donner.</w:t>
      </w:r>
    </w:p>
    <w:p w14:paraId="72DFF27F" w14:textId="69567E04" w:rsidR="00BA578C" w:rsidRPr="00BA578C" w:rsidRDefault="00BA578C" w:rsidP="00BA578C">
      <w:pPr>
        <w:pStyle w:val="SingleTxt"/>
        <w:numPr>
          <w:ilvl w:val="0"/>
          <w:numId w:val="13"/>
        </w:numPr>
        <w:spacing w:line="240" w:lineRule="exact"/>
        <w:ind w:left="1267"/>
        <w:rPr>
          <w:lang w:val="fr-FR"/>
        </w:rPr>
      </w:pPr>
      <w:r w:rsidRPr="00BA578C">
        <w:rPr>
          <w:lang w:bidi="fr-FR"/>
        </w:rPr>
        <w:t>Il a demandé à la Nouvelle-Zélande de fournir, dans un délai de deux ans, des informations écrites de suivi sur les mesures prises visant à appliquer ses quatre recommandations concernant les ressources de la Commission des droits de l</w:t>
      </w:r>
      <w:r w:rsidR="00943120">
        <w:rPr>
          <w:lang w:bidi="fr-FR"/>
        </w:rPr>
        <w:t>’</w:t>
      </w:r>
      <w:r w:rsidRPr="00BA578C">
        <w:rPr>
          <w:lang w:bidi="fr-FR"/>
        </w:rPr>
        <w:t>homme (CDH) et sa compétence en matière de travailleurs migrants</w:t>
      </w:r>
      <w:r w:rsidR="00943120">
        <w:rPr>
          <w:lang w:bidi="fr-FR"/>
        </w:rPr>
        <w:t> ;</w:t>
      </w:r>
      <w:r w:rsidRPr="00BA578C">
        <w:rPr>
          <w:lang w:bidi="fr-FR"/>
        </w:rPr>
        <w:t xml:space="preserve"> d</w:t>
      </w:r>
      <w:r w:rsidR="00943120">
        <w:rPr>
          <w:lang w:bidi="fr-FR"/>
        </w:rPr>
        <w:t>’</w:t>
      </w:r>
      <w:r w:rsidRPr="00BA578C">
        <w:rPr>
          <w:lang w:bidi="fr-FR"/>
        </w:rPr>
        <w:t>élaborer une stratégie de lutte contre la violence fondée sur le genre à l</w:t>
      </w:r>
      <w:r w:rsidR="00943120">
        <w:rPr>
          <w:lang w:bidi="fr-FR"/>
        </w:rPr>
        <w:t>’</w:t>
      </w:r>
      <w:r w:rsidRPr="00BA578C">
        <w:rPr>
          <w:lang w:bidi="fr-FR"/>
        </w:rPr>
        <w:t>égard des femmes, notamment les femmes handicapées</w:t>
      </w:r>
      <w:r w:rsidR="00943120">
        <w:rPr>
          <w:lang w:bidi="fr-FR"/>
        </w:rPr>
        <w:t> ;</w:t>
      </w:r>
      <w:r w:rsidRPr="00BA578C">
        <w:rPr>
          <w:lang w:bidi="fr-FR"/>
        </w:rPr>
        <w:t xml:space="preserve"> de mettre en œuvre la dépénalisation de l</w:t>
      </w:r>
      <w:r w:rsidR="00943120">
        <w:rPr>
          <w:lang w:bidi="fr-FR"/>
        </w:rPr>
        <w:t>’</w:t>
      </w:r>
      <w:r w:rsidRPr="00BA578C">
        <w:rPr>
          <w:lang w:bidi="fr-FR"/>
        </w:rPr>
        <w:t>avortement et de définir l</w:t>
      </w:r>
      <w:r w:rsidR="00943120">
        <w:rPr>
          <w:lang w:bidi="fr-FR"/>
        </w:rPr>
        <w:t>’</w:t>
      </w:r>
      <w:r w:rsidRPr="00BA578C">
        <w:rPr>
          <w:lang w:bidi="fr-FR"/>
        </w:rPr>
        <w:t>accès à la justice dans le système du tribunal des affaires familiales.</w:t>
      </w:r>
    </w:p>
    <w:p w14:paraId="1466E647" w14:textId="02ECE20A" w:rsidR="00BA578C" w:rsidRPr="00BA578C" w:rsidRDefault="00BA578C" w:rsidP="00BA578C">
      <w:pPr>
        <w:pStyle w:val="SingleTxt"/>
        <w:numPr>
          <w:ilvl w:val="0"/>
          <w:numId w:val="13"/>
        </w:numPr>
        <w:spacing w:line="240" w:lineRule="exact"/>
        <w:ind w:left="1267"/>
        <w:rPr>
          <w:lang w:val="fr-FR"/>
        </w:rPr>
      </w:pPr>
      <w:r w:rsidRPr="00BA578C">
        <w:rPr>
          <w:lang w:bidi="fr-FR"/>
        </w:rPr>
        <w:t>Les informations susmentionnées présentent les mesures prises à ce jour afin d</w:t>
      </w:r>
      <w:r w:rsidR="00943120">
        <w:rPr>
          <w:lang w:bidi="fr-FR"/>
        </w:rPr>
        <w:t>’</w:t>
      </w:r>
      <w:r w:rsidRPr="00BA578C">
        <w:rPr>
          <w:lang w:bidi="fr-FR"/>
        </w:rPr>
        <w:t>établir ces recommandations. La Nouvelle-Zélande donnera des réponses complètes à ces recommandations et aux autres recommandations formulées par le Comité dans son neuvième rapport périodique en 2022.</w:t>
      </w:r>
    </w:p>
    <w:p w14:paraId="4A9CFA40" w14:textId="26D94AD5" w:rsidR="00BA578C" w:rsidRPr="00BA578C" w:rsidRDefault="00BA578C" w:rsidP="00BA578C">
      <w:pPr>
        <w:pStyle w:val="SingleTxt"/>
        <w:numPr>
          <w:ilvl w:val="0"/>
          <w:numId w:val="13"/>
        </w:numPr>
        <w:spacing w:line="240" w:lineRule="exact"/>
        <w:ind w:left="1267"/>
        <w:rPr>
          <w:lang w:val="fr-FR"/>
        </w:rPr>
      </w:pPr>
      <w:r w:rsidRPr="00BA578C">
        <w:rPr>
          <w:lang w:bidi="fr-FR"/>
        </w:rPr>
        <w:t>En plus de mesurer le progrès à l</w:t>
      </w:r>
      <w:r w:rsidR="00943120">
        <w:rPr>
          <w:lang w:bidi="fr-FR"/>
        </w:rPr>
        <w:t>’</w:t>
      </w:r>
      <w:r w:rsidRPr="00BA578C">
        <w:rPr>
          <w:lang w:bidi="fr-FR"/>
        </w:rPr>
        <w:t>égard de l</w:t>
      </w:r>
      <w:r w:rsidR="00943120">
        <w:rPr>
          <w:lang w:bidi="fr-FR"/>
        </w:rPr>
        <w:t>’</w:t>
      </w:r>
      <w:r w:rsidRPr="00BA578C">
        <w:rPr>
          <w:lang w:bidi="fr-FR"/>
        </w:rPr>
        <w:t>ensemble des femmes néo-zélandaises, la Nouvelle-Zélande s</w:t>
      </w:r>
      <w:r w:rsidR="00943120">
        <w:rPr>
          <w:lang w:bidi="fr-FR"/>
        </w:rPr>
        <w:t>’</w:t>
      </w:r>
      <w:r w:rsidRPr="00BA578C">
        <w:rPr>
          <w:lang w:bidi="fr-FR"/>
        </w:rPr>
        <w:t>est engagée à faire en sorte que les avancées pour wāhine Māori soient rendus visibles. Un outil CEDAW créé récemment, disponible sur le site Web du Ministère de la femme</w:t>
      </w:r>
      <w:hyperlink r:id="rId17" w:history="1">
        <w:r w:rsidRPr="00BA578C">
          <w:rPr>
            <w:rStyle w:val="Hyperlink"/>
            <w:lang w:bidi="fr-FR"/>
          </w:rPr>
          <w:t xml:space="preserve"> (https://women.govt.nz/cedaw</w:t>
        </w:r>
      </w:hyperlink>
      <w:r w:rsidRPr="00BA578C">
        <w:rPr>
          <w:lang w:bidi="fr-FR"/>
        </w:rPr>
        <w:t>), rend compte des progrès réalisés par le gouvernement par rapport à l</w:t>
      </w:r>
      <w:r w:rsidR="00943120">
        <w:rPr>
          <w:lang w:bidi="fr-FR"/>
        </w:rPr>
        <w:t>’</w:t>
      </w:r>
      <w:r w:rsidRPr="00BA578C">
        <w:rPr>
          <w:lang w:bidi="fr-FR"/>
        </w:rPr>
        <w:t>ensemble des recommandations de la Nouvelle-Zélande, avec une section dédiée à chacune d</w:t>
      </w:r>
      <w:r w:rsidR="00943120">
        <w:rPr>
          <w:lang w:bidi="fr-FR"/>
        </w:rPr>
        <w:t>’</w:t>
      </w:r>
      <w:r w:rsidRPr="00BA578C">
        <w:rPr>
          <w:lang w:bidi="fr-FR"/>
        </w:rPr>
        <w:t>entre-elles, le cas échéant, pour wāhine Māori. La Nouvelle-Zélande s</w:t>
      </w:r>
      <w:r w:rsidR="00943120">
        <w:rPr>
          <w:lang w:bidi="fr-FR"/>
        </w:rPr>
        <w:t>’</w:t>
      </w:r>
      <w:r w:rsidRPr="00BA578C">
        <w:rPr>
          <w:lang w:bidi="fr-FR"/>
        </w:rPr>
        <w:t>est engagée à continuer à rendre compte des progrès réalisés pour wāhine Māori dans son neuvième rapport périodique.</w:t>
      </w:r>
    </w:p>
    <w:p w14:paraId="03393588" w14:textId="5F1F3030" w:rsidR="00BA578C" w:rsidRPr="00BA578C" w:rsidRDefault="00BA578C" w:rsidP="00BA578C">
      <w:pPr>
        <w:pStyle w:val="SingleTxt"/>
        <w:spacing w:after="0" w:line="120" w:lineRule="exact"/>
        <w:rPr>
          <w:sz w:val="10"/>
          <w:lang w:val="fr-FR"/>
        </w:rPr>
      </w:pPr>
    </w:p>
    <w:p w14:paraId="4A888CA9" w14:textId="73890675" w:rsidR="00BA578C" w:rsidRPr="00BA578C" w:rsidRDefault="00BA578C" w:rsidP="00BA578C">
      <w:pPr>
        <w:pStyle w:val="SingleTxt"/>
        <w:spacing w:after="0" w:line="120" w:lineRule="exact"/>
        <w:rPr>
          <w:sz w:val="10"/>
          <w:lang w:val="fr-FR"/>
        </w:rPr>
      </w:pPr>
    </w:p>
    <w:p w14:paraId="2DB256BA" w14:textId="77777777" w:rsidR="00BA578C" w:rsidRPr="00BA578C" w:rsidRDefault="00BA578C" w:rsidP="00BA578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578C">
        <w:rPr>
          <w:lang w:bidi="fr-FR"/>
        </w:rPr>
        <w:tab/>
        <w:t>II.</w:t>
      </w:r>
      <w:r w:rsidRPr="00BA578C">
        <w:rPr>
          <w:lang w:bidi="fr-FR"/>
        </w:rPr>
        <w:tab/>
        <w:t>Informations sur le suivi</w:t>
      </w:r>
    </w:p>
    <w:p w14:paraId="2DB5E55A" w14:textId="57D4CB1A" w:rsidR="00BA578C" w:rsidRPr="00BA578C" w:rsidRDefault="00BA578C" w:rsidP="00BA578C">
      <w:pPr>
        <w:pStyle w:val="SingleTxt"/>
        <w:spacing w:after="0" w:line="120" w:lineRule="exact"/>
        <w:rPr>
          <w:sz w:val="10"/>
          <w:lang w:val="fr-FR"/>
        </w:rPr>
      </w:pPr>
    </w:p>
    <w:p w14:paraId="19809238" w14:textId="747625CA" w:rsidR="00BA578C" w:rsidRPr="00BA578C" w:rsidRDefault="00BA578C" w:rsidP="00BA578C">
      <w:pPr>
        <w:pStyle w:val="SingleTxt"/>
        <w:spacing w:after="0" w:line="120" w:lineRule="exact"/>
        <w:rPr>
          <w:sz w:val="10"/>
          <w:lang w:val="fr-FR"/>
        </w:rPr>
      </w:pPr>
    </w:p>
    <w:p w14:paraId="6569A3AA" w14:textId="77777777" w:rsidR="00BA578C" w:rsidRPr="00BA578C" w:rsidRDefault="00BA578C" w:rsidP="00BA578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578C">
        <w:rPr>
          <w:lang w:bidi="fr-FR"/>
        </w:rPr>
        <w:tab/>
      </w:r>
      <w:r w:rsidRPr="00BA578C">
        <w:rPr>
          <w:lang w:bidi="fr-FR"/>
        </w:rPr>
        <w:tab/>
        <w:t>Institutions nationales de défense des droits humains</w:t>
      </w:r>
    </w:p>
    <w:p w14:paraId="20B897C9" w14:textId="27CF110A" w:rsidR="00BA578C" w:rsidRPr="00BA578C" w:rsidRDefault="00BA578C" w:rsidP="00BA578C">
      <w:pPr>
        <w:pStyle w:val="SingleTxt"/>
        <w:spacing w:after="0" w:line="120" w:lineRule="exact"/>
        <w:rPr>
          <w:sz w:val="10"/>
          <w:lang w:val="fr-FR"/>
        </w:rPr>
      </w:pPr>
    </w:p>
    <w:p w14:paraId="4DCD6F65" w14:textId="5D374976" w:rsidR="00BA578C" w:rsidRPr="00BA578C" w:rsidRDefault="00BA578C" w:rsidP="00BA578C">
      <w:pPr>
        <w:pStyle w:val="SingleTxt"/>
        <w:spacing w:after="0" w:line="120" w:lineRule="exact"/>
        <w:rPr>
          <w:sz w:val="10"/>
          <w:lang w:val="fr-FR"/>
        </w:rPr>
      </w:pPr>
    </w:p>
    <w:p w14:paraId="7A9C20C2" w14:textId="7918A019" w:rsidR="00BA578C" w:rsidRPr="00BA578C" w:rsidRDefault="00BA578C" w:rsidP="00BA578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578C">
        <w:rPr>
          <w:lang w:bidi="fr-FR"/>
        </w:rPr>
        <w:tab/>
        <w:t>A.</w:t>
      </w:r>
      <w:r w:rsidRPr="00BA578C">
        <w:rPr>
          <w:lang w:bidi="fr-FR"/>
        </w:rPr>
        <w:tab/>
        <w:t>Informations de suivi relatives au paragraphe 20 des observations finales (</w:t>
      </w:r>
      <w:hyperlink r:id="rId18" w:history="1">
        <w:r w:rsidRPr="00BA578C">
          <w:rPr>
            <w:rStyle w:val="Hyperlink"/>
            <w:lang w:bidi="fr-FR"/>
          </w:rPr>
          <w:t>CEDAW/C/NZL/CO/8</w:t>
        </w:r>
      </w:hyperlink>
      <w:r w:rsidRPr="00BA578C">
        <w:rPr>
          <w:lang w:bidi="fr-FR"/>
        </w:rPr>
        <w:t>)</w:t>
      </w:r>
    </w:p>
    <w:p w14:paraId="52A19C46" w14:textId="7629E582" w:rsidR="00BA578C" w:rsidRPr="00BA578C" w:rsidRDefault="00BA578C" w:rsidP="00BA578C">
      <w:pPr>
        <w:pStyle w:val="SingleTxt"/>
        <w:spacing w:after="0" w:line="120" w:lineRule="exact"/>
        <w:rPr>
          <w:sz w:val="10"/>
          <w:lang w:val="fr-FR"/>
        </w:rPr>
      </w:pPr>
    </w:p>
    <w:p w14:paraId="4056A8D5" w14:textId="5797CFEA" w:rsidR="00BA578C" w:rsidRPr="00BA578C" w:rsidRDefault="00BA578C" w:rsidP="00BA578C">
      <w:pPr>
        <w:pStyle w:val="SingleTxt"/>
        <w:spacing w:after="0" w:line="120" w:lineRule="exact"/>
        <w:rPr>
          <w:sz w:val="10"/>
          <w:lang w:val="fr-FR"/>
        </w:rPr>
      </w:pPr>
    </w:p>
    <w:p w14:paraId="0148A030" w14:textId="5639AB32" w:rsidR="00BA578C" w:rsidRPr="00BA578C" w:rsidRDefault="00BA578C" w:rsidP="00BA578C">
      <w:pPr>
        <w:pStyle w:val="SingleTxt"/>
        <w:numPr>
          <w:ilvl w:val="0"/>
          <w:numId w:val="13"/>
        </w:numPr>
        <w:spacing w:line="240" w:lineRule="exact"/>
        <w:ind w:left="1267"/>
        <w:rPr>
          <w:lang w:val="fr-FR"/>
        </w:rPr>
      </w:pPr>
      <w:r w:rsidRPr="00BA578C">
        <w:rPr>
          <w:lang w:bidi="fr-FR"/>
        </w:rPr>
        <w:t>La Commission des droits de l</w:t>
      </w:r>
      <w:r w:rsidR="00943120">
        <w:rPr>
          <w:lang w:bidi="fr-FR"/>
        </w:rPr>
        <w:t>’</w:t>
      </w:r>
      <w:r w:rsidRPr="00BA578C">
        <w:rPr>
          <w:lang w:bidi="fr-FR"/>
        </w:rPr>
        <w:t>homme a bénéficié d</w:t>
      </w:r>
      <w:r w:rsidR="00943120">
        <w:rPr>
          <w:lang w:bidi="fr-FR"/>
        </w:rPr>
        <w:t>’</w:t>
      </w:r>
      <w:r w:rsidRPr="00BA578C">
        <w:rPr>
          <w:lang w:bidi="fr-FR"/>
        </w:rPr>
        <w:t>une augmentation de son financement en 2019/20, ce qui constitue sa première hausse de financement en 12 ans. Le financement approuvé s</w:t>
      </w:r>
      <w:r w:rsidR="00943120">
        <w:rPr>
          <w:lang w:bidi="fr-FR"/>
        </w:rPr>
        <w:t>’</w:t>
      </w:r>
      <w:r w:rsidRPr="00BA578C">
        <w:rPr>
          <w:lang w:bidi="fr-FR"/>
        </w:rPr>
        <w:t>est élevé à près de 7 millions de dollars sur une période de quatre ans. Le financement pour 2019/20 a été de 11,1 millions de dollars, contre 9,4 millions de dollars pour 2018/19. Il s</w:t>
      </w:r>
      <w:r w:rsidR="00943120">
        <w:rPr>
          <w:lang w:bidi="fr-FR"/>
        </w:rPr>
        <w:t>’</w:t>
      </w:r>
      <w:r w:rsidRPr="00BA578C">
        <w:rPr>
          <w:lang w:bidi="fr-FR"/>
        </w:rPr>
        <w:t>agit d</w:t>
      </w:r>
      <w:r w:rsidR="00943120">
        <w:rPr>
          <w:lang w:bidi="fr-FR"/>
        </w:rPr>
        <w:t>’</w:t>
      </w:r>
      <w:r w:rsidRPr="00BA578C">
        <w:rPr>
          <w:lang w:bidi="fr-FR"/>
        </w:rPr>
        <w:t>une hausse d</w:t>
      </w:r>
      <w:r w:rsidR="00943120">
        <w:rPr>
          <w:lang w:bidi="fr-FR"/>
        </w:rPr>
        <w:t>’</w:t>
      </w:r>
      <w:r w:rsidRPr="00BA578C">
        <w:rPr>
          <w:lang w:bidi="fr-FR"/>
        </w:rPr>
        <w:t>environ 18</w:t>
      </w:r>
      <w:r w:rsidR="00943120">
        <w:rPr>
          <w:lang w:bidi="fr-FR"/>
        </w:rPr>
        <w:t> %</w:t>
      </w:r>
      <w:r w:rsidRPr="00BA578C">
        <w:rPr>
          <w:lang w:bidi="fr-FR"/>
        </w:rPr>
        <w:t xml:space="preserve">. Le financement pour 2020/21 représente 10,8 millions de dollars. En outre, la Commission a reçu 3,2 millions de dollars en 2019/20 pour la réalisation de travaux visant à lutter contre les discours haineux, le racisme et la discrimination. </w:t>
      </w:r>
    </w:p>
    <w:p w14:paraId="5A35FC5F" w14:textId="64883F2A" w:rsidR="00BA578C" w:rsidRPr="00BA578C" w:rsidRDefault="00BA578C" w:rsidP="00BA578C">
      <w:pPr>
        <w:pStyle w:val="SingleTxt"/>
        <w:numPr>
          <w:ilvl w:val="0"/>
          <w:numId w:val="13"/>
        </w:numPr>
        <w:spacing w:line="240" w:lineRule="exact"/>
        <w:ind w:left="1267"/>
        <w:rPr>
          <w:lang w:val="fr-FR"/>
        </w:rPr>
      </w:pPr>
      <w:r w:rsidRPr="00BA578C">
        <w:rPr>
          <w:lang w:bidi="fr-FR"/>
        </w:rPr>
        <w:t>La Commission a l</w:t>
      </w:r>
      <w:r w:rsidR="00943120">
        <w:rPr>
          <w:lang w:bidi="fr-FR"/>
        </w:rPr>
        <w:t>’</w:t>
      </w:r>
      <w:r w:rsidRPr="00BA578C">
        <w:rPr>
          <w:lang w:bidi="fr-FR"/>
        </w:rPr>
        <w:t>intention d</w:t>
      </w:r>
      <w:r w:rsidR="00943120">
        <w:rPr>
          <w:lang w:bidi="fr-FR"/>
        </w:rPr>
        <w:t>’</w:t>
      </w:r>
      <w:r w:rsidRPr="00BA578C">
        <w:rPr>
          <w:lang w:bidi="fr-FR"/>
        </w:rPr>
        <w:t>utiliser les fonds supplémentaires dans le but de remplir plus efficacement les fonctions statutaires et de renforcer la capacité interne, les compétences et le soutien de ses commissaires. Par ailleurs, le financement servira à répondre à la demande accrue de médiation, des services des recours en matière des droits humains ainsi que d</w:t>
      </w:r>
      <w:r w:rsidR="00943120">
        <w:rPr>
          <w:lang w:bidi="fr-FR"/>
        </w:rPr>
        <w:t>’</w:t>
      </w:r>
      <w:r w:rsidRPr="00BA578C">
        <w:rPr>
          <w:lang w:bidi="fr-FR"/>
        </w:rPr>
        <w:t>un engagement et de renseignements plus accessibles par voie numérique.</w:t>
      </w:r>
    </w:p>
    <w:p w14:paraId="641FA56C" w14:textId="3425E8EB" w:rsidR="00BA578C" w:rsidRPr="00BA578C" w:rsidRDefault="00BA578C" w:rsidP="00BA578C">
      <w:pPr>
        <w:pStyle w:val="SingleTxt"/>
        <w:numPr>
          <w:ilvl w:val="0"/>
          <w:numId w:val="15"/>
        </w:numPr>
        <w:spacing w:line="240" w:lineRule="exact"/>
        <w:ind w:left="1267"/>
        <w:rPr>
          <w:lang w:val="fr-FR"/>
        </w:rPr>
      </w:pPr>
      <w:r w:rsidRPr="00BA578C">
        <w:rPr>
          <w:lang w:bidi="fr-FR"/>
        </w:rPr>
        <w:lastRenderedPageBreak/>
        <w:t>La protection et la promotion des droits des femmes sont les deux principaux domaines de travail de la Commission. Les domaines d</w:t>
      </w:r>
      <w:r w:rsidR="00943120">
        <w:rPr>
          <w:lang w:bidi="fr-FR"/>
        </w:rPr>
        <w:t>’</w:t>
      </w:r>
      <w:r w:rsidRPr="00BA578C">
        <w:rPr>
          <w:lang w:bidi="fr-FR"/>
        </w:rPr>
        <w:t>intervention privilégiés sont la lutte contre la pauvreté des femmes qui travaillent, l</w:t>
      </w:r>
      <w:r w:rsidR="00943120">
        <w:rPr>
          <w:lang w:bidi="fr-FR"/>
        </w:rPr>
        <w:t>’</w:t>
      </w:r>
      <w:r w:rsidRPr="00BA578C">
        <w:rPr>
          <w:lang w:bidi="fr-FR"/>
        </w:rPr>
        <w:t>égalité en matière de rémunération, notamment les disparités de salaires des minorités ethniques, la violence fondée sur le genre et le harcèlement sexuel.</w:t>
      </w:r>
    </w:p>
    <w:p w14:paraId="2D1A0E88" w14:textId="34439963" w:rsidR="00BA578C" w:rsidRPr="00BA578C" w:rsidRDefault="00BA578C" w:rsidP="0060046C">
      <w:pPr>
        <w:pStyle w:val="SingleTxt"/>
        <w:numPr>
          <w:ilvl w:val="0"/>
          <w:numId w:val="15"/>
        </w:numPr>
        <w:spacing w:before="120" w:after="0" w:line="240" w:lineRule="exact"/>
        <w:ind w:left="1267"/>
        <w:rPr>
          <w:lang w:val="fr-FR"/>
        </w:rPr>
      </w:pPr>
      <w:r w:rsidRPr="00BA578C">
        <w:rPr>
          <w:lang w:bidi="fr-FR"/>
        </w:rPr>
        <w:t>Actuellement, il n</w:t>
      </w:r>
      <w:r w:rsidR="00943120">
        <w:rPr>
          <w:lang w:bidi="fr-FR"/>
        </w:rPr>
        <w:t>’</w:t>
      </w:r>
      <w:r w:rsidRPr="00BA578C">
        <w:rPr>
          <w:lang w:bidi="fr-FR"/>
        </w:rPr>
        <w:t>est pas prévu de réformer l</w:t>
      </w:r>
      <w:r w:rsidR="00943120">
        <w:rPr>
          <w:lang w:bidi="fr-FR"/>
        </w:rPr>
        <w:t>’</w:t>
      </w:r>
      <w:r w:rsidRPr="00BA578C">
        <w:rPr>
          <w:lang w:bidi="fr-FR"/>
        </w:rPr>
        <w:t>article 392 de la loi de 2009 sur l</w:t>
      </w:r>
      <w:r w:rsidR="00943120">
        <w:rPr>
          <w:lang w:bidi="fr-FR"/>
        </w:rPr>
        <w:t>’</w:t>
      </w:r>
      <w:r w:rsidRPr="00BA578C">
        <w:rPr>
          <w:lang w:bidi="fr-FR"/>
        </w:rPr>
        <w:t>immigration. Toutefois, la ou le Ministre de la justice a indiqué que la loi sur les droits humains serait révisée dans un avenir proche. Le gouvernement n</w:t>
      </w:r>
      <w:r w:rsidR="00943120">
        <w:rPr>
          <w:lang w:bidi="fr-FR"/>
        </w:rPr>
        <w:t>’</w:t>
      </w:r>
      <w:r w:rsidRPr="00BA578C">
        <w:rPr>
          <w:lang w:bidi="fr-FR"/>
        </w:rPr>
        <w:t>a pris aucune décision quant au calendrier et à la portée de cet examen, mais il est probable qu</w:t>
      </w:r>
      <w:r w:rsidR="00943120">
        <w:rPr>
          <w:lang w:bidi="fr-FR"/>
        </w:rPr>
        <w:t>’</w:t>
      </w:r>
      <w:r w:rsidRPr="00BA578C">
        <w:rPr>
          <w:lang w:bidi="fr-FR"/>
        </w:rPr>
        <w:t>il inclura la révision de la compétence de la Commission des droits de l</w:t>
      </w:r>
      <w:r w:rsidR="00943120">
        <w:rPr>
          <w:lang w:bidi="fr-FR"/>
        </w:rPr>
        <w:t>’</w:t>
      </w:r>
      <w:r w:rsidRPr="00BA578C">
        <w:rPr>
          <w:lang w:bidi="fr-FR"/>
        </w:rPr>
        <w:t>homme.</w:t>
      </w:r>
    </w:p>
    <w:p w14:paraId="0A8D739B" w14:textId="3593047F" w:rsidR="00BA578C" w:rsidRPr="0060046C" w:rsidRDefault="00BA578C" w:rsidP="0060046C">
      <w:pPr>
        <w:pStyle w:val="SingleTxt"/>
        <w:spacing w:after="0" w:line="120" w:lineRule="exact"/>
        <w:ind w:left="0"/>
        <w:rPr>
          <w:sz w:val="10"/>
          <w:lang w:val="fr-FR"/>
        </w:rPr>
      </w:pPr>
    </w:p>
    <w:p w14:paraId="64204B56" w14:textId="77777777" w:rsidR="0060046C" w:rsidRPr="00BA578C" w:rsidRDefault="0060046C" w:rsidP="00BA578C">
      <w:pPr>
        <w:pStyle w:val="SingleTxt"/>
        <w:spacing w:after="0" w:line="120" w:lineRule="exact"/>
        <w:ind w:left="0"/>
        <w:rPr>
          <w:sz w:val="10"/>
          <w:lang w:val="fr-FR"/>
        </w:rPr>
      </w:pPr>
    </w:p>
    <w:p w14:paraId="5BAC3944" w14:textId="77777777" w:rsidR="00BA578C" w:rsidRPr="00BA578C" w:rsidRDefault="00BA578C" w:rsidP="009431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578C">
        <w:rPr>
          <w:lang w:bidi="fr-FR"/>
        </w:rPr>
        <w:tab/>
      </w:r>
      <w:r w:rsidRPr="00BA578C">
        <w:rPr>
          <w:lang w:bidi="fr-FR"/>
        </w:rPr>
        <w:tab/>
        <w:t>Mariage et vie familiale</w:t>
      </w:r>
    </w:p>
    <w:p w14:paraId="791DD8F1" w14:textId="113AD007" w:rsidR="00BA578C" w:rsidRPr="00BA578C" w:rsidRDefault="00BA578C" w:rsidP="00BA578C">
      <w:pPr>
        <w:pStyle w:val="SingleTxt"/>
        <w:spacing w:after="0" w:line="120" w:lineRule="exact"/>
        <w:rPr>
          <w:sz w:val="10"/>
          <w:lang w:val="fr-FR"/>
        </w:rPr>
      </w:pPr>
    </w:p>
    <w:p w14:paraId="184B598A" w14:textId="1DB6B111" w:rsidR="00BA578C" w:rsidRPr="00BA578C" w:rsidRDefault="00BA578C" w:rsidP="00BA578C">
      <w:pPr>
        <w:pStyle w:val="SingleTxt"/>
        <w:spacing w:after="0" w:line="120" w:lineRule="exact"/>
        <w:rPr>
          <w:sz w:val="10"/>
          <w:lang w:val="fr-FR"/>
        </w:rPr>
      </w:pPr>
    </w:p>
    <w:p w14:paraId="0B8CC906" w14:textId="07ED7DA5" w:rsidR="00BA578C" w:rsidRPr="00BA578C" w:rsidRDefault="00BA578C" w:rsidP="00BA578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578C">
        <w:rPr>
          <w:lang w:bidi="fr-FR"/>
        </w:rPr>
        <w:tab/>
        <w:t>B.</w:t>
      </w:r>
      <w:r w:rsidRPr="00BA578C">
        <w:rPr>
          <w:lang w:bidi="fr-FR"/>
        </w:rPr>
        <w:tab/>
        <w:t>Informations de suivi relatives au paragraphe 26, point a), des</w:t>
      </w:r>
      <w:r>
        <w:rPr>
          <w:lang w:bidi="fr-FR"/>
        </w:rPr>
        <w:t> </w:t>
      </w:r>
      <w:r w:rsidRPr="00BA578C">
        <w:rPr>
          <w:lang w:bidi="fr-FR"/>
        </w:rPr>
        <w:t>observations finales</w:t>
      </w:r>
    </w:p>
    <w:p w14:paraId="3308A5ED" w14:textId="3CF9E6E7" w:rsidR="00BA578C" w:rsidRPr="00BA578C" w:rsidRDefault="00BA578C" w:rsidP="00BA578C">
      <w:pPr>
        <w:pStyle w:val="SingleTxt"/>
        <w:spacing w:after="0" w:line="120" w:lineRule="exact"/>
        <w:rPr>
          <w:sz w:val="10"/>
          <w:lang w:val="fr-FR"/>
        </w:rPr>
      </w:pPr>
    </w:p>
    <w:p w14:paraId="5A1BFC17" w14:textId="7EA2E5D4" w:rsidR="00BA578C" w:rsidRPr="00BA578C" w:rsidRDefault="00BA578C" w:rsidP="00BA578C">
      <w:pPr>
        <w:pStyle w:val="SingleTxt"/>
        <w:spacing w:after="0" w:line="120" w:lineRule="exact"/>
        <w:rPr>
          <w:sz w:val="10"/>
          <w:lang w:val="fr-FR"/>
        </w:rPr>
      </w:pPr>
    </w:p>
    <w:p w14:paraId="34C1462D" w14:textId="77777777" w:rsidR="00BA578C" w:rsidRPr="00BA578C" w:rsidRDefault="00BA578C" w:rsidP="00BA57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578C">
        <w:rPr>
          <w:lang w:bidi="fr-FR"/>
        </w:rPr>
        <w:tab/>
      </w:r>
      <w:r w:rsidRPr="00BA578C">
        <w:rPr>
          <w:lang w:bidi="fr-FR"/>
        </w:rPr>
        <w:tab/>
        <w:t>Travail global sur la lutte contre la violence fondée sur le genre en Nouvelle-Zélande</w:t>
      </w:r>
    </w:p>
    <w:p w14:paraId="75ADF8B2" w14:textId="2AAA7E3C" w:rsidR="00BA578C" w:rsidRPr="00BA578C" w:rsidRDefault="00BA578C" w:rsidP="00BA578C">
      <w:pPr>
        <w:pStyle w:val="SingleTxt"/>
        <w:spacing w:after="0" w:line="120" w:lineRule="exact"/>
        <w:rPr>
          <w:sz w:val="10"/>
          <w:lang w:val="fr-FR"/>
        </w:rPr>
      </w:pPr>
    </w:p>
    <w:p w14:paraId="2E2AC864" w14:textId="4C3C7E4E" w:rsidR="00BA578C" w:rsidRPr="00BA578C" w:rsidRDefault="00BA578C" w:rsidP="00BA578C">
      <w:pPr>
        <w:pStyle w:val="SingleTxt"/>
        <w:numPr>
          <w:ilvl w:val="0"/>
          <w:numId w:val="15"/>
        </w:numPr>
        <w:spacing w:line="240" w:lineRule="exact"/>
        <w:ind w:left="1267"/>
        <w:rPr>
          <w:lang w:val="fr-FR"/>
        </w:rPr>
      </w:pPr>
      <w:r w:rsidRPr="00BA578C">
        <w:rPr>
          <w:lang w:bidi="fr-FR"/>
        </w:rPr>
        <w:t>En Nouvelle-Zélande, les femmes sont nettement plus susceptibles que les hommes de subir des violences physiques, sexuelles et psychologiques de la part d</w:t>
      </w:r>
      <w:r w:rsidR="00943120">
        <w:rPr>
          <w:lang w:bidi="fr-FR"/>
        </w:rPr>
        <w:t>’</w:t>
      </w:r>
      <w:r w:rsidRPr="00BA578C">
        <w:rPr>
          <w:lang w:bidi="fr-FR"/>
        </w:rPr>
        <w:t>un partenaire. Reconnaissant que la violence familiale est un problème grave et omniprésent dans notre pays, la Nouvelle-Zélande a connu des avancées dans l</w:t>
      </w:r>
      <w:r w:rsidR="00943120">
        <w:rPr>
          <w:lang w:bidi="fr-FR"/>
        </w:rPr>
        <w:t>’</w:t>
      </w:r>
      <w:r w:rsidRPr="00BA578C">
        <w:rPr>
          <w:lang w:bidi="fr-FR"/>
        </w:rPr>
        <w:t>élaboration d</w:t>
      </w:r>
      <w:r w:rsidR="00943120">
        <w:rPr>
          <w:lang w:bidi="fr-FR"/>
        </w:rPr>
        <w:t>’</w:t>
      </w:r>
      <w:r w:rsidRPr="00BA578C">
        <w:rPr>
          <w:lang w:bidi="fr-FR"/>
        </w:rPr>
        <w:t>une approche holistique et durable visant à éliminer la violence familiale et sexuelle dans le pays. Cette approche comprend</w:t>
      </w:r>
      <w:r w:rsidR="00943120">
        <w:rPr>
          <w:lang w:bidi="fr-FR"/>
        </w:rPr>
        <w:t> :</w:t>
      </w:r>
    </w:p>
    <w:p w14:paraId="3A566464" w14:textId="2006E89D" w:rsidR="00BA578C" w:rsidRPr="00BA578C" w:rsidRDefault="002D3243" w:rsidP="002D3243">
      <w:pPr>
        <w:pStyle w:val="SingleTxt"/>
        <w:tabs>
          <w:tab w:val="right" w:pos="1685"/>
        </w:tabs>
        <w:ind w:left="1742" w:hanging="475"/>
        <w:rPr>
          <w:lang w:val="fr-FR"/>
        </w:rPr>
      </w:pPr>
      <w:r>
        <w:rPr>
          <w:lang w:bidi="fr-FR"/>
        </w:rPr>
        <w:tab/>
        <w:t>•</w:t>
      </w:r>
      <w:r>
        <w:rPr>
          <w:lang w:bidi="fr-FR"/>
        </w:rPr>
        <w:tab/>
      </w:r>
      <w:r w:rsidR="00BA578C" w:rsidRPr="00BA578C">
        <w:rPr>
          <w:lang w:bidi="fr-FR"/>
        </w:rPr>
        <w:t>L</w:t>
      </w:r>
      <w:r w:rsidR="00943120">
        <w:rPr>
          <w:lang w:bidi="fr-FR"/>
        </w:rPr>
        <w:t>’</w:t>
      </w:r>
      <w:r w:rsidR="00BA578C" w:rsidRPr="00BA578C">
        <w:rPr>
          <w:lang w:bidi="fr-FR"/>
        </w:rPr>
        <w:t>introduction de nouvelles lois et politiques [notamment la loi de 2018 sur la violence familiale, la loi de 2018 sur la violence familiale (amendements), la loi de 2018 sur la protection des victimes de violence domestique, le projet de loi sur la violence sexuelle (en attente de sa deuxième lecture) et la politique relative à la police néo-zélandaise]</w:t>
      </w:r>
      <w:r w:rsidR="00943120">
        <w:rPr>
          <w:lang w:bidi="fr-FR"/>
        </w:rPr>
        <w:t> ;</w:t>
      </w:r>
    </w:p>
    <w:p w14:paraId="1F5635C9" w14:textId="0EB888BC" w:rsidR="00BA578C" w:rsidRPr="00BA578C" w:rsidRDefault="002D3243" w:rsidP="002D3243">
      <w:pPr>
        <w:pStyle w:val="SingleTxt"/>
        <w:tabs>
          <w:tab w:val="right" w:pos="1685"/>
        </w:tabs>
        <w:ind w:left="1742" w:hanging="475"/>
        <w:rPr>
          <w:lang w:val="fr-FR"/>
        </w:rPr>
      </w:pPr>
      <w:r w:rsidRPr="002D3243">
        <w:rPr>
          <w:lang w:bidi="fr-FR"/>
        </w:rPr>
        <w:tab/>
        <w:t>•</w:t>
      </w:r>
      <w:r w:rsidRPr="002D3243">
        <w:rPr>
          <w:lang w:bidi="fr-FR"/>
        </w:rPr>
        <w:tab/>
      </w:r>
      <w:r w:rsidR="00BA578C" w:rsidRPr="00BA578C">
        <w:rPr>
          <w:lang w:bidi="fr-FR"/>
        </w:rPr>
        <w:t>L</w:t>
      </w:r>
      <w:r w:rsidR="00943120">
        <w:rPr>
          <w:lang w:bidi="fr-FR"/>
        </w:rPr>
        <w:t>’</w:t>
      </w:r>
      <w:r w:rsidR="00BA578C" w:rsidRPr="00BA578C">
        <w:rPr>
          <w:lang w:bidi="fr-FR"/>
        </w:rPr>
        <w:t>élaboration d</w:t>
      </w:r>
      <w:r w:rsidR="00943120">
        <w:rPr>
          <w:lang w:bidi="fr-FR"/>
        </w:rPr>
        <w:t>’</w:t>
      </w:r>
      <w:r w:rsidR="00BA578C" w:rsidRPr="00BA578C">
        <w:rPr>
          <w:lang w:bidi="fr-FR"/>
        </w:rPr>
        <w:t>une stratégie nationale afin de prévenir la violence familiale et sexuelle</w:t>
      </w:r>
      <w:r w:rsidR="00943120">
        <w:rPr>
          <w:lang w:bidi="fr-FR"/>
        </w:rPr>
        <w:t> ;</w:t>
      </w:r>
    </w:p>
    <w:p w14:paraId="495A113F" w14:textId="4D87E72E" w:rsidR="00BA578C" w:rsidRPr="00BA578C" w:rsidRDefault="002D3243" w:rsidP="002D3243">
      <w:pPr>
        <w:pStyle w:val="SingleTxt"/>
        <w:tabs>
          <w:tab w:val="right" w:pos="1685"/>
        </w:tabs>
        <w:ind w:left="1742" w:hanging="475"/>
        <w:rPr>
          <w:lang w:val="fr-FR"/>
        </w:rPr>
      </w:pPr>
      <w:r w:rsidRPr="002D3243">
        <w:rPr>
          <w:lang w:bidi="fr-FR"/>
        </w:rPr>
        <w:tab/>
        <w:t>•</w:t>
      </w:r>
      <w:r w:rsidRPr="002D3243">
        <w:rPr>
          <w:lang w:bidi="fr-FR"/>
        </w:rPr>
        <w:tab/>
      </w:r>
      <w:r w:rsidR="00BA578C" w:rsidRPr="00BA578C">
        <w:rPr>
          <w:lang w:bidi="fr-FR"/>
        </w:rPr>
        <w:t>L</w:t>
      </w:r>
      <w:r w:rsidR="00943120">
        <w:rPr>
          <w:lang w:bidi="fr-FR"/>
        </w:rPr>
        <w:t>’</w:t>
      </w:r>
      <w:r w:rsidR="00BA578C" w:rsidRPr="00BA578C">
        <w:rPr>
          <w:lang w:bidi="fr-FR"/>
        </w:rPr>
        <w:t>augmentation du financement des services de lutte contre la violence sexuelle et la violence familiale, notamment les services de violence familiale kaupapa Māori</w:t>
      </w:r>
      <w:r w:rsidR="00943120">
        <w:rPr>
          <w:lang w:bidi="fr-FR"/>
        </w:rPr>
        <w:t> ;</w:t>
      </w:r>
      <w:r w:rsidR="00BA578C" w:rsidRPr="00BA578C">
        <w:rPr>
          <w:lang w:bidi="fr-FR"/>
        </w:rPr>
        <w:t xml:space="preserve"> </w:t>
      </w:r>
    </w:p>
    <w:p w14:paraId="1F5484B1" w14:textId="08098F3B" w:rsidR="00BA578C" w:rsidRPr="00BA578C" w:rsidRDefault="002D3243" w:rsidP="002D3243">
      <w:pPr>
        <w:pStyle w:val="SingleTxt"/>
        <w:tabs>
          <w:tab w:val="right" w:pos="1685"/>
        </w:tabs>
        <w:ind w:left="1742" w:hanging="475"/>
        <w:rPr>
          <w:lang w:val="fr-FR"/>
        </w:rPr>
      </w:pPr>
      <w:r w:rsidRPr="002D3243">
        <w:rPr>
          <w:lang w:bidi="fr-FR"/>
        </w:rPr>
        <w:tab/>
        <w:t>•</w:t>
      </w:r>
      <w:r w:rsidRPr="002D3243">
        <w:rPr>
          <w:lang w:bidi="fr-FR"/>
        </w:rPr>
        <w:tab/>
      </w:r>
      <w:r w:rsidR="00BA578C" w:rsidRPr="00BA578C">
        <w:rPr>
          <w:lang w:bidi="fr-FR"/>
        </w:rPr>
        <w:t>L</w:t>
      </w:r>
      <w:r w:rsidR="00943120">
        <w:rPr>
          <w:lang w:bidi="fr-FR"/>
        </w:rPr>
        <w:t>’</w:t>
      </w:r>
      <w:r w:rsidR="00BA578C" w:rsidRPr="00BA578C">
        <w:rPr>
          <w:lang w:bidi="fr-FR"/>
        </w:rPr>
        <w:t>amélioration de la collecte et de la compréhension des données sur l</w:t>
      </w:r>
      <w:r w:rsidR="00943120">
        <w:rPr>
          <w:lang w:bidi="fr-FR"/>
        </w:rPr>
        <w:t>’</w:t>
      </w:r>
      <w:r w:rsidR="00BA578C" w:rsidRPr="00BA578C">
        <w:rPr>
          <w:lang w:bidi="fr-FR"/>
        </w:rPr>
        <w:t>incidence</w:t>
      </w:r>
      <w:r w:rsidR="00943120">
        <w:rPr>
          <w:lang w:bidi="fr-FR"/>
        </w:rPr>
        <w:t> ;</w:t>
      </w:r>
      <w:r w:rsidR="00BA578C" w:rsidRPr="00BA578C">
        <w:rPr>
          <w:lang w:bidi="fr-FR"/>
        </w:rPr>
        <w:t xml:space="preserve"> et</w:t>
      </w:r>
    </w:p>
    <w:p w14:paraId="087335DF" w14:textId="0A36B3BC" w:rsidR="00BA578C" w:rsidRPr="00BA578C" w:rsidRDefault="002D3243" w:rsidP="002D3243">
      <w:pPr>
        <w:pStyle w:val="SingleTxt"/>
        <w:tabs>
          <w:tab w:val="right" w:pos="1685"/>
        </w:tabs>
        <w:ind w:left="1742" w:hanging="475"/>
        <w:rPr>
          <w:lang w:val="fr-FR"/>
        </w:rPr>
      </w:pPr>
      <w:r w:rsidRPr="002D3243">
        <w:rPr>
          <w:lang w:bidi="fr-FR"/>
        </w:rPr>
        <w:tab/>
        <w:t>•</w:t>
      </w:r>
      <w:r w:rsidRPr="002D3243">
        <w:rPr>
          <w:lang w:bidi="fr-FR"/>
        </w:rPr>
        <w:tab/>
      </w:r>
      <w:r w:rsidR="00BA578C" w:rsidRPr="00BA578C">
        <w:rPr>
          <w:lang w:bidi="fr-FR"/>
        </w:rPr>
        <w:t>Un engagement en faveur d</w:t>
      </w:r>
      <w:r w:rsidR="00943120">
        <w:rPr>
          <w:lang w:bidi="fr-FR"/>
        </w:rPr>
        <w:t>’</w:t>
      </w:r>
      <w:r w:rsidR="00BA578C" w:rsidRPr="00BA578C">
        <w:rPr>
          <w:lang w:bidi="fr-FR"/>
        </w:rPr>
        <w:t>un programme de réforme à long terme visant à renforcer le système de santé et de soins aux personnes handicapées, en se concentrant tout particulièrement sur les problèmes des personnes à mobilité réduite qui cherchent à vivre à l</w:t>
      </w:r>
      <w:r w:rsidR="00943120">
        <w:rPr>
          <w:lang w:bidi="fr-FR"/>
        </w:rPr>
        <w:t>’</w:t>
      </w:r>
      <w:r w:rsidR="00BA578C" w:rsidRPr="00BA578C">
        <w:rPr>
          <w:lang w:bidi="fr-FR"/>
        </w:rPr>
        <w:t>abri de la violence.</w:t>
      </w:r>
    </w:p>
    <w:p w14:paraId="46E66EFF" w14:textId="2C4569A2" w:rsidR="00BA578C" w:rsidRPr="002D3243" w:rsidRDefault="00BA578C" w:rsidP="002D3243">
      <w:pPr>
        <w:pStyle w:val="SingleTxt"/>
        <w:spacing w:after="0" w:line="120" w:lineRule="exact"/>
        <w:rPr>
          <w:sz w:val="10"/>
          <w:lang w:val="fr-FR"/>
        </w:rPr>
      </w:pPr>
    </w:p>
    <w:p w14:paraId="113D1551" w14:textId="77777777" w:rsidR="00BA578C" w:rsidRPr="00BA578C" w:rsidRDefault="00BA578C" w:rsidP="002D324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578C">
        <w:rPr>
          <w:lang w:bidi="fr-FR"/>
        </w:rPr>
        <w:tab/>
      </w:r>
      <w:r w:rsidRPr="00BA578C">
        <w:rPr>
          <w:lang w:bidi="fr-FR"/>
        </w:rPr>
        <w:tab/>
        <w:t>Introduire de nouvelles lois et politiques</w:t>
      </w:r>
    </w:p>
    <w:p w14:paraId="6F676E62" w14:textId="4FD066D9" w:rsidR="00BA578C" w:rsidRPr="002D3243" w:rsidRDefault="00BA578C" w:rsidP="002D3243">
      <w:pPr>
        <w:pStyle w:val="SingleTxt"/>
        <w:spacing w:after="0" w:line="120" w:lineRule="exact"/>
        <w:rPr>
          <w:sz w:val="10"/>
          <w:lang w:val="fr-FR"/>
        </w:rPr>
      </w:pPr>
    </w:p>
    <w:p w14:paraId="6E029B03" w14:textId="2D849C99" w:rsidR="00BA578C" w:rsidRPr="00BA578C" w:rsidRDefault="00BA578C" w:rsidP="002D3243">
      <w:pPr>
        <w:pStyle w:val="SingleTxt"/>
        <w:numPr>
          <w:ilvl w:val="0"/>
          <w:numId w:val="15"/>
        </w:numPr>
        <w:spacing w:line="240" w:lineRule="exact"/>
        <w:ind w:left="1267"/>
        <w:rPr>
          <w:lang w:val="fr-FR"/>
        </w:rPr>
      </w:pPr>
      <w:r w:rsidRPr="00BA578C">
        <w:rPr>
          <w:lang w:bidi="fr-FR"/>
        </w:rPr>
        <w:t>La loi de 2018 sur la violence familiale (LVF) et les autres dispositions de la loi de 2018 sur la violence familiale (amendements) sont entrées en vigueur en juillet 2019. Ces lois ont pour but de reconnaître que la violence familiale est inacceptable, d</w:t>
      </w:r>
      <w:r w:rsidR="00943120">
        <w:rPr>
          <w:lang w:bidi="fr-FR"/>
        </w:rPr>
        <w:t>’</w:t>
      </w:r>
      <w:r w:rsidRPr="00BA578C">
        <w:rPr>
          <w:lang w:bidi="fr-FR"/>
        </w:rPr>
        <w:t>y mettre un terme et de la prévenir, ainsi que de protéger les victimes contre cette violence. La définition de la violence familiale a été élargie afin d</w:t>
      </w:r>
      <w:r w:rsidR="00943120">
        <w:rPr>
          <w:lang w:bidi="fr-FR"/>
        </w:rPr>
        <w:t>’</w:t>
      </w:r>
      <w:r w:rsidRPr="00BA578C">
        <w:rPr>
          <w:lang w:bidi="fr-FR"/>
        </w:rPr>
        <w:t xml:space="preserve">inclure les comportements coercitifs et dominateurs ainsi que les abus liés à la dot. Par </w:t>
      </w:r>
      <w:r w:rsidRPr="00BA578C">
        <w:rPr>
          <w:lang w:bidi="fr-FR"/>
        </w:rPr>
        <w:lastRenderedPageBreak/>
        <w:t>ailleurs, les changements tiennent compte du fait que les aidants peuvent avoir un lien privilégié avec les personnes dont ils s</w:t>
      </w:r>
      <w:r w:rsidR="00943120">
        <w:rPr>
          <w:lang w:bidi="fr-FR"/>
        </w:rPr>
        <w:t>’</w:t>
      </w:r>
      <w:r w:rsidRPr="00BA578C">
        <w:rPr>
          <w:lang w:bidi="fr-FR"/>
        </w:rPr>
        <w:t>occupent et suppriment les obstacles juridiques au partage d</w:t>
      </w:r>
      <w:r w:rsidR="00943120">
        <w:rPr>
          <w:lang w:bidi="fr-FR"/>
        </w:rPr>
        <w:t>’</w:t>
      </w:r>
      <w:r w:rsidRPr="00BA578C">
        <w:rPr>
          <w:lang w:bidi="fr-FR"/>
        </w:rPr>
        <w:t>informations entre les organisations afin d</w:t>
      </w:r>
      <w:r w:rsidR="00943120">
        <w:rPr>
          <w:lang w:bidi="fr-FR"/>
        </w:rPr>
        <w:t>’</w:t>
      </w:r>
      <w:r w:rsidRPr="00BA578C">
        <w:rPr>
          <w:lang w:bidi="fr-FR"/>
        </w:rPr>
        <w:t>accroître la sécurité des victimes. La nouvelle accusation de tentative d</w:t>
      </w:r>
      <w:r w:rsidR="00943120">
        <w:rPr>
          <w:lang w:bidi="fr-FR"/>
        </w:rPr>
        <w:t>’</w:t>
      </w:r>
      <w:r w:rsidRPr="00BA578C">
        <w:rPr>
          <w:lang w:bidi="fr-FR"/>
        </w:rPr>
        <w:t>étranglement a fait qu</w:t>
      </w:r>
      <w:r w:rsidR="00943120">
        <w:rPr>
          <w:lang w:bidi="fr-FR"/>
        </w:rPr>
        <w:t>’</w:t>
      </w:r>
      <w:r w:rsidRPr="00BA578C">
        <w:rPr>
          <w:lang w:bidi="fr-FR"/>
        </w:rPr>
        <w:t xml:space="preserve">en moyenne cinq accusations par jour sont présentées à la police, ce qui est nettement plus élevé que prévu. </w:t>
      </w:r>
    </w:p>
    <w:p w14:paraId="7501B434" w14:textId="3FE0DE40" w:rsidR="00BA578C" w:rsidRPr="00BA578C" w:rsidRDefault="00BA578C" w:rsidP="002D3243">
      <w:pPr>
        <w:pStyle w:val="SingleTxt"/>
        <w:numPr>
          <w:ilvl w:val="0"/>
          <w:numId w:val="15"/>
        </w:numPr>
        <w:spacing w:line="240" w:lineRule="exact"/>
        <w:ind w:left="1267"/>
        <w:rPr>
          <w:lang w:val="fr-FR"/>
        </w:rPr>
      </w:pPr>
      <w:r w:rsidRPr="00BA578C">
        <w:rPr>
          <w:lang w:bidi="fr-FR"/>
        </w:rPr>
        <w:t>Les lois ont apporté des modifications dans le droit pénal et le droit de la famille visant à améliorer l</w:t>
      </w:r>
      <w:r w:rsidR="00943120">
        <w:rPr>
          <w:lang w:bidi="fr-FR"/>
        </w:rPr>
        <w:t>’</w:t>
      </w:r>
      <w:r w:rsidRPr="00BA578C">
        <w:rPr>
          <w:lang w:bidi="fr-FR"/>
        </w:rPr>
        <w:t>efficacité des interventions en cas de violence familiale. La LVF intègre de nouvelles dispositions rendant les ordonnances de protection et d</w:t>
      </w:r>
      <w:r w:rsidR="00943120">
        <w:rPr>
          <w:lang w:bidi="fr-FR"/>
        </w:rPr>
        <w:t>’</w:t>
      </w:r>
      <w:r w:rsidRPr="00BA578C">
        <w:rPr>
          <w:lang w:bidi="fr-FR"/>
        </w:rPr>
        <w:t>occupation plus accessibles aux femmes qui peuvent être invalidées en mettant en évidence, comme un type de violence particulier, le fait de perturber les soins d</w:t>
      </w:r>
      <w:r w:rsidR="00943120">
        <w:rPr>
          <w:lang w:bidi="fr-FR"/>
        </w:rPr>
        <w:t>’</w:t>
      </w:r>
      <w:r w:rsidRPr="00BA578C">
        <w:rPr>
          <w:lang w:bidi="fr-FR"/>
        </w:rPr>
        <w:t>une personne qui en a besoin en raison de son âge, de son handicap ou de son état de santé.</w:t>
      </w:r>
    </w:p>
    <w:p w14:paraId="5D6B214E" w14:textId="48A6710B" w:rsidR="00BA578C" w:rsidRPr="00BA578C" w:rsidRDefault="00BA578C" w:rsidP="002D3243">
      <w:pPr>
        <w:pStyle w:val="SingleTxt"/>
        <w:numPr>
          <w:ilvl w:val="0"/>
          <w:numId w:val="15"/>
        </w:numPr>
        <w:spacing w:line="240" w:lineRule="exact"/>
        <w:ind w:left="1267"/>
        <w:rPr>
          <w:lang w:val="fr-FR"/>
        </w:rPr>
      </w:pPr>
      <w:r w:rsidRPr="00BA578C">
        <w:rPr>
          <w:lang w:bidi="fr-FR"/>
        </w:rPr>
        <w:t>La loi de 2018 sur la protection des victimes de la violence domestique, qui est entrée en vigueur en avril 2019, crée une obligation législative pour les entreprises de fournir un soutien spécifique aux victimes de la violence domestique. Elle exige que les entreprises proposent des conditions de travail flexibles et jusqu</w:t>
      </w:r>
      <w:r w:rsidR="00943120">
        <w:rPr>
          <w:lang w:bidi="fr-FR"/>
        </w:rPr>
        <w:t>’</w:t>
      </w:r>
      <w:r w:rsidRPr="00BA578C">
        <w:rPr>
          <w:lang w:bidi="fr-FR"/>
        </w:rPr>
        <w:t>à dix jours de congé payé aux personnes victimes de violence familiale et à celles qui s</w:t>
      </w:r>
      <w:r w:rsidR="00943120">
        <w:rPr>
          <w:lang w:bidi="fr-FR"/>
        </w:rPr>
        <w:t>’</w:t>
      </w:r>
      <w:r w:rsidRPr="00BA578C">
        <w:rPr>
          <w:lang w:bidi="fr-FR"/>
        </w:rPr>
        <w:t>occupent d</w:t>
      </w:r>
      <w:r w:rsidR="00943120">
        <w:rPr>
          <w:lang w:bidi="fr-FR"/>
        </w:rPr>
        <w:t>’</w:t>
      </w:r>
      <w:r w:rsidRPr="00BA578C">
        <w:rPr>
          <w:lang w:bidi="fr-FR"/>
        </w:rPr>
        <w:t xml:space="preserve">enfants touchés par ce phénomène. </w:t>
      </w:r>
    </w:p>
    <w:p w14:paraId="71E99542" w14:textId="08F81A39" w:rsidR="00BA578C" w:rsidRPr="00BA578C" w:rsidRDefault="00BA578C" w:rsidP="002D3243">
      <w:pPr>
        <w:pStyle w:val="SingleTxt"/>
        <w:numPr>
          <w:ilvl w:val="0"/>
          <w:numId w:val="15"/>
        </w:numPr>
        <w:spacing w:line="240" w:lineRule="exact"/>
        <w:ind w:left="1267"/>
        <w:rPr>
          <w:lang w:val="fr-FR"/>
        </w:rPr>
      </w:pPr>
      <w:r w:rsidRPr="00BA578C">
        <w:rPr>
          <w:lang w:bidi="fr-FR"/>
        </w:rPr>
        <w:t>Des entreprises et organisations de tailles diverses ont établi de manière proactive leurs propres politiques et dispositions pour leurs employés qui sont confrontés à des problèmes de violence domestique. WorkSafe New Zealand fournit également des conseils sur la gestion des risques liés à la violence familiale dans le cadre de la loi de 2015 sur la santé et la sécurité au travail.</w:t>
      </w:r>
    </w:p>
    <w:p w14:paraId="291002B5" w14:textId="6ABB49CE" w:rsidR="00BA578C" w:rsidRPr="00BA578C" w:rsidRDefault="00BA578C" w:rsidP="002D3243">
      <w:pPr>
        <w:pStyle w:val="SingleTxt"/>
        <w:numPr>
          <w:ilvl w:val="0"/>
          <w:numId w:val="15"/>
        </w:numPr>
        <w:spacing w:line="240" w:lineRule="exact"/>
        <w:ind w:left="1267"/>
        <w:rPr>
          <w:lang w:val="fr-FR"/>
        </w:rPr>
      </w:pPr>
      <w:r w:rsidRPr="00BA578C">
        <w:rPr>
          <w:lang w:bidi="fr-FR"/>
        </w:rPr>
        <w:t>La Commissaire aux droits des personnes handicapées s</w:t>
      </w:r>
      <w:r w:rsidR="00943120">
        <w:rPr>
          <w:lang w:bidi="fr-FR"/>
        </w:rPr>
        <w:t>’</w:t>
      </w:r>
      <w:r w:rsidRPr="00BA578C">
        <w:rPr>
          <w:lang w:bidi="fr-FR"/>
        </w:rPr>
        <w:t>est penchée plus particulièrement sur les problèmes des personnes à mobilité réduite qui cherchent à vivre à l</w:t>
      </w:r>
      <w:r w:rsidR="00943120">
        <w:rPr>
          <w:lang w:bidi="fr-FR"/>
        </w:rPr>
        <w:t>’</w:t>
      </w:r>
      <w:r w:rsidRPr="00BA578C">
        <w:rPr>
          <w:lang w:bidi="fr-FR"/>
        </w:rPr>
        <w:t xml:space="preserve">abri de la violence. Elle en a fait part aux ministres, et un premier plan de travail a depuis lors été convenu entre la Commissaire et la coentreprise afin de faire avancer les travaux visant à résoudre les problèmes de cette population. </w:t>
      </w:r>
    </w:p>
    <w:p w14:paraId="6644ABCC" w14:textId="37005599" w:rsidR="00BA578C" w:rsidRPr="002D3243" w:rsidRDefault="00BA578C" w:rsidP="002D3243">
      <w:pPr>
        <w:pStyle w:val="SingleTxt"/>
        <w:spacing w:after="0" w:line="120" w:lineRule="exact"/>
        <w:rPr>
          <w:sz w:val="10"/>
          <w:lang w:val="fr-FR"/>
        </w:rPr>
      </w:pPr>
    </w:p>
    <w:p w14:paraId="737FAD56" w14:textId="77777777" w:rsidR="00BA578C" w:rsidRPr="00BA578C" w:rsidRDefault="00BA578C" w:rsidP="002D324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578C">
        <w:rPr>
          <w:lang w:bidi="fr-FR"/>
        </w:rPr>
        <w:tab/>
      </w:r>
      <w:r w:rsidRPr="00BA578C">
        <w:rPr>
          <w:lang w:bidi="fr-FR"/>
        </w:rPr>
        <w:tab/>
        <w:t>Une stratégie nationale pour la prévention de la violence familiale et sexuelle</w:t>
      </w:r>
    </w:p>
    <w:p w14:paraId="0429C298" w14:textId="1E4878D1" w:rsidR="00BA578C" w:rsidRPr="002D3243" w:rsidRDefault="00BA578C" w:rsidP="002D3243">
      <w:pPr>
        <w:pStyle w:val="SingleTxt"/>
        <w:spacing w:after="0" w:line="120" w:lineRule="exact"/>
        <w:rPr>
          <w:sz w:val="10"/>
          <w:lang w:val="fr-FR"/>
        </w:rPr>
      </w:pPr>
    </w:p>
    <w:p w14:paraId="511AE88E" w14:textId="046C5C0A" w:rsidR="00BA578C" w:rsidRPr="00BA578C" w:rsidRDefault="00BA578C" w:rsidP="002D3243">
      <w:pPr>
        <w:pStyle w:val="SingleTxt"/>
        <w:numPr>
          <w:ilvl w:val="0"/>
          <w:numId w:val="15"/>
        </w:numPr>
        <w:spacing w:line="240" w:lineRule="exact"/>
        <w:ind w:left="1267"/>
        <w:rPr>
          <w:lang w:val="fr-FR"/>
        </w:rPr>
      </w:pPr>
      <w:r w:rsidRPr="00BA578C">
        <w:rPr>
          <w:lang w:bidi="fr-FR"/>
        </w:rPr>
        <w:t>Une équipe de coentreprise multiorganisationnelle a été créée en 2019 afin de définir une orientation claire quant à l</w:t>
      </w:r>
      <w:r w:rsidR="00943120">
        <w:rPr>
          <w:lang w:bidi="fr-FR"/>
        </w:rPr>
        <w:t>’</w:t>
      </w:r>
      <w:r w:rsidRPr="00BA578C">
        <w:rPr>
          <w:lang w:bidi="fr-FR"/>
        </w:rPr>
        <w:t>engagement du gouvernement à éliminer la violence familiale et sexuelle. Le conseil d</w:t>
      </w:r>
      <w:r w:rsidR="00943120">
        <w:rPr>
          <w:lang w:bidi="fr-FR"/>
        </w:rPr>
        <w:t>’</w:t>
      </w:r>
      <w:r w:rsidRPr="00BA578C">
        <w:rPr>
          <w:lang w:bidi="fr-FR"/>
        </w:rPr>
        <w:t>administration chargé du travail de la coentreprise est composé des directeurs généraux des organisations suivantes</w:t>
      </w:r>
      <w:r w:rsidR="00943120">
        <w:rPr>
          <w:lang w:bidi="fr-FR"/>
        </w:rPr>
        <w:t> :</w:t>
      </w:r>
      <w:r w:rsidRPr="00BA578C">
        <w:rPr>
          <w:lang w:bidi="fr-FR"/>
        </w:rPr>
        <w:t xml:space="preserve"> Oranga Tamariki (bien-être des enfants), la Santé, Te Puni Kōkiri (développement maori), le Développement social, l</w:t>
      </w:r>
      <w:r w:rsidR="00943120">
        <w:rPr>
          <w:lang w:bidi="fr-FR"/>
        </w:rPr>
        <w:t>’</w:t>
      </w:r>
      <w:r w:rsidRPr="00BA578C">
        <w:rPr>
          <w:lang w:bidi="fr-FR"/>
        </w:rPr>
        <w:t>Éducation, la Justice, la Police, la Société d</w:t>
      </w:r>
      <w:r w:rsidR="00943120">
        <w:rPr>
          <w:lang w:bidi="fr-FR"/>
        </w:rPr>
        <w:t>’</w:t>
      </w:r>
      <w:r w:rsidRPr="00BA578C">
        <w:rPr>
          <w:lang w:bidi="fr-FR"/>
        </w:rPr>
        <w:t>indemnisation des accidents, le Service correctionnel ainsi que le Ministère de la ou du Premier Ministre et du Cabinet. Un nouveau poste de « ministre principal(e) » a également été créé par le Cabinet dans le but de superviser et de coordonner ce travail. Le groupe de champions de la coentreprise interorganisationnelle s</w:t>
      </w:r>
      <w:r w:rsidR="00943120">
        <w:rPr>
          <w:lang w:bidi="fr-FR"/>
        </w:rPr>
        <w:t>’</w:t>
      </w:r>
      <w:r w:rsidRPr="00BA578C">
        <w:rPr>
          <w:lang w:bidi="fr-FR"/>
        </w:rPr>
        <w:t>est engagé à apporter des changements significatifs à l</w:t>
      </w:r>
      <w:r w:rsidR="00943120">
        <w:rPr>
          <w:lang w:bidi="fr-FR"/>
        </w:rPr>
        <w:t>’</w:t>
      </w:r>
      <w:r w:rsidRPr="00BA578C">
        <w:rPr>
          <w:lang w:bidi="fr-FR"/>
        </w:rPr>
        <w:t>échelle du système en réponse à la violence familiale et sexuelle. Il vise à mettre l</w:t>
      </w:r>
      <w:r w:rsidR="00943120">
        <w:rPr>
          <w:lang w:bidi="fr-FR"/>
        </w:rPr>
        <w:t>’</w:t>
      </w:r>
      <w:r w:rsidRPr="00BA578C">
        <w:rPr>
          <w:lang w:bidi="fr-FR"/>
        </w:rPr>
        <w:t xml:space="preserve">accent sur la prévention de la violence familiale et sexuelle, à améliorer notre partenariat avec la Couronne maorie afin de lutter contre cette violence et à faire évoluer la façon dont le gouvernement opère pour relever ce défi. </w:t>
      </w:r>
    </w:p>
    <w:p w14:paraId="1058774A" w14:textId="3D5801A7" w:rsidR="00BA578C" w:rsidRPr="00BA578C" w:rsidRDefault="00BA578C" w:rsidP="002D3243">
      <w:pPr>
        <w:pStyle w:val="SingleTxt"/>
        <w:numPr>
          <w:ilvl w:val="0"/>
          <w:numId w:val="15"/>
        </w:numPr>
        <w:spacing w:line="240" w:lineRule="exact"/>
        <w:ind w:left="1267"/>
        <w:rPr>
          <w:lang w:val="fr-FR"/>
        </w:rPr>
      </w:pPr>
      <w:r w:rsidRPr="00BA578C">
        <w:rPr>
          <w:lang w:bidi="fr-FR"/>
        </w:rPr>
        <w:t>La coentreprise est chargée d</w:t>
      </w:r>
      <w:r w:rsidR="00943120">
        <w:rPr>
          <w:lang w:bidi="fr-FR"/>
        </w:rPr>
        <w:t>’</w:t>
      </w:r>
      <w:r w:rsidRPr="00BA578C">
        <w:rPr>
          <w:lang w:bidi="fr-FR"/>
        </w:rPr>
        <w:t xml:space="preserve">élaborer une stratégie nationale collective, en partenariat avec le secteur de la famille et de la violence sexuelle, diverses communautés (par exemple, les personnes handicapées, la communauté arc-en-ciel), les Maoris et le grand public. Des indicateurs seront définis dans le cadre de la </w:t>
      </w:r>
      <w:r w:rsidRPr="00BA578C">
        <w:rPr>
          <w:lang w:bidi="fr-FR"/>
        </w:rPr>
        <w:lastRenderedPageBreak/>
        <w:t>stratégie nationale visant à suivre les progrès du gouvernement dans l</w:t>
      </w:r>
      <w:r w:rsidR="00943120">
        <w:rPr>
          <w:lang w:bidi="fr-FR"/>
        </w:rPr>
        <w:t>’</w:t>
      </w:r>
      <w:r w:rsidRPr="00BA578C">
        <w:rPr>
          <w:lang w:bidi="fr-FR"/>
        </w:rPr>
        <w:t>élimination de la violence familiale et sexuelle.</w:t>
      </w:r>
    </w:p>
    <w:p w14:paraId="2CE51458" w14:textId="1B2844EE" w:rsidR="00BA578C" w:rsidRPr="00BA578C" w:rsidRDefault="00BA578C" w:rsidP="002D3243">
      <w:pPr>
        <w:pStyle w:val="SingleTxt"/>
        <w:numPr>
          <w:ilvl w:val="0"/>
          <w:numId w:val="15"/>
        </w:numPr>
        <w:spacing w:line="240" w:lineRule="exact"/>
        <w:ind w:left="1267"/>
        <w:rPr>
          <w:lang w:val="fr-FR"/>
        </w:rPr>
      </w:pPr>
      <w:r w:rsidRPr="00BA578C">
        <w:rPr>
          <w:lang w:bidi="fr-FR"/>
        </w:rPr>
        <w:t>En 2020, le Ministère du développement social (MDS) a créé trois cadres quinquennaux pour la prévention de la violence familiale dans l</w:t>
      </w:r>
      <w:r w:rsidR="00943120">
        <w:rPr>
          <w:lang w:bidi="fr-FR"/>
        </w:rPr>
        <w:t>’</w:t>
      </w:r>
      <w:r w:rsidRPr="00BA578C">
        <w:rPr>
          <w:lang w:bidi="fr-FR"/>
        </w:rPr>
        <w:t>ensemble de l</w:t>
      </w:r>
      <w:r w:rsidR="00943120">
        <w:rPr>
          <w:lang w:bidi="fr-FR"/>
        </w:rPr>
        <w:t>’</w:t>
      </w:r>
      <w:r w:rsidRPr="00BA578C">
        <w:rPr>
          <w:lang w:bidi="fr-FR"/>
        </w:rPr>
        <w:t>Aotearoa</w:t>
      </w:r>
      <w:r w:rsidR="00943120">
        <w:rPr>
          <w:lang w:bidi="fr-FR"/>
        </w:rPr>
        <w:t> :</w:t>
      </w:r>
    </w:p>
    <w:p w14:paraId="6B4A523A" w14:textId="71C61E5B" w:rsidR="00BA578C" w:rsidRPr="00BA578C" w:rsidRDefault="00BA578C" w:rsidP="00BA578C">
      <w:pPr>
        <w:pStyle w:val="SingleTxt"/>
        <w:rPr>
          <w:lang w:val="es-ES"/>
        </w:rPr>
      </w:pPr>
      <w:r w:rsidRPr="00BA578C">
        <w:rPr>
          <w:lang w:bidi="fr-FR"/>
        </w:rPr>
        <w:tab/>
      </w:r>
      <w:r w:rsidRPr="00BA578C">
        <w:rPr>
          <w:lang w:val="es-ES"/>
        </w:rPr>
        <w:t>1.</w:t>
      </w:r>
      <w:r w:rsidRPr="00BA578C">
        <w:rPr>
          <w:lang w:val="es-ES"/>
        </w:rPr>
        <w:tab/>
        <w:t>E Tū Whānau</w:t>
      </w:r>
      <w:r w:rsidR="00943120">
        <w:rPr>
          <w:lang w:val="es-ES"/>
        </w:rPr>
        <w:t> ;</w:t>
      </w:r>
    </w:p>
    <w:p w14:paraId="1D41683E" w14:textId="5E8AB079" w:rsidR="00BA578C" w:rsidRPr="00BA578C" w:rsidRDefault="00BA578C" w:rsidP="00BA578C">
      <w:pPr>
        <w:pStyle w:val="SingleTxt"/>
        <w:rPr>
          <w:lang w:val="es-ES"/>
        </w:rPr>
      </w:pPr>
      <w:r w:rsidRPr="00BA578C">
        <w:rPr>
          <w:lang w:val="es-ES"/>
        </w:rPr>
        <w:tab/>
        <w:t>2.</w:t>
      </w:r>
      <w:r w:rsidRPr="00BA578C">
        <w:rPr>
          <w:lang w:val="es-ES"/>
        </w:rPr>
        <w:tab/>
        <w:t>Pasefika Proud</w:t>
      </w:r>
      <w:r w:rsidR="00943120">
        <w:rPr>
          <w:lang w:val="es-ES"/>
        </w:rPr>
        <w:t> ;</w:t>
      </w:r>
    </w:p>
    <w:p w14:paraId="7148DF06" w14:textId="158BB216" w:rsidR="00BA578C" w:rsidRPr="00BA578C" w:rsidRDefault="00BA578C" w:rsidP="00BA578C">
      <w:pPr>
        <w:pStyle w:val="SingleTxt"/>
        <w:rPr>
          <w:lang w:val="fr-FR"/>
        </w:rPr>
      </w:pPr>
      <w:r w:rsidRPr="00BA578C">
        <w:rPr>
          <w:lang w:val="es-ES"/>
        </w:rPr>
        <w:tab/>
      </w:r>
      <w:r w:rsidRPr="00BA578C">
        <w:rPr>
          <w:lang w:bidi="fr-FR"/>
        </w:rPr>
        <w:t>3.</w:t>
      </w:r>
      <w:r w:rsidRPr="00BA578C">
        <w:rPr>
          <w:lang w:bidi="fr-FR"/>
        </w:rPr>
        <w:tab/>
        <w:t>It</w:t>
      </w:r>
      <w:r w:rsidR="00943120">
        <w:rPr>
          <w:lang w:bidi="fr-FR"/>
        </w:rPr>
        <w:t>’</w:t>
      </w:r>
      <w:r w:rsidRPr="00BA578C">
        <w:rPr>
          <w:lang w:bidi="fr-FR"/>
        </w:rPr>
        <w:t>s Not OK (Campagne d</w:t>
      </w:r>
      <w:r w:rsidR="00943120">
        <w:rPr>
          <w:lang w:bidi="fr-FR"/>
        </w:rPr>
        <w:t>’</w:t>
      </w:r>
      <w:r w:rsidRPr="00BA578C">
        <w:rPr>
          <w:lang w:bidi="fr-FR"/>
        </w:rPr>
        <w:t>action contre la violence familiale).</w:t>
      </w:r>
    </w:p>
    <w:p w14:paraId="13A0D47B" w14:textId="7AD4FF06" w:rsidR="00BA578C" w:rsidRPr="00BA578C" w:rsidRDefault="00BA578C" w:rsidP="002D3243">
      <w:pPr>
        <w:pStyle w:val="SingleTxt"/>
        <w:numPr>
          <w:ilvl w:val="0"/>
          <w:numId w:val="15"/>
        </w:numPr>
        <w:spacing w:line="240" w:lineRule="exact"/>
        <w:ind w:left="1267"/>
        <w:rPr>
          <w:lang w:val="fr-FR"/>
        </w:rPr>
      </w:pPr>
      <w:r w:rsidRPr="00BA578C">
        <w:rPr>
          <w:lang w:bidi="fr-FR"/>
        </w:rPr>
        <w:t>Cela signifie qu</w:t>
      </w:r>
      <w:r w:rsidR="00943120">
        <w:rPr>
          <w:lang w:bidi="fr-FR"/>
        </w:rPr>
        <w:t>’</w:t>
      </w:r>
      <w:r w:rsidRPr="00BA578C">
        <w:rPr>
          <w:lang w:bidi="fr-FR"/>
        </w:rPr>
        <w:t>il faut toucher de nouvelles communautés par l</w:t>
      </w:r>
      <w:r w:rsidR="00943120">
        <w:rPr>
          <w:lang w:bidi="fr-FR"/>
        </w:rPr>
        <w:t>’</w:t>
      </w:r>
      <w:r w:rsidRPr="00BA578C">
        <w:rPr>
          <w:lang w:bidi="fr-FR"/>
        </w:rPr>
        <w:t>intermédiaire d</w:t>
      </w:r>
      <w:r w:rsidR="00943120">
        <w:rPr>
          <w:lang w:bidi="fr-FR"/>
        </w:rPr>
        <w:t>’</w:t>
      </w:r>
      <w:r w:rsidRPr="00BA578C">
        <w:rPr>
          <w:lang w:bidi="fr-FR"/>
        </w:rPr>
        <w:t xml:space="preserve">E Tū Whānau et mettre en place de nouvelles approches telles que Safe Man Safe Family, qui se concentre sur la manière dont les hommes sont mobilisés afin de connaître un changement de comportement positif et durable. </w:t>
      </w:r>
    </w:p>
    <w:p w14:paraId="1C042A5C" w14:textId="491B1F61" w:rsidR="00BA578C" w:rsidRPr="002D3243" w:rsidRDefault="00BA578C" w:rsidP="002D3243">
      <w:pPr>
        <w:pStyle w:val="SingleTxt"/>
        <w:spacing w:after="0" w:line="120" w:lineRule="exact"/>
        <w:rPr>
          <w:sz w:val="10"/>
          <w:lang w:val="fr-FR"/>
        </w:rPr>
      </w:pPr>
    </w:p>
    <w:p w14:paraId="66D9BD52" w14:textId="77777777" w:rsidR="00BA578C" w:rsidRPr="00BA578C" w:rsidRDefault="00BA578C" w:rsidP="002D324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578C">
        <w:rPr>
          <w:lang w:bidi="fr-FR"/>
        </w:rPr>
        <w:tab/>
      </w:r>
      <w:r w:rsidRPr="00BA578C">
        <w:rPr>
          <w:lang w:bidi="fr-FR"/>
        </w:rPr>
        <w:tab/>
        <w:t>Augmentation du financement afin de prévenir les violences sexuelles et familiales, qui se fonde entre autres sur les services de lutte contre les violences sexuelles kaupapa Māori</w:t>
      </w:r>
    </w:p>
    <w:p w14:paraId="4A40F1F1" w14:textId="108A2E76" w:rsidR="00BA578C" w:rsidRPr="002D3243" w:rsidRDefault="00BA578C" w:rsidP="002D3243">
      <w:pPr>
        <w:pStyle w:val="SingleTxt"/>
        <w:spacing w:after="0" w:line="120" w:lineRule="exact"/>
        <w:rPr>
          <w:sz w:val="10"/>
          <w:lang w:val="fr-FR"/>
        </w:rPr>
      </w:pPr>
    </w:p>
    <w:p w14:paraId="388E8DC2" w14:textId="2D68C4BD" w:rsidR="00BA578C" w:rsidRPr="00BA578C" w:rsidRDefault="00BA578C" w:rsidP="002D3243">
      <w:pPr>
        <w:pStyle w:val="SingleTxt"/>
        <w:numPr>
          <w:ilvl w:val="0"/>
          <w:numId w:val="15"/>
        </w:numPr>
        <w:spacing w:line="240" w:lineRule="exact"/>
        <w:ind w:left="1267"/>
        <w:rPr>
          <w:lang w:val="fr-FR"/>
        </w:rPr>
      </w:pPr>
      <w:r w:rsidRPr="00BA578C">
        <w:rPr>
          <w:lang w:bidi="fr-FR"/>
        </w:rPr>
        <w:t>En 2019, le gouvernement a annoncé la plus grande année d</w:t>
      </w:r>
      <w:r w:rsidR="00943120">
        <w:rPr>
          <w:lang w:bidi="fr-FR"/>
        </w:rPr>
        <w:t>’</w:t>
      </w:r>
      <w:r w:rsidRPr="00BA578C">
        <w:rPr>
          <w:lang w:bidi="fr-FR"/>
        </w:rPr>
        <w:t>investissement jamais réalisée dans sa réponse à la violence familiale et sexuelle. L</w:t>
      </w:r>
      <w:r w:rsidR="00943120">
        <w:rPr>
          <w:lang w:bidi="fr-FR"/>
        </w:rPr>
        <w:t>’</w:t>
      </w:r>
      <w:r w:rsidRPr="00BA578C">
        <w:rPr>
          <w:lang w:bidi="fr-FR"/>
        </w:rPr>
        <w:t>enveloppe de 320 millions de dollars (sur quatre ans) comprend un financement et un soutien pour</w:t>
      </w:r>
      <w:r w:rsidR="00943120">
        <w:rPr>
          <w:lang w:bidi="fr-FR"/>
        </w:rPr>
        <w:t> :</w:t>
      </w:r>
    </w:p>
    <w:p w14:paraId="4FE111D5" w14:textId="4E120885" w:rsidR="00BA578C" w:rsidRPr="00BA578C" w:rsidRDefault="002D3243" w:rsidP="002D3243">
      <w:pPr>
        <w:pStyle w:val="SingleTxt"/>
        <w:tabs>
          <w:tab w:val="right" w:pos="1685"/>
        </w:tabs>
        <w:ind w:left="1742" w:hanging="475"/>
        <w:rPr>
          <w:lang w:val="fr-FR"/>
        </w:rPr>
      </w:pPr>
      <w:r w:rsidRPr="002D3243">
        <w:rPr>
          <w:lang w:bidi="fr-FR"/>
        </w:rPr>
        <w:tab/>
        <w:t>•</w:t>
      </w:r>
      <w:r w:rsidRPr="002D3243">
        <w:rPr>
          <w:lang w:bidi="fr-FR"/>
        </w:rPr>
        <w:tab/>
      </w:r>
      <w:r w:rsidR="00BA578C" w:rsidRPr="00BA578C">
        <w:rPr>
          <w:lang w:bidi="fr-FR"/>
        </w:rPr>
        <w:t>Les services d</w:t>
      </w:r>
      <w:r w:rsidR="00943120">
        <w:rPr>
          <w:lang w:bidi="fr-FR"/>
        </w:rPr>
        <w:t>’</w:t>
      </w:r>
      <w:r w:rsidR="00BA578C" w:rsidRPr="00BA578C">
        <w:rPr>
          <w:lang w:bidi="fr-FR"/>
        </w:rPr>
        <w:t>assistance en cas de crise de violence sexuelle pour les adultes, les enfants et les jeunes</w:t>
      </w:r>
      <w:r w:rsidR="00943120">
        <w:rPr>
          <w:lang w:bidi="fr-FR"/>
        </w:rPr>
        <w:t> ;</w:t>
      </w:r>
    </w:p>
    <w:p w14:paraId="087607BA" w14:textId="6AA15ED6" w:rsidR="00BA578C" w:rsidRPr="00BA578C" w:rsidRDefault="002D3243" w:rsidP="002D3243">
      <w:pPr>
        <w:pStyle w:val="SingleTxt"/>
        <w:tabs>
          <w:tab w:val="right" w:pos="1685"/>
        </w:tabs>
        <w:ind w:left="1742" w:hanging="475"/>
        <w:rPr>
          <w:lang w:val="fr-FR"/>
        </w:rPr>
      </w:pPr>
      <w:r w:rsidRPr="002D3243">
        <w:rPr>
          <w:lang w:bidi="fr-FR"/>
        </w:rPr>
        <w:tab/>
        <w:t>•</w:t>
      </w:r>
      <w:r w:rsidRPr="002D3243">
        <w:rPr>
          <w:lang w:bidi="fr-FR"/>
        </w:rPr>
        <w:tab/>
      </w:r>
      <w:r w:rsidR="00BA578C" w:rsidRPr="00BA578C">
        <w:rPr>
          <w:lang w:bidi="fr-FR"/>
        </w:rPr>
        <w:t>Permettre aux victimes de violences sexuelles de témoigner par d</w:t>
      </w:r>
      <w:r w:rsidR="00943120">
        <w:rPr>
          <w:lang w:bidi="fr-FR"/>
        </w:rPr>
        <w:t>’</w:t>
      </w:r>
      <w:r w:rsidR="00BA578C" w:rsidRPr="00BA578C">
        <w:rPr>
          <w:lang w:bidi="fr-FR"/>
        </w:rPr>
        <w:t>autres moyens afin de réduire le risque de subir un nouveau traumatisme</w:t>
      </w:r>
      <w:r w:rsidR="00943120">
        <w:rPr>
          <w:lang w:bidi="fr-FR"/>
        </w:rPr>
        <w:t> ;</w:t>
      </w:r>
    </w:p>
    <w:p w14:paraId="33131AE6" w14:textId="31714197" w:rsidR="00BA578C" w:rsidRPr="00BA578C" w:rsidRDefault="002D3243" w:rsidP="002D3243">
      <w:pPr>
        <w:pStyle w:val="SingleTxt"/>
        <w:tabs>
          <w:tab w:val="right" w:pos="1685"/>
        </w:tabs>
        <w:ind w:left="1742" w:hanging="475"/>
        <w:rPr>
          <w:lang w:val="fr-FR"/>
        </w:rPr>
      </w:pPr>
      <w:r w:rsidRPr="002D3243">
        <w:rPr>
          <w:lang w:bidi="fr-FR"/>
        </w:rPr>
        <w:tab/>
        <w:t>•</w:t>
      </w:r>
      <w:r w:rsidRPr="002D3243">
        <w:rPr>
          <w:lang w:bidi="fr-FR"/>
        </w:rPr>
        <w:tab/>
      </w:r>
      <w:r w:rsidR="00BA578C" w:rsidRPr="00BA578C">
        <w:rPr>
          <w:lang w:bidi="fr-FR"/>
        </w:rPr>
        <w:t>Le financement dédié à une réponse kaupapa Māori à la violence sexuelle</w:t>
      </w:r>
      <w:r w:rsidR="00943120">
        <w:rPr>
          <w:lang w:bidi="fr-FR"/>
        </w:rPr>
        <w:t> ;</w:t>
      </w:r>
      <w:r w:rsidR="00BA578C" w:rsidRPr="00BA578C">
        <w:rPr>
          <w:lang w:bidi="fr-FR"/>
        </w:rPr>
        <w:t xml:space="preserve"> </w:t>
      </w:r>
    </w:p>
    <w:p w14:paraId="7EFBC976" w14:textId="0A312AF1" w:rsidR="00BA578C" w:rsidRPr="00BA578C" w:rsidRDefault="002D3243" w:rsidP="002D3243">
      <w:pPr>
        <w:pStyle w:val="SingleTxt"/>
        <w:tabs>
          <w:tab w:val="right" w:pos="1685"/>
        </w:tabs>
        <w:ind w:left="1742" w:hanging="475"/>
        <w:rPr>
          <w:lang w:val="fr-FR"/>
        </w:rPr>
      </w:pPr>
      <w:r w:rsidRPr="002D3243">
        <w:rPr>
          <w:lang w:bidi="fr-FR"/>
        </w:rPr>
        <w:tab/>
        <w:t>•</w:t>
      </w:r>
      <w:r w:rsidRPr="002D3243">
        <w:rPr>
          <w:lang w:bidi="fr-FR"/>
        </w:rPr>
        <w:tab/>
      </w:r>
      <w:r w:rsidR="00BA578C" w:rsidRPr="00BA578C">
        <w:rPr>
          <w:lang w:bidi="fr-FR"/>
        </w:rPr>
        <w:t>L</w:t>
      </w:r>
      <w:r w:rsidR="00943120">
        <w:rPr>
          <w:lang w:bidi="fr-FR"/>
        </w:rPr>
        <w:t>’</w:t>
      </w:r>
      <w:r w:rsidR="00BA578C" w:rsidRPr="00BA578C">
        <w:rPr>
          <w:lang w:bidi="fr-FR"/>
        </w:rPr>
        <w:t>extension des sites d</w:t>
      </w:r>
      <w:r w:rsidR="00943120">
        <w:rPr>
          <w:lang w:bidi="fr-FR"/>
        </w:rPr>
        <w:t>’</w:t>
      </w:r>
      <w:r w:rsidR="00BA578C" w:rsidRPr="00BA578C">
        <w:rPr>
          <w:lang w:bidi="fr-FR"/>
        </w:rPr>
        <w:t>intervention intégrée en matière de sécurité (IIS), visant plus d</w:t>
      </w:r>
      <w:r w:rsidR="00943120">
        <w:rPr>
          <w:lang w:bidi="fr-FR"/>
        </w:rPr>
        <w:t>’</w:t>
      </w:r>
      <w:r w:rsidR="00BA578C" w:rsidRPr="00BA578C">
        <w:rPr>
          <w:lang w:bidi="fr-FR"/>
        </w:rPr>
        <w:t>un million de Néo-Zélandais. L</w:t>
      </w:r>
      <w:r w:rsidR="00943120">
        <w:rPr>
          <w:lang w:bidi="fr-FR"/>
        </w:rPr>
        <w:t>’</w:t>
      </w:r>
      <w:r w:rsidR="00BA578C" w:rsidRPr="00BA578C">
        <w:rPr>
          <w:lang w:bidi="fr-FR"/>
        </w:rPr>
        <w:t>IIS est une intervention multiorganisationnelle mise au point afin de garantir la sécurité immédiate des victimes et des enfants ainsi que de collaborer avec les auteurs des infractions dans le but de prévenir de nouvelles violences</w:t>
      </w:r>
      <w:r w:rsidR="00943120">
        <w:rPr>
          <w:lang w:bidi="fr-FR"/>
        </w:rPr>
        <w:t> ;</w:t>
      </w:r>
      <w:r w:rsidR="00BA578C" w:rsidRPr="00BA578C">
        <w:rPr>
          <w:lang w:bidi="fr-FR"/>
        </w:rPr>
        <w:t xml:space="preserve"> et</w:t>
      </w:r>
    </w:p>
    <w:p w14:paraId="1C6CA0E4" w14:textId="19D86CAD" w:rsidR="00BA578C" w:rsidRPr="00BA578C" w:rsidRDefault="002D3243" w:rsidP="002D3243">
      <w:pPr>
        <w:pStyle w:val="SingleTxt"/>
        <w:tabs>
          <w:tab w:val="right" w:pos="1685"/>
        </w:tabs>
        <w:ind w:left="1742" w:hanging="475"/>
        <w:rPr>
          <w:lang w:val="fr-FR"/>
        </w:rPr>
      </w:pPr>
      <w:r w:rsidRPr="002D3243">
        <w:rPr>
          <w:lang w:bidi="fr-FR"/>
        </w:rPr>
        <w:tab/>
        <w:t>•</w:t>
      </w:r>
      <w:r w:rsidRPr="002D3243">
        <w:rPr>
          <w:lang w:bidi="fr-FR"/>
        </w:rPr>
        <w:tab/>
      </w:r>
      <w:r w:rsidR="00BA578C" w:rsidRPr="00BA578C">
        <w:rPr>
          <w:lang w:bidi="fr-FR"/>
        </w:rPr>
        <w:t>L</w:t>
      </w:r>
      <w:r w:rsidR="00943120">
        <w:rPr>
          <w:lang w:bidi="fr-FR"/>
        </w:rPr>
        <w:t>’</w:t>
      </w:r>
      <w:r w:rsidR="00BA578C" w:rsidRPr="00BA578C">
        <w:rPr>
          <w:lang w:bidi="fr-FR"/>
        </w:rPr>
        <w:t>augmentation des fonds afin de faire face aux pressions financières dans les services d</w:t>
      </w:r>
      <w:r w:rsidR="00943120">
        <w:rPr>
          <w:lang w:bidi="fr-FR"/>
        </w:rPr>
        <w:t>’</w:t>
      </w:r>
      <w:r w:rsidR="00BA578C" w:rsidRPr="00BA578C">
        <w:rPr>
          <w:lang w:bidi="fr-FR"/>
        </w:rPr>
        <w:t>aide aux victimes de violences sexuelles.</w:t>
      </w:r>
    </w:p>
    <w:p w14:paraId="0E650966" w14:textId="5B5084E6" w:rsidR="00BA578C" w:rsidRPr="00BA578C" w:rsidRDefault="00BA578C" w:rsidP="002D3243">
      <w:pPr>
        <w:pStyle w:val="SingleTxt"/>
        <w:numPr>
          <w:ilvl w:val="0"/>
          <w:numId w:val="15"/>
        </w:numPr>
        <w:spacing w:line="240" w:lineRule="exact"/>
        <w:ind w:left="1267"/>
        <w:rPr>
          <w:lang w:val="fr-FR"/>
        </w:rPr>
      </w:pPr>
      <w:r w:rsidRPr="00BA578C">
        <w:rPr>
          <w:lang w:bidi="fr-FR"/>
        </w:rPr>
        <w:t>Ce montant s</w:t>
      </w:r>
      <w:r w:rsidR="00943120">
        <w:rPr>
          <w:lang w:bidi="fr-FR"/>
        </w:rPr>
        <w:t>’</w:t>
      </w:r>
      <w:r w:rsidRPr="00BA578C">
        <w:rPr>
          <w:lang w:bidi="fr-FR"/>
        </w:rPr>
        <w:t>ajoute aux 76 millions de dollars (sur quatre ans) alloués les années précédentes pour 2018.</w:t>
      </w:r>
    </w:p>
    <w:p w14:paraId="552634DE" w14:textId="76B6C7A6" w:rsidR="00BA578C" w:rsidRPr="00BA578C" w:rsidRDefault="00BA578C" w:rsidP="002D3243">
      <w:pPr>
        <w:pStyle w:val="SingleTxt"/>
        <w:numPr>
          <w:ilvl w:val="0"/>
          <w:numId w:val="15"/>
        </w:numPr>
        <w:spacing w:line="240" w:lineRule="exact"/>
        <w:ind w:left="1267"/>
        <w:rPr>
          <w:lang w:val="fr-FR"/>
        </w:rPr>
      </w:pPr>
      <w:r w:rsidRPr="00BA578C">
        <w:rPr>
          <w:lang w:bidi="fr-FR"/>
        </w:rPr>
        <w:t>En 2020, le gouvernement a annoncé une nouvelle enveloppe de 253,3 millions de dollars (sur quatre ans) pour le financement et le soutien</w:t>
      </w:r>
      <w:r w:rsidR="00943120">
        <w:rPr>
          <w:lang w:bidi="fr-FR"/>
        </w:rPr>
        <w:t> :</w:t>
      </w:r>
    </w:p>
    <w:p w14:paraId="35C705EF" w14:textId="35313BC1" w:rsidR="00BA578C" w:rsidRPr="00BA578C" w:rsidRDefault="002D3243" w:rsidP="002D3243">
      <w:pPr>
        <w:pStyle w:val="SingleTxt"/>
        <w:tabs>
          <w:tab w:val="right" w:pos="1685"/>
        </w:tabs>
        <w:ind w:left="1742" w:hanging="475"/>
        <w:rPr>
          <w:lang w:val="fr-FR"/>
        </w:rPr>
      </w:pPr>
      <w:r w:rsidRPr="002D3243">
        <w:rPr>
          <w:lang w:bidi="fr-FR"/>
        </w:rPr>
        <w:tab/>
        <w:t>•</w:t>
      </w:r>
      <w:r w:rsidRPr="002D3243">
        <w:rPr>
          <w:lang w:bidi="fr-FR"/>
        </w:rPr>
        <w:tab/>
      </w:r>
      <w:r w:rsidR="00BA578C" w:rsidRPr="00BA578C">
        <w:rPr>
          <w:lang w:bidi="fr-FR"/>
        </w:rPr>
        <w:t>Du Ministère du développement social visant à garantir un accès continu aux services spécialisés dans la lutte contre la violence familiale, notamment</w:t>
      </w:r>
      <w:r w:rsidR="00943120">
        <w:rPr>
          <w:lang w:bidi="fr-FR"/>
        </w:rPr>
        <w:t> :</w:t>
      </w:r>
    </w:p>
    <w:p w14:paraId="2F3B8122" w14:textId="244DFF37" w:rsidR="00BA578C" w:rsidRPr="00BA578C" w:rsidRDefault="002D3243" w:rsidP="002D3243">
      <w:pPr>
        <w:pStyle w:val="SingleTxt"/>
        <w:tabs>
          <w:tab w:val="right" w:pos="1685"/>
        </w:tabs>
        <w:ind w:left="1742" w:hanging="475"/>
        <w:rPr>
          <w:lang w:val="fr-FR"/>
        </w:rPr>
      </w:pPr>
      <w:r w:rsidRPr="002D3243">
        <w:rPr>
          <w:lang w:bidi="fr-FR"/>
        </w:rPr>
        <w:tab/>
        <w:t>•</w:t>
      </w:r>
      <w:r w:rsidRPr="002D3243">
        <w:rPr>
          <w:lang w:bidi="fr-FR"/>
        </w:rPr>
        <w:tab/>
      </w:r>
      <w:r w:rsidR="00BA578C" w:rsidRPr="00BA578C">
        <w:rPr>
          <w:lang w:bidi="fr-FR"/>
        </w:rPr>
        <w:t>Les services d</w:t>
      </w:r>
      <w:r w:rsidR="00943120">
        <w:rPr>
          <w:lang w:bidi="fr-FR"/>
        </w:rPr>
        <w:t>’</w:t>
      </w:r>
      <w:r w:rsidR="00BA578C" w:rsidRPr="00BA578C">
        <w:rPr>
          <w:lang w:bidi="fr-FR"/>
        </w:rPr>
        <w:t>aide aux victimes de violence familiale</w:t>
      </w:r>
      <w:r w:rsidR="00943120">
        <w:rPr>
          <w:lang w:bidi="fr-FR"/>
        </w:rPr>
        <w:t> ;</w:t>
      </w:r>
      <w:r w:rsidR="00BA578C" w:rsidRPr="00BA578C">
        <w:rPr>
          <w:lang w:bidi="fr-FR"/>
        </w:rPr>
        <w:t xml:space="preserve"> </w:t>
      </w:r>
    </w:p>
    <w:p w14:paraId="18D5D0FE" w14:textId="66B7EA63" w:rsidR="00BA578C" w:rsidRPr="00BA578C" w:rsidRDefault="002D3243" w:rsidP="002D3243">
      <w:pPr>
        <w:pStyle w:val="SingleTxt"/>
        <w:tabs>
          <w:tab w:val="right" w:pos="1685"/>
        </w:tabs>
        <w:ind w:left="1742" w:hanging="475"/>
        <w:rPr>
          <w:lang w:val="fr-FR"/>
        </w:rPr>
      </w:pPr>
      <w:r w:rsidRPr="002D3243">
        <w:rPr>
          <w:lang w:bidi="fr-FR"/>
        </w:rPr>
        <w:tab/>
        <w:t>•</w:t>
      </w:r>
      <w:r w:rsidRPr="002D3243">
        <w:rPr>
          <w:lang w:bidi="fr-FR"/>
        </w:rPr>
        <w:tab/>
      </w:r>
      <w:r w:rsidR="00BA578C" w:rsidRPr="00BA578C">
        <w:rPr>
          <w:lang w:bidi="fr-FR"/>
        </w:rPr>
        <w:t>Les services visant à aider les auteurs des infractions à cesser d</w:t>
      </w:r>
      <w:r w:rsidR="00943120">
        <w:rPr>
          <w:lang w:bidi="fr-FR"/>
        </w:rPr>
        <w:t>’</w:t>
      </w:r>
      <w:r w:rsidR="00BA578C" w:rsidRPr="00BA578C">
        <w:rPr>
          <w:lang w:bidi="fr-FR"/>
        </w:rPr>
        <w:t>infliger des violences familiales</w:t>
      </w:r>
      <w:r w:rsidR="00943120">
        <w:rPr>
          <w:lang w:bidi="fr-FR"/>
        </w:rPr>
        <w:t> ;</w:t>
      </w:r>
    </w:p>
    <w:p w14:paraId="5DBF595E" w14:textId="2BBE7F9C" w:rsidR="00BA578C" w:rsidRPr="00BA578C" w:rsidRDefault="002D3243" w:rsidP="002D3243">
      <w:pPr>
        <w:pStyle w:val="SingleTxt"/>
        <w:tabs>
          <w:tab w:val="right" w:pos="1685"/>
        </w:tabs>
        <w:ind w:left="1742" w:hanging="475"/>
        <w:rPr>
          <w:lang w:val="fr-FR"/>
        </w:rPr>
      </w:pPr>
      <w:r w:rsidRPr="002D3243">
        <w:rPr>
          <w:lang w:bidi="fr-FR"/>
        </w:rPr>
        <w:tab/>
        <w:t>•</w:t>
      </w:r>
      <w:r w:rsidRPr="002D3243">
        <w:rPr>
          <w:lang w:bidi="fr-FR"/>
        </w:rPr>
        <w:tab/>
      </w:r>
      <w:r w:rsidR="00BA578C" w:rsidRPr="00BA578C">
        <w:rPr>
          <w:lang w:bidi="fr-FR"/>
        </w:rPr>
        <w:t>Le soutien aux personnes âgées victimes de maltraitance</w:t>
      </w:r>
      <w:r w:rsidR="00943120">
        <w:rPr>
          <w:lang w:bidi="fr-FR"/>
        </w:rPr>
        <w:t> ;</w:t>
      </w:r>
    </w:p>
    <w:p w14:paraId="10D454BA" w14:textId="4E834E02" w:rsidR="00BA578C" w:rsidRPr="00BA578C" w:rsidRDefault="002D3243" w:rsidP="002D3243">
      <w:pPr>
        <w:pStyle w:val="SingleTxt"/>
        <w:tabs>
          <w:tab w:val="right" w:pos="1685"/>
        </w:tabs>
        <w:ind w:left="1742" w:hanging="475"/>
        <w:rPr>
          <w:lang w:val="fr-FR"/>
        </w:rPr>
      </w:pPr>
      <w:r w:rsidRPr="002D3243">
        <w:rPr>
          <w:lang w:bidi="fr-FR"/>
        </w:rPr>
        <w:tab/>
        <w:t>•</w:t>
      </w:r>
      <w:r w:rsidRPr="002D3243">
        <w:rPr>
          <w:lang w:bidi="fr-FR"/>
        </w:rPr>
        <w:tab/>
      </w:r>
      <w:r w:rsidR="00BA578C" w:rsidRPr="00BA578C">
        <w:rPr>
          <w:lang w:bidi="fr-FR"/>
        </w:rPr>
        <w:t>Une initiative interorganisationnelle avec la Police, la Justice et la Santé visant à garantir que les victimes d</w:t>
      </w:r>
      <w:r w:rsidR="00943120">
        <w:rPr>
          <w:lang w:bidi="fr-FR"/>
        </w:rPr>
        <w:t>’</w:t>
      </w:r>
      <w:r w:rsidR="00BA578C" w:rsidRPr="00BA578C">
        <w:rPr>
          <w:lang w:bidi="fr-FR"/>
        </w:rPr>
        <w:t xml:space="preserve">étranglement non fatal puissent avoir accès à des </w:t>
      </w:r>
      <w:r w:rsidR="00BA578C" w:rsidRPr="00BA578C">
        <w:rPr>
          <w:lang w:bidi="fr-FR"/>
        </w:rPr>
        <w:lastRenderedPageBreak/>
        <w:t>médecins hautement qualifiés et formés pour traiter le traumatisme, ainsi qu</w:t>
      </w:r>
      <w:r w:rsidR="00943120">
        <w:rPr>
          <w:lang w:bidi="fr-FR"/>
        </w:rPr>
        <w:t>’</w:t>
      </w:r>
      <w:r w:rsidR="00BA578C" w:rsidRPr="00BA578C">
        <w:rPr>
          <w:lang w:bidi="fr-FR"/>
        </w:rPr>
        <w:t>aux services médico-légaux nécessaires dans le but de recueillir les preuves solides requises pour poursuivre les délinquants</w:t>
      </w:r>
      <w:r w:rsidR="00943120">
        <w:rPr>
          <w:lang w:bidi="fr-FR"/>
        </w:rPr>
        <w:t> ;</w:t>
      </w:r>
      <w:r w:rsidR="00BA578C" w:rsidRPr="00BA578C">
        <w:rPr>
          <w:lang w:bidi="fr-FR"/>
        </w:rPr>
        <w:t xml:space="preserve"> et </w:t>
      </w:r>
    </w:p>
    <w:p w14:paraId="3CC3146D" w14:textId="04B5C3BC" w:rsidR="00BA578C" w:rsidRPr="00BA578C" w:rsidRDefault="002D3243" w:rsidP="002D3243">
      <w:pPr>
        <w:pStyle w:val="SingleTxt"/>
        <w:tabs>
          <w:tab w:val="right" w:pos="1685"/>
        </w:tabs>
        <w:ind w:left="1742" w:hanging="475"/>
        <w:rPr>
          <w:lang w:val="fr-FR"/>
        </w:rPr>
      </w:pPr>
      <w:r w:rsidRPr="002D3243">
        <w:rPr>
          <w:lang w:bidi="fr-FR"/>
        </w:rPr>
        <w:tab/>
        <w:t>•</w:t>
      </w:r>
      <w:r w:rsidRPr="002D3243">
        <w:rPr>
          <w:lang w:bidi="fr-FR"/>
        </w:rPr>
        <w:tab/>
      </w:r>
      <w:r w:rsidR="00BA578C" w:rsidRPr="00BA578C">
        <w:rPr>
          <w:lang w:bidi="fr-FR"/>
        </w:rPr>
        <w:t>Aider la Police, les communautés et les services spécialisés dans la violence familiale et sexuelle à répondre aux coûts et aux demandes supplémentaires dans le cadre de la réponse à maladie à coronavirus (COVID-19).</w:t>
      </w:r>
    </w:p>
    <w:p w14:paraId="22F35D8F" w14:textId="1EE47E8B" w:rsidR="00BA578C" w:rsidRPr="00BA578C" w:rsidRDefault="00BA578C" w:rsidP="002D3243">
      <w:pPr>
        <w:pStyle w:val="SingleTxt"/>
        <w:numPr>
          <w:ilvl w:val="0"/>
          <w:numId w:val="15"/>
        </w:numPr>
        <w:spacing w:line="240" w:lineRule="exact"/>
        <w:ind w:left="1267"/>
        <w:rPr>
          <w:lang w:val="fr-FR"/>
        </w:rPr>
      </w:pPr>
      <w:r w:rsidRPr="00BA578C">
        <w:rPr>
          <w:lang w:bidi="fr-FR"/>
        </w:rPr>
        <w:t>Le budget 2020 comprend l</w:t>
      </w:r>
      <w:r w:rsidR="00943120">
        <w:rPr>
          <w:lang w:bidi="fr-FR"/>
        </w:rPr>
        <w:t>’</w:t>
      </w:r>
      <w:r w:rsidRPr="00BA578C">
        <w:rPr>
          <w:lang w:bidi="fr-FR"/>
        </w:rPr>
        <w:t>investissement de 183 millions de dollars supplémentaires (sur quatre ans) afin de remédier aux pressions connues sur les coûts des services spécialisés dans la violence familiale financés par le MDS et destinés aux victimes/survivants ainsi qu</w:t>
      </w:r>
      <w:r w:rsidR="00943120">
        <w:rPr>
          <w:lang w:bidi="fr-FR"/>
        </w:rPr>
        <w:t>’</w:t>
      </w:r>
      <w:r w:rsidRPr="00BA578C">
        <w:rPr>
          <w:lang w:bidi="fr-FR"/>
        </w:rPr>
        <w:t>aux auteurs de violence familiale, y compris la maltraitance des personnes âgées. Cet investissement vise à garantir un accès continu à des services spécialisés en matière de violence familiale et se compose</w:t>
      </w:r>
      <w:r w:rsidR="00943120">
        <w:rPr>
          <w:lang w:bidi="fr-FR"/>
        </w:rPr>
        <w:t> :</w:t>
      </w:r>
    </w:p>
    <w:p w14:paraId="6D59071F" w14:textId="69E780CD" w:rsidR="00BA578C" w:rsidRPr="00BA578C" w:rsidRDefault="002D3243" w:rsidP="002D3243">
      <w:pPr>
        <w:pStyle w:val="SingleTxt"/>
        <w:tabs>
          <w:tab w:val="right" w:pos="1685"/>
        </w:tabs>
        <w:ind w:left="1742" w:hanging="475"/>
        <w:rPr>
          <w:lang w:val="fr-FR"/>
        </w:rPr>
      </w:pPr>
      <w:r w:rsidRPr="002D3243">
        <w:rPr>
          <w:lang w:bidi="fr-FR"/>
        </w:rPr>
        <w:tab/>
        <w:t>•</w:t>
      </w:r>
      <w:r w:rsidRPr="002D3243">
        <w:rPr>
          <w:lang w:bidi="fr-FR"/>
        </w:rPr>
        <w:tab/>
      </w:r>
      <w:r w:rsidR="00BA578C" w:rsidRPr="00BA578C">
        <w:rPr>
          <w:lang w:bidi="fr-FR"/>
        </w:rPr>
        <w:t>De 142 millions de dollars pour les services d</w:t>
      </w:r>
      <w:r w:rsidR="00943120">
        <w:rPr>
          <w:lang w:bidi="fr-FR"/>
        </w:rPr>
        <w:t>’</w:t>
      </w:r>
      <w:r w:rsidR="00BA578C" w:rsidRPr="00BA578C">
        <w:rPr>
          <w:lang w:bidi="fr-FR"/>
        </w:rPr>
        <w:t>assistance aux victimes/survivants de la violence familiale</w:t>
      </w:r>
      <w:r w:rsidR="00943120">
        <w:rPr>
          <w:lang w:bidi="fr-FR"/>
        </w:rPr>
        <w:t> ;</w:t>
      </w:r>
    </w:p>
    <w:p w14:paraId="0B7317BE" w14:textId="49BC4243" w:rsidR="00BA578C" w:rsidRPr="00BA578C" w:rsidRDefault="002D3243" w:rsidP="002D3243">
      <w:pPr>
        <w:pStyle w:val="SingleTxt"/>
        <w:tabs>
          <w:tab w:val="right" w:pos="1685"/>
        </w:tabs>
        <w:ind w:left="1742" w:hanging="475"/>
        <w:rPr>
          <w:lang w:val="fr-FR"/>
        </w:rPr>
      </w:pPr>
      <w:r w:rsidRPr="002D3243">
        <w:rPr>
          <w:lang w:bidi="fr-FR"/>
        </w:rPr>
        <w:tab/>
        <w:t>•</w:t>
      </w:r>
      <w:r w:rsidRPr="002D3243">
        <w:rPr>
          <w:lang w:bidi="fr-FR"/>
        </w:rPr>
        <w:tab/>
      </w:r>
      <w:r w:rsidR="00BA578C" w:rsidRPr="00BA578C">
        <w:rPr>
          <w:lang w:bidi="fr-FR"/>
        </w:rPr>
        <w:t>De 16 millions de dollars pour les services dédiés aux auteurs de violences familiales</w:t>
      </w:r>
      <w:r w:rsidR="00943120">
        <w:rPr>
          <w:lang w:bidi="fr-FR"/>
        </w:rPr>
        <w:t> ;</w:t>
      </w:r>
      <w:r w:rsidR="00BA578C" w:rsidRPr="00BA578C">
        <w:rPr>
          <w:lang w:bidi="fr-FR"/>
        </w:rPr>
        <w:t xml:space="preserve"> et</w:t>
      </w:r>
    </w:p>
    <w:p w14:paraId="596281A7" w14:textId="030F6AD4" w:rsidR="00BA578C" w:rsidRPr="00BA578C" w:rsidRDefault="002D3243" w:rsidP="002D3243">
      <w:pPr>
        <w:pStyle w:val="SingleTxt"/>
        <w:tabs>
          <w:tab w:val="right" w:pos="1685"/>
        </w:tabs>
        <w:ind w:left="1742" w:hanging="475"/>
        <w:rPr>
          <w:lang w:val="fr-FR"/>
        </w:rPr>
      </w:pPr>
      <w:r w:rsidRPr="002D3243">
        <w:rPr>
          <w:lang w:bidi="fr-FR"/>
        </w:rPr>
        <w:tab/>
        <w:t>•</w:t>
      </w:r>
      <w:r w:rsidRPr="002D3243">
        <w:rPr>
          <w:lang w:bidi="fr-FR"/>
        </w:rPr>
        <w:tab/>
      </w:r>
      <w:r w:rsidR="00BA578C" w:rsidRPr="00BA578C">
        <w:rPr>
          <w:lang w:bidi="fr-FR"/>
        </w:rPr>
        <w:t>De 25 millions de dollars pour les personnes âgées victimes de violence familiale.</w:t>
      </w:r>
    </w:p>
    <w:p w14:paraId="3314D543" w14:textId="298F7446" w:rsidR="00BA578C" w:rsidRPr="00BA578C" w:rsidRDefault="00BA578C" w:rsidP="002D3243">
      <w:pPr>
        <w:pStyle w:val="SingleTxt"/>
        <w:numPr>
          <w:ilvl w:val="0"/>
          <w:numId w:val="15"/>
        </w:numPr>
        <w:spacing w:line="240" w:lineRule="exact"/>
        <w:ind w:left="1267"/>
        <w:rPr>
          <w:lang w:val="fr-FR"/>
        </w:rPr>
      </w:pPr>
      <w:r w:rsidRPr="00BA578C">
        <w:rPr>
          <w:lang w:bidi="fr-FR"/>
        </w:rPr>
        <w:t>Ce financement supplémentaire permettra aux prestataires actuels de services financés par le MDS de commencer à répondre aux pressions actuelles sur les coûts et à conserver, soutenir et exploiter leur personnel très compétent. Il en résultera des entreprises plus sûres pour le personnel et de meilleurs résultats pour les personnes victimes de violence familiale.</w:t>
      </w:r>
    </w:p>
    <w:p w14:paraId="41462CE7" w14:textId="7F6C6CF4" w:rsidR="00BA578C" w:rsidRPr="002D3243" w:rsidRDefault="00BA578C" w:rsidP="002D3243">
      <w:pPr>
        <w:pStyle w:val="SingleTxt"/>
        <w:spacing w:after="0" w:line="120" w:lineRule="exact"/>
        <w:rPr>
          <w:sz w:val="10"/>
          <w:lang w:val="fr-FR"/>
        </w:rPr>
      </w:pPr>
    </w:p>
    <w:p w14:paraId="3C357149" w14:textId="04F894EA" w:rsidR="00BA578C" w:rsidRPr="00BA578C" w:rsidRDefault="00BA578C" w:rsidP="002D324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578C">
        <w:rPr>
          <w:lang w:bidi="fr-FR"/>
        </w:rPr>
        <w:tab/>
      </w:r>
      <w:r w:rsidRPr="00BA578C">
        <w:rPr>
          <w:lang w:bidi="fr-FR"/>
        </w:rPr>
        <w:tab/>
        <w:t>Amélioration de la collecte et de la compréhension des données sur l</w:t>
      </w:r>
      <w:r w:rsidR="00943120">
        <w:rPr>
          <w:lang w:bidi="fr-FR"/>
        </w:rPr>
        <w:t>’</w:t>
      </w:r>
      <w:r w:rsidRPr="00BA578C">
        <w:rPr>
          <w:lang w:bidi="fr-FR"/>
        </w:rPr>
        <w:t>incidence</w:t>
      </w:r>
    </w:p>
    <w:p w14:paraId="6947CF6A" w14:textId="03F54603" w:rsidR="00BA578C" w:rsidRPr="002D3243" w:rsidRDefault="00BA578C" w:rsidP="002D3243">
      <w:pPr>
        <w:pStyle w:val="SingleTxt"/>
        <w:spacing w:after="0" w:line="120" w:lineRule="exact"/>
        <w:rPr>
          <w:sz w:val="10"/>
          <w:lang w:val="fr-FR"/>
        </w:rPr>
      </w:pPr>
    </w:p>
    <w:p w14:paraId="02ED03CE" w14:textId="4CE64F50" w:rsidR="00BA578C" w:rsidRPr="00BA578C" w:rsidRDefault="00BA578C" w:rsidP="002D3243">
      <w:pPr>
        <w:pStyle w:val="SingleTxt"/>
        <w:numPr>
          <w:ilvl w:val="0"/>
          <w:numId w:val="15"/>
        </w:numPr>
        <w:spacing w:line="240" w:lineRule="exact"/>
        <w:ind w:left="1267"/>
        <w:rPr>
          <w:lang w:val="fr-FR"/>
        </w:rPr>
      </w:pPr>
      <w:r w:rsidRPr="00BA578C">
        <w:rPr>
          <w:lang w:bidi="fr-FR"/>
        </w:rPr>
        <w:t xml:space="preserve">La Nouvelle-Zélande apporte des améliorations aux données recueillies sur la famille et la violence sexuelle, ce qui permettra de mieux comprendre la prévalence de la violence familiale et sexuelle ainsi que les résultats obtenus grâce aux services. </w:t>
      </w:r>
    </w:p>
    <w:p w14:paraId="59B7B7B2" w14:textId="2C627569" w:rsidR="00BA578C" w:rsidRPr="00BA578C" w:rsidRDefault="00BA578C" w:rsidP="002D3243">
      <w:pPr>
        <w:pStyle w:val="SingleTxt"/>
        <w:numPr>
          <w:ilvl w:val="0"/>
          <w:numId w:val="15"/>
        </w:numPr>
        <w:spacing w:line="240" w:lineRule="exact"/>
        <w:ind w:left="1267"/>
        <w:rPr>
          <w:lang w:val="fr-FR"/>
        </w:rPr>
      </w:pPr>
      <w:r w:rsidRPr="00BA578C">
        <w:rPr>
          <w:lang w:bidi="fr-FR"/>
        </w:rPr>
        <w:t>Les données sur la prévalence de la violence familiale et sexuelle en Nouvelle-Zélande proviennent d</w:t>
      </w:r>
      <w:r w:rsidR="00943120">
        <w:rPr>
          <w:lang w:bidi="fr-FR"/>
        </w:rPr>
        <w:t>’</w:t>
      </w:r>
      <w:r w:rsidRPr="00BA578C">
        <w:rPr>
          <w:lang w:bidi="fr-FR"/>
        </w:rPr>
        <w:t>une enquête nationale sur la criminalité. La violence familiale a fait l</w:t>
      </w:r>
      <w:r w:rsidR="00943120">
        <w:rPr>
          <w:lang w:bidi="fr-FR"/>
        </w:rPr>
        <w:t>’</w:t>
      </w:r>
      <w:r w:rsidRPr="00BA578C">
        <w:rPr>
          <w:lang w:bidi="fr-FR"/>
        </w:rPr>
        <w:t>objet d</w:t>
      </w:r>
      <w:r w:rsidR="00943120">
        <w:rPr>
          <w:lang w:bidi="fr-FR"/>
        </w:rPr>
        <w:t>’</w:t>
      </w:r>
      <w:r w:rsidRPr="00BA578C">
        <w:rPr>
          <w:lang w:bidi="fr-FR"/>
        </w:rPr>
        <w:t>une étude approfondie dans le cadre de l</w:t>
      </w:r>
      <w:r w:rsidR="00943120">
        <w:rPr>
          <w:lang w:bidi="fr-FR"/>
        </w:rPr>
        <w:t>’</w:t>
      </w:r>
      <w:r w:rsidRPr="00BA578C">
        <w:rPr>
          <w:lang w:bidi="fr-FR"/>
        </w:rPr>
        <w:t>enquête néo-zélandaise sur la criminalité et les victimes de 2018, laquelle fournit donc les données les plus complètes sur la prévalence de la violence familiale et sexuelle que la Nouvelle-Zélande ait jamais observées. Plus de 8 000 Néo-Zélandais de plus de 15 ans ont été interrogés sur les violences qu</w:t>
      </w:r>
      <w:r w:rsidR="00943120">
        <w:rPr>
          <w:lang w:bidi="fr-FR"/>
        </w:rPr>
        <w:t>’</w:t>
      </w:r>
      <w:r w:rsidRPr="00BA578C">
        <w:rPr>
          <w:lang w:bidi="fr-FR"/>
        </w:rPr>
        <w:t>ils avaient subies. Les résultats sont les suivants</w:t>
      </w:r>
      <w:r w:rsidR="00943120">
        <w:rPr>
          <w:lang w:bidi="fr-FR"/>
        </w:rPr>
        <w:t> :</w:t>
      </w:r>
    </w:p>
    <w:p w14:paraId="780F1AE7" w14:textId="0C2ADEA7" w:rsidR="00BA578C" w:rsidRPr="00BA578C" w:rsidRDefault="002D3243" w:rsidP="002D3243">
      <w:pPr>
        <w:pStyle w:val="SingleTxt"/>
        <w:tabs>
          <w:tab w:val="right" w:pos="1685"/>
        </w:tabs>
        <w:ind w:left="1742" w:hanging="475"/>
        <w:rPr>
          <w:lang w:val="fr-FR"/>
        </w:rPr>
      </w:pPr>
      <w:r w:rsidRPr="002D3243">
        <w:rPr>
          <w:lang w:bidi="fr-FR"/>
        </w:rPr>
        <w:tab/>
        <w:t>•</w:t>
      </w:r>
      <w:r w:rsidRPr="002D3243">
        <w:rPr>
          <w:lang w:bidi="fr-FR"/>
        </w:rPr>
        <w:tab/>
      </w:r>
      <w:r w:rsidR="00BA578C" w:rsidRPr="00BA578C">
        <w:rPr>
          <w:lang w:bidi="fr-FR"/>
        </w:rPr>
        <w:t>Les femmes (21</w:t>
      </w:r>
      <w:r w:rsidR="00943120">
        <w:rPr>
          <w:lang w:bidi="fr-FR"/>
        </w:rPr>
        <w:t> %</w:t>
      </w:r>
      <w:r w:rsidR="00BA578C" w:rsidRPr="00BA578C">
        <w:rPr>
          <w:lang w:bidi="fr-FR"/>
        </w:rPr>
        <w:t>) sont plus susceptibles que les hommes (10</w:t>
      </w:r>
      <w:r w:rsidR="00943120">
        <w:rPr>
          <w:lang w:bidi="fr-FR"/>
        </w:rPr>
        <w:t> %</w:t>
      </w:r>
      <w:r w:rsidR="00BA578C" w:rsidRPr="00BA578C">
        <w:rPr>
          <w:lang w:bidi="fr-FR"/>
        </w:rPr>
        <w:t>) d</w:t>
      </w:r>
      <w:r w:rsidR="00943120">
        <w:rPr>
          <w:lang w:bidi="fr-FR"/>
        </w:rPr>
        <w:t>’</w:t>
      </w:r>
      <w:r w:rsidR="00BA578C" w:rsidRPr="00BA578C">
        <w:rPr>
          <w:lang w:bidi="fr-FR"/>
        </w:rPr>
        <w:t>avoir été victimes d</w:t>
      </w:r>
      <w:r w:rsidR="00943120">
        <w:rPr>
          <w:lang w:bidi="fr-FR"/>
        </w:rPr>
        <w:t>’</w:t>
      </w:r>
      <w:r w:rsidR="00BA578C" w:rsidRPr="00BA578C">
        <w:rPr>
          <w:lang w:bidi="fr-FR"/>
        </w:rPr>
        <w:t>un ou de plusieurs actes de violence conjugale au cours de leur vie</w:t>
      </w:r>
      <w:r w:rsidR="00943120">
        <w:rPr>
          <w:lang w:bidi="fr-FR"/>
        </w:rPr>
        <w:t> ;</w:t>
      </w:r>
      <w:r w:rsidR="00BA578C" w:rsidRPr="00BA578C">
        <w:rPr>
          <w:lang w:bidi="fr-FR"/>
        </w:rPr>
        <w:t xml:space="preserve"> et</w:t>
      </w:r>
    </w:p>
    <w:p w14:paraId="76880EB2" w14:textId="6A18F8C5" w:rsidR="00BA578C" w:rsidRPr="00BA578C" w:rsidRDefault="002D3243" w:rsidP="002D3243">
      <w:pPr>
        <w:pStyle w:val="SingleTxt"/>
        <w:tabs>
          <w:tab w:val="right" w:pos="1685"/>
        </w:tabs>
        <w:ind w:left="1742" w:hanging="475"/>
        <w:rPr>
          <w:lang w:val="fr-FR"/>
        </w:rPr>
      </w:pPr>
      <w:r w:rsidRPr="002D3243">
        <w:rPr>
          <w:lang w:bidi="fr-FR"/>
        </w:rPr>
        <w:tab/>
        <w:t>•</w:t>
      </w:r>
      <w:r w:rsidRPr="002D3243">
        <w:rPr>
          <w:lang w:bidi="fr-FR"/>
        </w:rPr>
        <w:tab/>
      </w:r>
      <w:r w:rsidR="00BA578C" w:rsidRPr="00BA578C">
        <w:rPr>
          <w:lang w:bidi="fr-FR"/>
        </w:rPr>
        <w:t>Les femmes (34</w:t>
      </w:r>
      <w:r w:rsidR="00943120">
        <w:rPr>
          <w:lang w:bidi="fr-FR"/>
        </w:rPr>
        <w:t> %</w:t>
      </w:r>
      <w:r w:rsidR="00BA578C" w:rsidRPr="00BA578C">
        <w:rPr>
          <w:lang w:bidi="fr-FR"/>
        </w:rPr>
        <w:t>) sont plus susceptibles que les hommes (12</w:t>
      </w:r>
      <w:r w:rsidR="00943120">
        <w:rPr>
          <w:lang w:bidi="fr-FR"/>
        </w:rPr>
        <w:t> %</w:t>
      </w:r>
      <w:r w:rsidR="00BA578C" w:rsidRPr="00BA578C">
        <w:rPr>
          <w:lang w:bidi="fr-FR"/>
        </w:rPr>
        <w:t>) d</w:t>
      </w:r>
      <w:r w:rsidR="00943120">
        <w:rPr>
          <w:lang w:bidi="fr-FR"/>
        </w:rPr>
        <w:t>’</w:t>
      </w:r>
      <w:r w:rsidR="00BA578C" w:rsidRPr="00BA578C">
        <w:rPr>
          <w:lang w:bidi="fr-FR"/>
        </w:rPr>
        <w:t>avoir subi un ou plusieurs actes de violence sexuelle au cours de leur vie.</w:t>
      </w:r>
    </w:p>
    <w:p w14:paraId="5CA8A964" w14:textId="1C744AFC" w:rsidR="00BA578C" w:rsidRPr="00BA578C" w:rsidRDefault="00BA578C" w:rsidP="002D3243">
      <w:pPr>
        <w:pStyle w:val="SingleTxt"/>
        <w:numPr>
          <w:ilvl w:val="0"/>
          <w:numId w:val="15"/>
        </w:numPr>
        <w:spacing w:line="240" w:lineRule="exact"/>
        <w:ind w:left="1267"/>
        <w:rPr>
          <w:lang w:val="fr-FR"/>
        </w:rPr>
      </w:pPr>
      <w:r w:rsidRPr="00BA578C">
        <w:rPr>
          <w:lang w:bidi="fr-FR"/>
        </w:rPr>
        <w:t>La loi de 2018 sur la violence familiale a également introduit des mesures visant à améliorer la collecte de données sur la violence familiale. La loi intègre une alerte pour les infractions de violence familiale qui suivra une affaire jusqu</w:t>
      </w:r>
      <w:r w:rsidR="00943120">
        <w:rPr>
          <w:lang w:bidi="fr-FR"/>
        </w:rPr>
        <w:t>’</w:t>
      </w:r>
      <w:r w:rsidRPr="00BA578C">
        <w:rPr>
          <w:lang w:bidi="fr-FR"/>
        </w:rPr>
        <w:t>à la procédure judiciaire et figurera sur le casier judiciaire des délinquants, ce qui permettra d</w:t>
      </w:r>
      <w:r w:rsidR="00943120">
        <w:rPr>
          <w:lang w:bidi="fr-FR"/>
        </w:rPr>
        <w:t>’</w:t>
      </w:r>
      <w:r w:rsidRPr="00BA578C">
        <w:rPr>
          <w:lang w:bidi="fr-FR"/>
        </w:rPr>
        <w:t>obtenir des informations fiables sur le nombre et le type d</w:t>
      </w:r>
      <w:r w:rsidR="00943120">
        <w:rPr>
          <w:lang w:bidi="fr-FR"/>
        </w:rPr>
        <w:t>’</w:t>
      </w:r>
      <w:r w:rsidRPr="00BA578C">
        <w:rPr>
          <w:lang w:bidi="fr-FR"/>
        </w:rPr>
        <w:t>actes de violence familiale qui passent par le système judiciaire.</w:t>
      </w:r>
    </w:p>
    <w:p w14:paraId="4D773C5E" w14:textId="658963FC" w:rsidR="00BA578C" w:rsidRPr="00BA578C" w:rsidRDefault="00BA578C" w:rsidP="002D3243">
      <w:pPr>
        <w:pStyle w:val="SingleTxt"/>
        <w:numPr>
          <w:ilvl w:val="0"/>
          <w:numId w:val="15"/>
        </w:numPr>
        <w:spacing w:line="240" w:lineRule="exact"/>
        <w:ind w:left="1267"/>
        <w:rPr>
          <w:lang w:val="fr-FR"/>
        </w:rPr>
      </w:pPr>
      <w:r w:rsidRPr="00BA578C">
        <w:rPr>
          <w:lang w:bidi="fr-FR"/>
        </w:rPr>
        <w:lastRenderedPageBreak/>
        <w:t>En 2019, le Ministère de la justice a publié une nouvelle étude qui quantifie la proportion de victimes de violences sexuelles signalées qui passent actuellement par le système judiciaire afin d</w:t>
      </w:r>
      <w:r w:rsidR="00943120">
        <w:rPr>
          <w:lang w:bidi="fr-FR"/>
        </w:rPr>
        <w:t>’</w:t>
      </w:r>
      <w:r w:rsidRPr="00BA578C">
        <w:rPr>
          <w:lang w:bidi="fr-FR"/>
        </w:rPr>
        <w:t>obtenir une condamnation, ce qui a permis de déterminer une base de référence visant à suivre les différences dans le temps et pour différents groupes de population</w:t>
      </w:r>
      <w:r w:rsidRPr="00BA578C">
        <w:rPr>
          <w:vertAlign w:val="superscript"/>
          <w:lang w:bidi="fr-FR"/>
        </w:rPr>
        <w:footnoteReference w:id="1"/>
      </w:r>
      <w:r w:rsidRPr="00BA578C">
        <w:rPr>
          <w:lang w:bidi="fr-FR"/>
        </w:rPr>
        <w:t xml:space="preserve">. </w:t>
      </w:r>
    </w:p>
    <w:p w14:paraId="7253B039" w14:textId="1A465DFF" w:rsidR="00BA578C" w:rsidRPr="00BA578C" w:rsidRDefault="00BA578C" w:rsidP="002D3243">
      <w:pPr>
        <w:pStyle w:val="SingleTxt"/>
        <w:numPr>
          <w:ilvl w:val="0"/>
          <w:numId w:val="15"/>
        </w:numPr>
        <w:spacing w:line="240" w:lineRule="exact"/>
        <w:ind w:left="1267"/>
        <w:rPr>
          <w:lang w:val="fr-FR"/>
        </w:rPr>
      </w:pPr>
      <w:r w:rsidRPr="00BA578C">
        <w:rPr>
          <w:lang w:bidi="fr-FR"/>
        </w:rPr>
        <w:t>Le Bureau des questions de handicap a plaidé pour la collecte de meilleures données afin de connaître le nombre de personnes à mobilité réduite qui ont accès aux services de lutte contre la violence sexuelle ainsi que l</w:t>
      </w:r>
      <w:r w:rsidR="00943120">
        <w:rPr>
          <w:lang w:bidi="fr-FR"/>
        </w:rPr>
        <w:t>’</w:t>
      </w:r>
      <w:r w:rsidRPr="00BA578C">
        <w:rPr>
          <w:lang w:bidi="fr-FR"/>
        </w:rPr>
        <w:t>incidence de ces services. Il est nécessaire de poursuivre les travaux dans ce domaine afin de mettre en exergue l</w:t>
      </w:r>
      <w:r w:rsidR="00943120">
        <w:rPr>
          <w:lang w:bidi="fr-FR"/>
        </w:rPr>
        <w:t>’</w:t>
      </w:r>
      <w:r w:rsidRPr="00BA578C">
        <w:rPr>
          <w:lang w:bidi="fr-FR"/>
        </w:rPr>
        <w:t xml:space="preserve">importance de la collecte de données relatives aux expériences des personnes handicapées en matière de violence familiale et sexuelle ainsi que de veiller à ce que les méthodes de collecte de données soient accessibles. </w:t>
      </w:r>
    </w:p>
    <w:p w14:paraId="0F9C5EE4" w14:textId="25EFAFC3" w:rsidR="00BA578C" w:rsidRPr="002D3243" w:rsidRDefault="00BA578C" w:rsidP="002D3243">
      <w:pPr>
        <w:pStyle w:val="SingleTxt"/>
        <w:spacing w:after="0" w:line="120" w:lineRule="exact"/>
        <w:rPr>
          <w:sz w:val="10"/>
          <w:lang w:val="fr-FR"/>
        </w:rPr>
      </w:pPr>
    </w:p>
    <w:p w14:paraId="77369B09" w14:textId="04E6A840" w:rsidR="002D3243" w:rsidRPr="002D3243" w:rsidRDefault="002D3243" w:rsidP="002D3243">
      <w:pPr>
        <w:pStyle w:val="SingleTxt"/>
        <w:spacing w:after="0" w:line="120" w:lineRule="exact"/>
        <w:rPr>
          <w:sz w:val="10"/>
          <w:lang w:val="fr-FR"/>
        </w:rPr>
      </w:pPr>
    </w:p>
    <w:p w14:paraId="446A3F94" w14:textId="77777777" w:rsidR="00BA578C" w:rsidRPr="00BA578C" w:rsidRDefault="00BA578C" w:rsidP="002D324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578C">
        <w:rPr>
          <w:lang w:bidi="fr-FR"/>
        </w:rPr>
        <w:tab/>
      </w:r>
      <w:r w:rsidRPr="00BA578C">
        <w:rPr>
          <w:lang w:bidi="fr-FR"/>
        </w:rPr>
        <w:tab/>
        <w:t>Santé</w:t>
      </w:r>
    </w:p>
    <w:p w14:paraId="3B15E835" w14:textId="2CAA004E" w:rsidR="00BA578C" w:rsidRPr="002D3243" w:rsidRDefault="00BA578C" w:rsidP="002D3243">
      <w:pPr>
        <w:pStyle w:val="SingleTxt"/>
        <w:spacing w:after="0" w:line="120" w:lineRule="exact"/>
        <w:rPr>
          <w:sz w:val="10"/>
          <w:lang w:val="fr-FR"/>
        </w:rPr>
      </w:pPr>
    </w:p>
    <w:p w14:paraId="10DA8BAD" w14:textId="2B2D2F6F" w:rsidR="002D3243" w:rsidRPr="002D3243" w:rsidRDefault="002D3243" w:rsidP="002D3243">
      <w:pPr>
        <w:pStyle w:val="SingleTxt"/>
        <w:spacing w:after="0" w:line="120" w:lineRule="exact"/>
        <w:rPr>
          <w:sz w:val="10"/>
          <w:lang w:val="fr-FR"/>
        </w:rPr>
      </w:pPr>
    </w:p>
    <w:p w14:paraId="3015F313" w14:textId="3D079651" w:rsidR="00BA578C" w:rsidRPr="00BA578C" w:rsidRDefault="00BA578C" w:rsidP="002D324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578C">
        <w:rPr>
          <w:lang w:bidi="fr-FR"/>
        </w:rPr>
        <w:tab/>
        <w:t>C.</w:t>
      </w:r>
      <w:r w:rsidRPr="00BA578C">
        <w:rPr>
          <w:lang w:bidi="fr-FR"/>
        </w:rPr>
        <w:tab/>
        <w:t xml:space="preserve">Informations de suivi relatives au paragraphe 40, point a), </w:t>
      </w:r>
      <w:r w:rsidR="0060046C">
        <w:rPr>
          <w:lang w:bidi="fr-FR"/>
        </w:rPr>
        <w:br/>
      </w:r>
      <w:r w:rsidRPr="00BA578C">
        <w:rPr>
          <w:lang w:bidi="fr-FR"/>
        </w:rPr>
        <w:t>des observations finales</w:t>
      </w:r>
    </w:p>
    <w:p w14:paraId="551AE223" w14:textId="27725A89" w:rsidR="00BA578C" w:rsidRPr="002D3243" w:rsidRDefault="00BA578C" w:rsidP="002D3243">
      <w:pPr>
        <w:pStyle w:val="SingleTxt"/>
        <w:spacing w:after="0" w:line="120" w:lineRule="exact"/>
        <w:rPr>
          <w:sz w:val="10"/>
          <w:lang w:val="fr-FR"/>
        </w:rPr>
      </w:pPr>
    </w:p>
    <w:p w14:paraId="69080BD0" w14:textId="74BA26CA" w:rsidR="002D3243" w:rsidRPr="002D3243" w:rsidRDefault="002D3243" w:rsidP="002D3243">
      <w:pPr>
        <w:pStyle w:val="SingleTxt"/>
        <w:spacing w:after="0" w:line="120" w:lineRule="exact"/>
        <w:rPr>
          <w:sz w:val="10"/>
          <w:lang w:val="fr-FR"/>
        </w:rPr>
      </w:pPr>
    </w:p>
    <w:p w14:paraId="6C819D7E" w14:textId="1CCB349C" w:rsidR="00BA578C" w:rsidRPr="00BA578C" w:rsidRDefault="00BA578C" w:rsidP="002D32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578C">
        <w:rPr>
          <w:lang w:bidi="fr-FR"/>
        </w:rPr>
        <w:tab/>
      </w:r>
      <w:r w:rsidRPr="00BA578C">
        <w:rPr>
          <w:lang w:bidi="fr-FR"/>
        </w:rPr>
        <w:tab/>
        <w:t>Mise en œuvre de la recommandation 40, point a)</w:t>
      </w:r>
      <w:r w:rsidR="00943120">
        <w:rPr>
          <w:lang w:bidi="fr-FR"/>
        </w:rPr>
        <w:t> :</w:t>
      </w:r>
      <w:r w:rsidRPr="00BA578C">
        <w:rPr>
          <w:lang w:bidi="fr-FR"/>
        </w:rPr>
        <w:t xml:space="preserve"> Avortement</w:t>
      </w:r>
    </w:p>
    <w:p w14:paraId="4383DC71" w14:textId="553AE8A2" w:rsidR="00BA578C" w:rsidRPr="002D3243" w:rsidRDefault="00BA578C" w:rsidP="002D3243">
      <w:pPr>
        <w:pStyle w:val="SingleTxt"/>
        <w:spacing w:after="0" w:line="120" w:lineRule="exact"/>
        <w:rPr>
          <w:sz w:val="10"/>
          <w:lang w:val="fr-FR"/>
        </w:rPr>
      </w:pPr>
    </w:p>
    <w:p w14:paraId="34ACA3A8" w14:textId="49CEEBA4" w:rsidR="00BA578C" w:rsidRPr="00BA578C" w:rsidRDefault="00BA578C" w:rsidP="002D3243">
      <w:pPr>
        <w:pStyle w:val="SingleTxt"/>
        <w:numPr>
          <w:ilvl w:val="0"/>
          <w:numId w:val="15"/>
        </w:numPr>
        <w:spacing w:line="240" w:lineRule="exact"/>
        <w:ind w:left="1267"/>
        <w:rPr>
          <w:lang w:val="fr-FR"/>
        </w:rPr>
      </w:pPr>
      <w:r w:rsidRPr="00BA578C">
        <w:rPr>
          <w:lang w:bidi="fr-FR"/>
        </w:rPr>
        <w:t>En 2020, la Nouvelle-Zélande a dépénalisé l</w:t>
      </w:r>
      <w:r w:rsidR="00943120">
        <w:rPr>
          <w:lang w:bidi="fr-FR"/>
        </w:rPr>
        <w:t>’</w:t>
      </w:r>
      <w:r w:rsidRPr="00BA578C">
        <w:rPr>
          <w:lang w:bidi="fr-FR"/>
        </w:rPr>
        <w:t>avortement, à l</w:t>
      </w:r>
      <w:r w:rsidR="00943120">
        <w:rPr>
          <w:lang w:bidi="fr-FR"/>
        </w:rPr>
        <w:t>’</w:t>
      </w:r>
      <w:r w:rsidRPr="00BA578C">
        <w:rPr>
          <w:lang w:bidi="fr-FR"/>
        </w:rPr>
        <w:t>exception d</w:t>
      </w:r>
      <w:r w:rsidR="00943120">
        <w:rPr>
          <w:lang w:bidi="fr-FR"/>
        </w:rPr>
        <w:t>’</w:t>
      </w:r>
      <w:r w:rsidRPr="00BA578C">
        <w:rPr>
          <w:lang w:bidi="fr-FR"/>
        </w:rPr>
        <w:t>une infraction pour les prestataires d</w:t>
      </w:r>
      <w:r w:rsidR="00943120">
        <w:rPr>
          <w:lang w:bidi="fr-FR"/>
        </w:rPr>
        <w:t>’</w:t>
      </w:r>
      <w:r w:rsidRPr="00BA578C">
        <w:rPr>
          <w:lang w:bidi="fr-FR"/>
        </w:rPr>
        <w:t xml:space="preserve">avortement qui ne sont pas des praticiens de santé. </w:t>
      </w:r>
    </w:p>
    <w:p w14:paraId="5E0F3E3E" w14:textId="65918945" w:rsidR="00BA578C" w:rsidRPr="00BA578C" w:rsidRDefault="00BA578C" w:rsidP="002D3243">
      <w:pPr>
        <w:pStyle w:val="SingleTxt"/>
        <w:numPr>
          <w:ilvl w:val="0"/>
          <w:numId w:val="15"/>
        </w:numPr>
        <w:spacing w:line="240" w:lineRule="exact"/>
        <w:ind w:left="1267"/>
        <w:rPr>
          <w:lang w:val="fr-FR"/>
        </w:rPr>
      </w:pPr>
      <w:r w:rsidRPr="00BA578C">
        <w:rPr>
          <w:lang w:bidi="fr-FR"/>
        </w:rPr>
        <w:t>La loi de 2020 sur l</w:t>
      </w:r>
      <w:r w:rsidR="00943120">
        <w:rPr>
          <w:lang w:bidi="fr-FR"/>
        </w:rPr>
        <w:t>’</w:t>
      </w:r>
      <w:r w:rsidRPr="00BA578C">
        <w:rPr>
          <w:lang w:bidi="fr-FR"/>
        </w:rPr>
        <w:t>avortement (la loi) est entrée en vigueur le 24 mars 2020. L</w:t>
      </w:r>
      <w:r w:rsidR="00943120">
        <w:rPr>
          <w:lang w:bidi="fr-FR"/>
        </w:rPr>
        <w:t>’</w:t>
      </w:r>
      <w:r w:rsidRPr="00BA578C">
        <w:rPr>
          <w:lang w:bidi="fr-FR"/>
        </w:rPr>
        <w:t>objectif de cette loi a été de dépénaliser l</w:t>
      </w:r>
      <w:r w:rsidR="00943120">
        <w:rPr>
          <w:lang w:bidi="fr-FR"/>
        </w:rPr>
        <w:t>’</w:t>
      </w:r>
      <w:r w:rsidRPr="00BA578C">
        <w:rPr>
          <w:lang w:bidi="fr-FR"/>
        </w:rPr>
        <w:t>avortement et de mieux aligner la réglementation des services d</w:t>
      </w:r>
      <w:r w:rsidR="00943120">
        <w:rPr>
          <w:lang w:bidi="fr-FR"/>
        </w:rPr>
        <w:t>’</w:t>
      </w:r>
      <w:r w:rsidRPr="00BA578C">
        <w:rPr>
          <w:lang w:bidi="fr-FR"/>
        </w:rPr>
        <w:t>avortement sur celle des autres services de santé. En outre, cette loi a visé à moderniser le cadre juridique de l</w:t>
      </w:r>
      <w:r w:rsidR="00943120">
        <w:rPr>
          <w:lang w:bidi="fr-FR"/>
        </w:rPr>
        <w:t>’</w:t>
      </w:r>
      <w:r w:rsidRPr="00BA578C">
        <w:rPr>
          <w:lang w:bidi="fr-FR"/>
        </w:rPr>
        <w:t>avortement, défini auparavant dans la loi de 1961 sur les infractions et la loi de 1977 sur la contraception, la stérilisation et l</w:t>
      </w:r>
      <w:r w:rsidR="00943120">
        <w:rPr>
          <w:lang w:bidi="fr-FR"/>
        </w:rPr>
        <w:t>’</w:t>
      </w:r>
      <w:r w:rsidRPr="00BA578C">
        <w:rPr>
          <w:lang w:bidi="fr-FR"/>
        </w:rPr>
        <w:t>avortement.</w:t>
      </w:r>
    </w:p>
    <w:p w14:paraId="09D3C50A" w14:textId="037D1F4D" w:rsidR="00BA578C" w:rsidRPr="002D3243" w:rsidRDefault="00BA578C" w:rsidP="002D3243">
      <w:pPr>
        <w:pStyle w:val="SingleTxt"/>
        <w:spacing w:after="0" w:line="120" w:lineRule="exact"/>
        <w:rPr>
          <w:sz w:val="10"/>
          <w:lang w:val="fr-FR"/>
        </w:rPr>
      </w:pPr>
    </w:p>
    <w:p w14:paraId="1C3AD56B" w14:textId="6D070ACF" w:rsidR="00BA578C" w:rsidRPr="00BA578C" w:rsidRDefault="00BA578C" w:rsidP="002D324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578C">
        <w:rPr>
          <w:lang w:bidi="fr-FR"/>
        </w:rPr>
        <w:tab/>
      </w:r>
      <w:r w:rsidRPr="00BA578C">
        <w:rPr>
          <w:lang w:bidi="fr-FR"/>
        </w:rPr>
        <w:tab/>
        <w:t>Modifications apportées par la loi sur l</w:t>
      </w:r>
      <w:r w:rsidR="00943120">
        <w:rPr>
          <w:lang w:bidi="fr-FR"/>
        </w:rPr>
        <w:t>’</w:t>
      </w:r>
      <w:r w:rsidRPr="00BA578C">
        <w:rPr>
          <w:lang w:bidi="fr-FR"/>
        </w:rPr>
        <w:t>avortement aux aspects pénaux de la loi sur</w:t>
      </w:r>
      <w:r w:rsidR="002D3243">
        <w:rPr>
          <w:lang w:bidi="fr-FR"/>
        </w:rPr>
        <w:t> </w:t>
      </w:r>
      <w:r w:rsidRPr="00BA578C">
        <w:rPr>
          <w:lang w:bidi="fr-FR"/>
        </w:rPr>
        <w:t>l</w:t>
      </w:r>
      <w:r w:rsidR="00943120">
        <w:rPr>
          <w:lang w:bidi="fr-FR"/>
        </w:rPr>
        <w:t>’</w:t>
      </w:r>
      <w:r w:rsidRPr="00BA578C">
        <w:rPr>
          <w:lang w:bidi="fr-FR"/>
        </w:rPr>
        <w:t>avortement</w:t>
      </w:r>
    </w:p>
    <w:p w14:paraId="181A39F9" w14:textId="775096E9" w:rsidR="00BA578C" w:rsidRPr="002D3243" w:rsidRDefault="00BA578C" w:rsidP="002D3243">
      <w:pPr>
        <w:pStyle w:val="SingleTxt"/>
        <w:spacing w:after="0" w:line="120" w:lineRule="exact"/>
        <w:rPr>
          <w:sz w:val="10"/>
          <w:lang w:val="fr-FR"/>
        </w:rPr>
      </w:pPr>
    </w:p>
    <w:p w14:paraId="412EBF9A" w14:textId="74FE8F68" w:rsidR="00BA578C" w:rsidRPr="00BA578C" w:rsidRDefault="00BA578C" w:rsidP="002D3243">
      <w:pPr>
        <w:pStyle w:val="SingleTxt"/>
        <w:numPr>
          <w:ilvl w:val="0"/>
          <w:numId w:val="15"/>
        </w:numPr>
        <w:spacing w:line="240" w:lineRule="exact"/>
        <w:ind w:left="1267"/>
        <w:rPr>
          <w:lang w:val="fr-FR"/>
        </w:rPr>
      </w:pPr>
      <w:r w:rsidRPr="00BA578C">
        <w:rPr>
          <w:lang w:bidi="fr-FR"/>
        </w:rPr>
        <w:t>Cette loi supprime les infractions relatives à l</w:t>
      </w:r>
      <w:r w:rsidR="00943120">
        <w:rPr>
          <w:lang w:bidi="fr-FR"/>
        </w:rPr>
        <w:t>’</w:t>
      </w:r>
      <w:r w:rsidRPr="00BA578C">
        <w:rPr>
          <w:lang w:bidi="fr-FR"/>
        </w:rPr>
        <w:t>avortement de la loi sur les infractions et de la loi de 1977 sur la contraception, la stérilisation et l</w:t>
      </w:r>
      <w:r w:rsidR="00943120">
        <w:rPr>
          <w:lang w:bidi="fr-FR"/>
        </w:rPr>
        <w:t>’</w:t>
      </w:r>
      <w:r w:rsidRPr="00BA578C">
        <w:rPr>
          <w:lang w:bidi="fr-FR"/>
        </w:rPr>
        <w:t>avortement pour les praticiens de la santé et les femmes. L</w:t>
      </w:r>
      <w:r w:rsidR="00943120">
        <w:rPr>
          <w:lang w:bidi="fr-FR"/>
        </w:rPr>
        <w:t>’</w:t>
      </w:r>
      <w:r w:rsidRPr="00BA578C">
        <w:rPr>
          <w:lang w:bidi="fr-FR"/>
        </w:rPr>
        <w:t>autre violation de la loi sur les infractions est nouvelle et concerne les personnes qui ne sont pas des praticiens de la santé pratiquant un avortement. Les femmes à qui l</w:t>
      </w:r>
      <w:r w:rsidR="00943120">
        <w:rPr>
          <w:lang w:bidi="fr-FR"/>
        </w:rPr>
        <w:t>’</w:t>
      </w:r>
      <w:r w:rsidRPr="00BA578C">
        <w:rPr>
          <w:lang w:bidi="fr-FR"/>
        </w:rPr>
        <w:t>avortement est proposé sont exclues de l</w:t>
      </w:r>
      <w:r w:rsidR="00943120">
        <w:rPr>
          <w:lang w:bidi="fr-FR"/>
        </w:rPr>
        <w:t>’</w:t>
      </w:r>
      <w:r w:rsidRPr="00BA578C">
        <w:rPr>
          <w:lang w:bidi="fr-FR"/>
        </w:rPr>
        <w:t>infraction.</w:t>
      </w:r>
    </w:p>
    <w:p w14:paraId="39794EFD" w14:textId="55811DDD" w:rsidR="00BA578C" w:rsidRPr="002D3243" w:rsidRDefault="00BA578C" w:rsidP="002D3243">
      <w:pPr>
        <w:pStyle w:val="SingleTxt"/>
        <w:spacing w:after="0" w:line="120" w:lineRule="exact"/>
        <w:rPr>
          <w:sz w:val="10"/>
          <w:lang w:val="fr-FR"/>
        </w:rPr>
      </w:pPr>
    </w:p>
    <w:p w14:paraId="7DD803CB" w14:textId="6C287978" w:rsidR="00BA578C" w:rsidRPr="00BA578C" w:rsidRDefault="00BA578C" w:rsidP="002D324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578C">
        <w:rPr>
          <w:lang w:bidi="fr-FR"/>
        </w:rPr>
        <w:tab/>
      </w:r>
      <w:r w:rsidRPr="00BA578C">
        <w:rPr>
          <w:lang w:bidi="fr-FR"/>
        </w:rPr>
        <w:tab/>
        <w:t>Changements apportés par la loi sur l</w:t>
      </w:r>
      <w:r w:rsidR="00943120">
        <w:rPr>
          <w:lang w:bidi="fr-FR"/>
        </w:rPr>
        <w:t>’</w:t>
      </w:r>
      <w:r w:rsidRPr="00BA578C">
        <w:rPr>
          <w:lang w:bidi="fr-FR"/>
        </w:rPr>
        <w:t>avortement pour l</w:t>
      </w:r>
      <w:r w:rsidR="00943120">
        <w:rPr>
          <w:lang w:bidi="fr-FR"/>
        </w:rPr>
        <w:t>’</w:t>
      </w:r>
      <w:r w:rsidRPr="00BA578C">
        <w:rPr>
          <w:lang w:bidi="fr-FR"/>
        </w:rPr>
        <w:t>accès aux services d</w:t>
      </w:r>
      <w:r w:rsidR="00943120">
        <w:rPr>
          <w:lang w:bidi="fr-FR"/>
        </w:rPr>
        <w:t>’</w:t>
      </w:r>
      <w:r w:rsidRPr="00BA578C">
        <w:rPr>
          <w:lang w:bidi="fr-FR"/>
        </w:rPr>
        <w:t xml:space="preserve">avortement </w:t>
      </w:r>
    </w:p>
    <w:p w14:paraId="63167250" w14:textId="44569A5E" w:rsidR="00BA578C" w:rsidRPr="002D3243" w:rsidRDefault="00BA578C" w:rsidP="002D3243">
      <w:pPr>
        <w:pStyle w:val="SingleTxt"/>
        <w:spacing w:after="0" w:line="120" w:lineRule="exact"/>
        <w:rPr>
          <w:sz w:val="10"/>
          <w:lang w:val="fr-FR"/>
        </w:rPr>
      </w:pPr>
    </w:p>
    <w:p w14:paraId="6F2C52BB" w14:textId="6BD9FAFF" w:rsidR="00BA578C" w:rsidRPr="00BA578C" w:rsidRDefault="00BA578C" w:rsidP="002D3243">
      <w:pPr>
        <w:pStyle w:val="SingleTxt"/>
        <w:numPr>
          <w:ilvl w:val="0"/>
          <w:numId w:val="15"/>
        </w:numPr>
        <w:spacing w:line="240" w:lineRule="exact"/>
        <w:ind w:left="1267"/>
        <w:rPr>
          <w:lang w:val="fr-FR"/>
        </w:rPr>
      </w:pPr>
      <w:r w:rsidRPr="00BA578C">
        <w:rPr>
          <w:lang w:bidi="fr-FR"/>
        </w:rPr>
        <w:t>Cette loi supprime les dispositions précédentes de la loi de 1977 sur la contraception, la stérilisation et l</w:t>
      </w:r>
      <w:r w:rsidR="00943120">
        <w:rPr>
          <w:lang w:bidi="fr-FR"/>
        </w:rPr>
        <w:t>’</w:t>
      </w:r>
      <w:r w:rsidRPr="00BA578C">
        <w:rPr>
          <w:lang w:bidi="fr-FR"/>
        </w:rPr>
        <w:t>avortement qui s</w:t>
      </w:r>
      <w:r w:rsidR="00943120">
        <w:rPr>
          <w:lang w:bidi="fr-FR"/>
        </w:rPr>
        <w:t>’</w:t>
      </w:r>
      <w:r w:rsidRPr="00BA578C">
        <w:rPr>
          <w:lang w:bidi="fr-FR"/>
        </w:rPr>
        <w:t>appliquent à l</w:t>
      </w:r>
      <w:r w:rsidR="00943120">
        <w:rPr>
          <w:lang w:bidi="fr-FR"/>
        </w:rPr>
        <w:t>’</w:t>
      </w:r>
      <w:r w:rsidRPr="00BA578C">
        <w:rPr>
          <w:lang w:bidi="fr-FR"/>
        </w:rPr>
        <w:t>accès aux services d</w:t>
      </w:r>
      <w:r w:rsidR="00943120">
        <w:rPr>
          <w:lang w:bidi="fr-FR"/>
        </w:rPr>
        <w:t>’</w:t>
      </w:r>
      <w:r w:rsidRPr="00BA578C">
        <w:rPr>
          <w:lang w:bidi="fr-FR"/>
        </w:rPr>
        <w:t>avortement, dans un souci de cohérence sur la manière dont les autres services de santé sont fournis. Il s</w:t>
      </w:r>
      <w:r w:rsidR="00943120">
        <w:rPr>
          <w:lang w:bidi="fr-FR"/>
        </w:rPr>
        <w:t>’</w:t>
      </w:r>
      <w:r w:rsidRPr="00BA578C">
        <w:rPr>
          <w:lang w:bidi="fr-FR"/>
        </w:rPr>
        <w:t>agit notamment d</w:t>
      </w:r>
      <w:r w:rsidR="00943120">
        <w:rPr>
          <w:lang w:bidi="fr-FR"/>
        </w:rPr>
        <w:t>’</w:t>
      </w:r>
      <w:r w:rsidRPr="00BA578C">
        <w:rPr>
          <w:lang w:bidi="fr-FR"/>
        </w:rPr>
        <w:t>éliminer la nécessité pour deux consultants spécialement agréés de certifier qu</w:t>
      </w:r>
      <w:r w:rsidR="00943120">
        <w:rPr>
          <w:lang w:bidi="fr-FR"/>
        </w:rPr>
        <w:t>’</w:t>
      </w:r>
      <w:r w:rsidRPr="00BA578C">
        <w:rPr>
          <w:lang w:bidi="fr-FR"/>
        </w:rPr>
        <w:t>un avortement est légal et répond aux motifs énoncés dans la loi sur les infractions. La loi prévoit donc, pour les grossesses jusqu</w:t>
      </w:r>
      <w:r w:rsidR="00943120">
        <w:rPr>
          <w:lang w:bidi="fr-FR"/>
        </w:rPr>
        <w:t>’</w:t>
      </w:r>
      <w:r w:rsidRPr="00BA578C">
        <w:rPr>
          <w:lang w:bidi="fr-FR"/>
        </w:rPr>
        <w:t xml:space="preserve">à </w:t>
      </w:r>
      <w:r w:rsidRPr="00BA578C">
        <w:rPr>
          <w:lang w:bidi="fr-FR"/>
        </w:rPr>
        <w:lastRenderedPageBreak/>
        <w:t>20 semaines de gestation, que la décision d</w:t>
      </w:r>
      <w:r w:rsidR="00943120">
        <w:rPr>
          <w:lang w:bidi="fr-FR"/>
        </w:rPr>
        <w:t>’</w:t>
      </w:r>
      <w:r w:rsidRPr="00BA578C">
        <w:rPr>
          <w:lang w:bidi="fr-FR"/>
        </w:rPr>
        <w:t xml:space="preserve">avorter soit prise par la femme en consultation avec un professionnel de santé qualifié. </w:t>
      </w:r>
    </w:p>
    <w:p w14:paraId="126ED0D0" w14:textId="1D71282E" w:rsidR="00BA578C" w:rsidRPr="00BA578C" w:rsidRDefault="00BA578C" w:rsidP="002D3243">
      <w:pPr>
        <w:pStyle w:val="SingleTxt"/>
        <w:numPr>
          <w:ilvl w:val="0"/>
          <w:numId w:val="15"/>
        </w:numPr>
        <w:spacing w:line="240" w:lineRule="exact"/>
        <w:ind w:left="1267"/>
        <w:rPr>
          <w:lang w:val="fr-FR"/>
        </w:rPr>
      </w:pPr>
      <w:r w:rsidRPr="00BA578C">
        <w:rPr>
          <w:lang w:bidi="fr-FR"/>
        </w:rPr>
        <w:t>Il existe un test légal d</w:t>
      </w:r>
      <w:r w:rsidR="00943120">
        <w:rPr>
          <w:lang w:bidi="fr-FR"/>
        </w:rPr>
        <w:t>’</w:t>
      </w:r>
      <w:r w:rsidRPr="00BA578C">
        <w:rPr>
          <w:lang w:bidi="fr-FR"/>
        </w:rPr>
        <w:t>avortement pour les grossesses de plus de 20 semaines de gestation. Un praticien de santé qualifié ne peut fournir des services d</w:t>
      </w:r>
      <w:r w:rsidR="00943120">
        <w:rPr>
          <w:lang w:bidi="fr-FR"/>
        </w:rPr>
        <w:t>’</w:t>
      </w:r>
      <w:r w:rsidRPr="00BA578C">
        <w:rPr>
          <w:lang w:bidi="fr-FR"/>
        </w:rPr>
        <w:t>avortement que s</w:t>
      </w:r>
      <w:r w:rsidR="00943120">
        <w:rPr>
          <w:lang w:bidi="fr-FR"/>
        </w:rPr>
        <w:t>’</w:t>
      </w:r>
      <w:r w:rsidRPr="00BA578C">
        <w:rPr>
          <w:lang w:bidi="fr-FR"/>
        </w:rPr>
        <w:t>il a des raisons de croire que l</w:t>
      </w:r>
      <w:r w:rsidR="00943120">
        <w:rPr>
          <w:lang w:bidi="fr-FR"/>
        </w:rPr>
        <w:t>’</w:t>
      </w:r>
      <w:r w:rsidRPr="00BA578C">
        <w:rPr>
          <w:lang w:bidi="fr-FR"/>
        </w:rPr>
        <w:t>avortement est cliniquement approprié dans les circonstances. Pour déterminer si l</w:t>
      </w:r>
      <w:r w:rsidR="00943120">
        <w:rPr>
          <w:lang w:bidi="fr-FR"/>
        </w:rPr>
        <w:t>’</w:t>
      </w:r>
      <w:r w:rsidRPr="00BA578C">
        <w:rPr>
          <w:lang w:bidi="fr-FR"/>
        </w:rPr>
        <w:t>avortement est cliniquement approprié dans les circonstances, il faut consulter au moins un autre praticien de santé qualifié et tenir compte d</w:t>
      </w:r>
      <w:r w:rsidR="00943120">
        <w:rPr>
          <w:lang w:bidi="fr-FR"/>
        </w:rPr>
        <w:t>’</w:t>
      </w:r>
      <w:r w:rsidRPr="00BA578C">
        <w:rPr>
          <w:lang w:bidi="fr-FR"/>
        </w:rPr>
        <w:t>une série de facteurs, notamment toutes les normes juridiques, professionnelles et éthiques auxquelles le praticien de santé qualifié est soumis, la santé physique, la santé mentale, le bien-être général de la femme et l</w:t>
      </w:r>
      <w:r w:rsidR="00943120">
        <w:rPr>
          <w:lang w:bidi="fr-FR"/>
        </w:rPr>
        <w:t>’</w:t>
      </w:r>
      <w:r w:rsidRPr="00BA578C">
        <w:rPr>
          <w:lang w:bidi="fr-FR"/>
        </w:rPr>
        <w:t>âge gestationnel du fœtus.</w:t>
      </w:r>
    </w:p>
    <w:p w14:paraId="404D7F39" w14:textId="3F3A66C9" w:rsidR="00BA578C" w:rsidRPr="00BA578C" w:rsidRDefault="00BA578C" w:rsidP="002D3243">
      <w:pPr>
        <w:pStyle w:val="SingleTxt"/>
        <w:numPr>
          <w:ilvl w:val="0"/>
          <w:numId w:val="15"/>
        </w:numPr>
        <w:spacing w:line="240" w:lineRule="exact"/>
        <w:ind w:left="1267"/>
        <w:rPr>
          <w:lang w:val="fr-FR"/>
        </w:rPr>
      </w:pPr>
      <w:r w:rsidRPr="00BA578C">
        <w:rPr>
          <w:lang w:bidi="fr-FR"/>
        </w:rPr>
        <w:t>La loi supprime l</w:t>
      </w:r>
      <w:r w:rsidR="00943120">
        <w:rPr>
          <w:lang w:bidi="fr-FR"/>
        </w:rPr>
        <w:t>’</w:t>
      </w:r>
      <w:r w:rsidRPr="00BA578C">
        <w:rPr>
          <w:lang w:bidi="fr-FR"/>
        </w:rPr>
        <w:t>exigence selon laquelle les avortements ne peuvent être pratiqués que dans des locaux spécifiquement agréés, ce qui permet de pratiquer l</w:t>
      </w:r>
      <w:r w:rsidR="00943120">
        <w:rPr>
          <w:lang w:bidi="fr-FR"/>
        </w:rPr>
        <w:t>’</w:t>
      </w:r>
      <w:r w:rsidRPr="00BA578C">
        <w:rPr>
          <w:lang w:bidi="fr-FR"/>
        </w:rPr>
        <w:t>avortement dans un plus grand nombre de contextes. Cette nouveauté permet également à un plus grand nombre de professionnels de la santé agréés (par exemple, les sages-femmes et les infirmiers) de pratiquer des avortements (sous réserve de leur champ d</w:t>
      </w:r>
      <w:r w:rsidR="00943120">
        <w:rPr>
          <w:lang w:bidi="fr-FR"/>
        </w:rPr>
        <w:t>’</w:t>
      </w:r>
      <w:r w:rsidRPr="00BA578C">
        <w:rPr>
          <w:lang w:bidi="fr-FR"/>
        </w:rPr>
        <w:t>activité, de leurs compétences et de leur formation). Une femme peut désormais s</w:t>
      </w:r>
      <w:r w:rsidR="00943120">
        <w:rPr>
          <w:lang w:bidi="fr-FR"/>
        </w:rPr>
        <w:t>’</w:t>
      </w:r>
      <w:r w:rsidRPr="00BA578C">
        <w:rPr>
          <w:lang w:bidi="fr-FR"/>
        </w:rPr>
        <w:t>adresser elle-même à un prestataire de services d</w:t>
      </w:r>
      <w:r w:rsidR="00943120">
        <w:rPr>
          <w:lang w:bidi="fr-FR"/>
        </w:rPr>
        <w:t>’</w:t>
      </w:r>
      <w:r w:rsidRPr="00BA578C">
        <w:rPr>
          <w:lang w:bidi="fr-FR"/>
        </w:rPr>
        <w:t>avortement.</w:t>
      </w:r>
    </w:p>
    <w:p w14:paraId="7816885E" w14:textId="7DDDB3E9" w:rsidR="00BA578C" w:rsidRPr="00BA578C" w:rsidRDefault="00BA578C" w:rsidP="002D3243">
      <w:pPr>
        <w:pStyle w:val="SingleTxt"/>
        <w:numPr>
          <w:ilvl w:val="0"/>
          <w:numId w:val="15"/>
        </w:numPr>
        <w:spacing w:line="240" w:lineRule="exact"/>
        <w:ind w:left="1267"/>
        <w:rPr>
          <w:lang w:val="fr-FR"/>
        </w:rPr>
      </w:pPr>
      <w:r w:rsidRPr="00BA578C">
        <w:rPr>
          <w:lang w:bidi="fr-FR"/>
        </w:rPr>
        <w:t>La loi garantit que les femmes savent que des conseils sont disponibles, si nécessaire, avant et après un avortement. Toutefois, les prestataires de services d</w:t>
      </w:r>
      <w:r w:rsidR="00943120">
        <w:rPr>
          <w:lang w:bidi="fr-FR"/>
        </w:rPr>
        <w:t>’</w:t>
      </w:r>
      <w:r w:rsidRPr="00BA578C">
        <w:rPr>
          <w:lang w:bidi="fr-FR"/>
        </w:rPr>
        <w:t>avortement ne peuvent pas exiger des femmes qu</w:t>
      </w:r>
      <w:r w:rsidR="00943120">
        <w:rPr>
          <w:lang w:bidi="fr-FR"/>
        </w:rPr>
        <w:t>’</w:t>
      </w:r>
      <w:r w:rsidRPr="00BA578C">
        <w:rPr>
          <w:lang w:bidi="fr-FR"/>
        </w:rPr>
        <w:t>elles bénéficient de conseils avant d</w:t>
      </w:r>
      <w:r w:rsidR="00943120">
        <w:rPr>
          <w:lang w:bidi="fr-FR"/>
        </w:rPr>
        <w:t>’</w:t>
      </w:r>
      <w:r w:rsidRPr="00BA578C">
        <w:rPr>
          <w:lang w:bidi="fr-FR"/>
        </w:rPr>
        <w:t>accéder aux services d</w:t>
      </w:r>
      <w:r w:rsidR="00943120">
        <w:rPr>
          <w:lang w:bidi="fr-FR"/>
        </w:rPr>
        <w:t>’</w:t>
      </w:r>
      <w:r w:rsidRPr="00BA578C">
        <w:rPr>
          <w:lang w:bidi="fr-FR"/>
        </w:rPr>
        <w:t>avortement.</w:t>
      </w:r>
    </w:p>
    <w:p w14:paraId="137A761D" w14:textId="65CBD828" w:rsidR="00BA578C" w:rsidRPr="00BA578C" w:rsidRDefault="00BA578C" w:rsidP="002D3243">
      <w:pPr>
        <w:pStyle w:val="SingleTxt"/>
        <w:numPr>
          <w:ilvl w:val="0"/>
          <w:numId w:val="15"/>
        </w:numPr>
        <w:spacing w:line="240" w:lineRule="exact"/>
        <w:ind w:left="1267"/>
        <w:rPr>
          <w:lang w:val="fr-FR"/>
        </w:rPr>
      </w:pPr>
      <w:r w:rsidRPr="00BA578C">
        <w:rPr>
          <w:lang w:bidi="fr-FR"/>
        </w:rPr>
        <w:t>Par ailleurs, la loi confie au Ministère de la santé le suivi et la surveillance des services d</w:t>
      </w:r>
      <w:r w:rsidR="00943120">
        <w:rPr>
          <w:lang w:bidi="fr-FR"/>
        </w:rPr>
        <w:t>’</w:t>
      </w:r>
      <w:r w:rsidRPr="00BA578C">
        <w:rPr>
          <w:lang w:bidi="fr-FR"/>
        </w:rPr>
        <w:t>avortement, y compris la collecte de données sur les services d</w:t>
      </w:r>
      <w:r w:rsidR="00943120">
        <w:rPr>
          <w:lang w:bidi="fr-FR"/>
        </w:rPr>
        <w:t>’</w:t>
      </w:r>
      <w:r w:rsidRPr="00BA578C">
        <w:rPr>
          <w:lang w:bidi="fr-FR"/>
        </w:rPr>
        <w:t>avortement et l</w:t>
      </w:r>
      <w:r w:rsidR="00943120">
        <w:rPr>
          <w:lang w:bidi="fr-FR"/>
        </w:rPr>
        <w:t>’</w:t>
      </w:r>
      <w:r w:rsidRPr="00BA578C">
        <w:rPr>
          <w:lang w:bidi="fr-FR"/>
        </w:rPr>
        <w:t>élaboration de normes pour la prestation de services. La ou le Ministre de la santé est tenu(e) de prendre des mesures raisonnables pour garantir la disponibilité de services d</w:t>
      </w:r>
      <w:r w:rsidR="00943120">
        <w:rPr>
          <w:lang w:bidi="fr-FR"/>
        </w:rPr>
        <w:t>’</w:t>
      </w:r>
      <w:r w:rsidRPr="00BA578C">
        <w:rPr>
          <w:lang w:bidi="fr-FR"/>
        </w:rPr>
        <w:t>avortement, de conseil, de contraception et d</w:t>
      </w:r>
      <w:r w:rsidR="00943120">
        <w:rPr>
          <w:lang w:bidi="fr-FR"/>
        </w:rPr>
        <w:t>’</w:t>
      </w:r>
      <w:r w:rsidRPr="00BA578C">
        <w:rPr>
          <w:lang w:bidi="fr-FR"/>
        </w:rPr>
        <w:t xml:space="preserve">autres services de santé génésique en Nouvelle-Zélande. </w:t>
      </w:r>
    </w:p>
    <w:p w14:paraId="5C11E2AB" w14:textId="4952C73A" w:rsidR="00BA578C" w:rsidRPr="002D3243" w:rsidRDefault="00BA578C" w:rsidP="002D3243">
      <w:pPr>
        <w:pStyle w:val="SingleTxt"/>
        <w:spacing w:after="0" w:line="120" w:lineRule="exact"/>
        <w:rPr>
          <w:sz w:val="10"/>
          <w:lang w:val="fr-FR"/>
        </w:rPr>
      </w:pPr>
    </w:p>
    <w:p w14:paraId="07B1E067" w14:textId="4DFA8B36" w:rsidR="002D3243" w:rsidRPr="002D3243" w:rsidRDefault="002D3243" w:rsidP="002D3243">
      <w:pPr>
        <w:pStyle w:val="SingleTxt"/>
        <w:spacing w:after="0" w:line="120" w:lineRule="exact"/>
        <w:rPr>
          <w:sz w:val="10"/>
          <w:lang w:val="fr-FR"/>
        </w:rPr>
      </w:pPr>
    </w:p>
    <w:p w14:paraId="49F1F6F2" w14:textId="77777777" w:rsidR="00BA578C" w:rsidRPr="00BA578C" w:rsidRDefault="00BA578C" w:rsidP="002D324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578C">
        <w:rPr>
          <w:lang w:bidi="fr-FR"/>
        </w:rPr>
        <w:tab/>
      </w:r>
      <w:r w:rsidRPr="00BA578C">
        <w:rPr>
          <w:lang w:bidi="fr-FR"/>
        </w:rPr>
        <w:tab/>
        <w:t>Mariage et liens familiaux</w:t>
      </w:r>
    </w:p>
    <w:p w14:paraId="629B71C9" w14:textId="748B4D89" w:rsidR="00BA578C" w:rsidRPr="002D3243" w:rsidRDefault="00BA578C" w:rsidP="002D3243">
      <w:pPr>
        <w:pStyle w:val="SingleTxt"/>
        <w:spacing w:after="0" w:line="120" w:lineRule="exact"/>
        <w:rPr>
          <w:sz w:val="10"/>
          <w:lang w:val="fr-FR"/>
        </w:rPr>
      </w:pPr>
    </w:p>
    <w:p w14:paraId="1F2A7895" w14:textId="3B60B0B0" w:rsidR="002D3243" w:rsidRPr="002D3243" w:rsidRDefault="002D3243" w:rsidP="002D3243">
      <w:pPr>
        <w:pStyle w:val="SingleTxt"/>
        <w:spacing w:after="0" w:line="120" w:lineRule="exact"/>
        <w:rPr>
          <w:sz w:val="10"/>
          <w:lang w:val="fr-FR"/>
        </w:rPr>
      </w:pPr>
    </w:p>
    <w:p w14:paraId="5BB030F3" w14:textId="23C7A4BC" w:rsidR="00BA578C" w:rsidRPr="00BA578C" w:rsidRDefault="00BA578C" w:rsidP="002D324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578C">
        <w:rPr>
          <w:lang w:bidi="fr-FR"/>
        </w:rPr>
        <w:tab/>
        <w:t>D.</w:t>
      </w:r>
      <w:r w:rsidRPr="00BA578C">
        <w:rPr>
          <w:lang w:bidi="fr-FR"/>
        </w:rPr>
        <w:tab/>
        <w:t xml:space="preserve">Informations de suivi relatives au paragraphe 48, point a), </w:t>
      </w:r>
      <w:r w:rsidR="0060046C">
        <w:rPr>
          <w:lang w:bidi="fr-FR"/>
        </w:rPr>
        <w:br/>
      </w:r>
      <w:r w:rsidRPr="00BA578C">
        <w:rPr>
          <w:lang w:bidi="fr-FR"/>
        </w:rPr>
        <w:t>des observations finales</w:t>
      </w:r>
    </w:p>
    <w:p w14:paraId="1152C368" w14:textId="1CE29BA6" w:rsidR="00BA578C" w:rsidRPr="002D3243" w:rsidRDefault="00BA578C" w:rsidP="002D3243">
      <w:pPr>
        <w:pStyle w:val="SingleTxt"/>
        <w:spacing w:after="0" w:line="120" w:lineRule="exact"/>
        <w:rPr>
          <w:sz w:val="10"/>
          <w:lang w:val="fr-FR"/>
        </w:rPr>
      </w:pPr>
    </w:p>
    <w:p w14:paraId="3C79DFDC" w14:textId="2A8DC960" w:rsidR="002D3243" w:rsidRPr="002D3243" w:rsidRDefault="002D3243" w:rsidP="002D3243">
      <w:pPr>
        <w:pStyle w:val="SingleTxt"/>
        <w:spacing w:after="0" w:line="120" w:lineRule="exact"/>
        <w:rPr>
          <w:sz w:val="10"/>
          <w:lang w:val="fr-FR"/>
        </w:rPr>
      </w:pPr>
    </w:p>
    <w:p w14:paraId="5964674B" w14:textId="5350FE1C" w:rsidR="00BA578C" w:rsidRPr="00BA578C" w:rsidRDefault="00BA578C" w:rsidP="002D3243">
      <w:pPr>
        <w:pStyle w:val="SingleTxt"/>
        <w:numPr>
          <w:ilvl w:val="0"/>
          <w:numId w:val="15"/>
        </w:numPr>
        <w:spacing w:line="240" w:lineRule="exact"/>
        <w:ind w:left="1267"/>
        <w:rPr>
          <w:lang w:val="fr-FR"/>
        </w:rPr>
      </w:pPr>
      <w:r w:rsidRPr="00BA578C">
        <w:rPr>
          <w:lang w:bidi="fr-FR"/>
        </w:rPr>
        <w:t>En 2014, des réformes importantes ont été apportées au système de justice familiale. Ces réformes ont visé à aider les personnes à résoudre leurs conflits parentaux sans avoir à aller au tribunal. Cependant, elles ont été largement critiquées, car elles limitent l</w:t>
      </w:r>
      <w:r w:rsidR="00943120">
        <w:rPr>
          <w:lang w:bidi="fr-FR"/>
        </w:rPr>
        <w:t>’</w:t>
      </w:r>
      <w:r w:rsidRPr="00BA578C">
        <w:rPr>
          <w:lang w:bidi="fr-FR"/>
        </w:rPr>
        <w:t xml:space="preserve">accès à la justice et ne fonctionnent pas pour certaines personnes. </w:t>
      </w:r>
    </w:p>
    <w:p w14:paraId="7BDB848E" w14:textId="41DA3DC9" w:rsidR="00BA578C" w:rsidRPr="00BA578C" w:rsidRDefault="00BA578C" w:rsidP="002D3243">
      <w:pPr>
        <w:pStyle w:val="SingleTxt"/>
        <w:numPr>
          <w:ilvl w:val="0"/>
          <w:numId w:val="15"/>
        </w:numPr>
        <w:spacing w:line="240" w:lineRule="exact"/>
        <w:ind w:left="1267"/>
        <w:rPr>
          <w:lang w:val="fr-FR"/>
        </w:rPr>
      </w:pPr>
      <w:r w:rsidRPr="00BA578C">
        <w:rPr>
          <w:lang w:bidi="fr-FR"/>
        </w:rPr>
        <w:t>En 2018, la ou le Ministre de la justice a nommé un groupe d</w:t>
      </w:r>
      <w:r w:rsidR="00943120">
        <w:rPr>
          <w:lang w:bidi="fr-FR"/>
        </w:rPr>
        <w:t>’</w:t>
      </w:r>
      <w:r w:rsidRPr="00BA578C">
        <w:rPr>
          <w:lang w:bidi="fr-FR"/>
        </w:rPr>
        <w:t>experts indépendants (le groupe) dans le but d</w:t>
      </w:r>
      <w:r w:rsidR="00943120">
        <w:rPr>
          <w:lang w:bidi="fr-FR"/>
        </w:rPr>
        <w:t>’</w:t>
      </w:r>
      <w:r w:rsidRPr="00BA578C">
        <w:rPr>
          <w:lang w:bidi="fr-FR"/>
        </w:rPr>
        <w:t>examiner les réformes de 2014 et de formuler des recommandations favorisant le changement. Le groupe a examiné les réformes pendant 10 mois et a entrepris une importante consultation publique, en tenant plus de 110 réunions et en recevant plus de 500 conclusions. Les personnes les plus concernées personnellement par les réformes de 2014 </w:t>
      </w:r>
      <w:r w:rsidR="0060046C">
        <w:rPr>
          <w:lang w:bidi="fr-FR"/>
        </w:rPr>
        <w:t>–</w:t>
      </w:r>
      <w:r w:rsidRPr="00BA578C">
        <w:rPr>
          <w:lang w:bidi="fr-FR"/>
        </w:rPr>
        <w:t> enfants et jeunes, parents, soignants, tuteurs, grands-parents et autres membres du whanau (famille élargie)</w:t>
      </w:r>
      <w:r w:rsidR="0060046C">
        <w:rPr>
          <w:lang w:bidi="fr-FR"/>
        </w:rPr>
        <w:t> –</w:t>
      </w:r>
      <w:r w:rsidRPr="00BA578C">
        <w:rPr>
          <w:lang w:bidi="fr-FR"/>
        </w:rPr>
        <w:t xml:space="preserve"> ont fait l</w:t>
      </w:r>
      <w:r w:rsidR="00943120">
        <w:rPr>
          <w:lang w:bidi="fr-FR"/>
        </w:rPr>
        <w:t>’</w:t>
      </w:r>
      <w:r w:rsidRPr="00BA578C">
        <w:rPr>
          <w:lang w:bidi="fr-FR"/>
        </w:rPr>
        <w:t>objet d</w:t>
      </w:r>
      <w:r w:rsidR="00943120">
        <w:rPr>
          <w:lang w:bidi="fr-FR"/>
        </w:rPr>
        <w:t>’</w:t>
      </w:r>
      <w:r w:rsidRPr="00BA578C">
        <w:rPr>
          <w:lang w:bidi="fr-FR"/>
        </w:rPr>
        <w:t>une enquête approfondie. L</w:t>
      </w:r>
      <w:r w:rsidR="00943120">
        <w:rPr>
          <w:lang w:bidi="fr-FR"/>
        </w:rPr>
        <w:t>’</w:t>
      </w:r>
      <w:r w:rsidRPr="00BA578C">
        <w:rPr>
          <w:lang w:bidi="fr-FR"/>
        </w:rPr>
        <w:t>engagement du groupe d</w:t>
      </w:r>
      <w:r w:rsidR="00943120">
        <w:rPr>
          <w:lang w:bidi="fr-FR"/>
        </w:rPr>
        <w:t>’</w:t>
      </w:r>
      <w:r w:rsidRPr="00BA578C">
        <w:rPr>
          <w:lang w:bidi="fr-FR"/>
        </w:rPr>
        <w:t>experts comprend par ailleurs des praticiens, des prestataires, des universitaires, des organismes gouvernementaux, le pouvoir judiciaire et des groupes communautaires.</w:t>
      </w:r>
    </w:p>
    <w:p w14:paraId="2F793366" w14:textId="34FF69BF" w:rsidR="00BA578C" w:rsidRPr="00BA578C" w:rsidRDefault="00BA578C" w:rsidP="002D3243">
      <w:pPr>
        <w:pStyle w:val="SingleTxt"/>
        <w:numPr>
          <w:ilvl w:val="0"/>
          <w:numId w:val="15"/>
        </w:numPr>
        <w:spacing w:line="240" w:lineRule="exact"/>
        <w:ind w:left="1267"/>
        <w:rPr>
          <w:lang w:val="fr-FR"/>
        </w:rPr>
      </w:pPr>
      <w:r w:rsidRPr="00BA578C">
        <w:rPr>
          <w:lang w:bidi="fr-FR"/>
        </w:rPr>
        <w:lastRenderedPageBreak/>
        <w:t>« Te Korowai Ture-ā Whānau</w:t>
      </w:r>
      <w:r w:rsidR="00943120">
        <w:rPr>
          <w:lang w:bidi="fr-FR"/>
        </w:rPr>
        <w:t> :</w:t>
      </w:r>
      <w:r w:rsidRPr="00BA578C">
        <w:rPr>
          <w:lang w:bidi="fr-FR"/>
        </w:rPr>
        <w:t xml:space="preserve"> le rapport final du groupe d</w:t>
      </w:r>
      <w:r w:rsidR="00943120">
        <w:rPr>
          <w:lang w:bidi="fr-FR"/>
        </w:rPr>
        <w:t>’</w:t>
      </w:r>
      <w:r w:rsidRPr="00BA578C">
        <w:rPr>
          <w:lang w:bidi="fr-FR"/>
        </w:rPr>
        <w:t>experts indépendant chargé d</w:t>
      </w:r>
      <w:r w:rsidR="00943120">
        <w:rPr>
          <w:lang w:bidi="fr-FR"/>
        </w:rPr>
        <w:t>’</w:t>
      </w:r>
      <w:r w:rsidRPr="00BA578C">
        <w:rPr>
          <w:lang w:bidi="fr-FR"/>
        </w:rPr>
        <w:t>examiner les réformes de la justice familiale de 2014 » a été rendu public en juin 2019. Dans ce rapport, le groupe a formulé 69 recommandations de grande envergure sur la loi, la politique et les pratiques qui régissent actuellement les questions relatives à la protection des enfants. Il s</w:t>
      </w:r>
      <w:r w:rsidR="00943120">
        <w:rPr>
          <w:lang w:bidi="fr-FR"/>
        </w:rPr>
        <w:t>’</w:t>
      </w:r>
      <w:r w:rsidRPr="00BA578C">
        <w:rPr>
          <w:lang w:bidi="fr-FR"/>
        </w:rPr>
        <w:t>agit notamment de suggestions d</w:t>
      </w:r>
      <w:r w:rsidR="00943120">
        <w:rPr>
          <w:lang w:bidi="fr-FR"/>
        </w:rPr>
        <w:t>’</w:t>
      </w:r>
      <w:r w:rsidRPr="00BA578C">
        <w:rPr>
          <w:lang w:bidi="fr-FR"/>
        </w:rPr>
        <w:t>actions sur les éléments suivants</w:t>
      </w:r>
      <w:r w:rsidR="00943120">
        <w:rPr>
          <w:lang w:bidi="fr-FR"/>
        </w:rPr>
        <w:t> :</w:t>
      </w:r>
      <w:r w:rsidRPr="00BA578C">
        <w:rPr>
          <w:lang w:bidi="fr-FR"/>
        </w:rPr>
        <w:t xml:space="preserve"> </w:t>
      </w:r>
    </w:p>
    <w:p w14:paraId="57B5949D" w14:textId="540CED7C" w:rsidR="00BA578C" w:rsidRPr="00BA578C" w:rsidRDefault="002D3243" w:rsidP="002D3243">
      <w:pPr>
        <w:pStyle w:val="SingleTxt"/>
        <w:tabs>
          <w:tab w:val="right" w:pos="1685"/>
        </w:tabs>
        <w:ind w:left="1742" w:hanging="475"/>
        <w:rPr>
          <w:lang w:val="fr-FR"/>
        </w:rPr>
      </w:pPr>
      <w:r w:rsidRPr="002D3243">
        <w:rPr>
          <w:lang w:bidi="fr-FR"/>
        </w:rPr>
        <w:tab/>
        <w:t>•</w:t>
      </w:r>
      <w:r w:rsidRPr="002D3243">
        <w:rPr>
          <w:lang w:bidi="fr-FR"/>
        </w:rPr>
        <w:tab/>
      </w:r>
      <w:r w:rsidR="00BA578C" w:rsidRPr="00BA578C">
        <w:rPr>
          <w:lang w:bidi="fr-FR"/>
        </w:rPr>
        <w:t>Accroître la participation des enfants et leur garantir une meilleure sécurité</w:t>
      </w:r>
      <w:r w:rsidR="00943120">
        <w:rPr>
          <w:lang w:bidi="fr-FR"/>
        </w:rPr>
        <w:t> ;</w:t>
      </w:r>
    </w:p>
    <w:p w14:paraId="6C132C97" w14:textId="7E20A935" w:rsidR="00BA578C" w:rsidRPr="00BA578C" w:rsidRDefault="002D3243" w:rsidP="002D3243">
      <w:pPr>
        <w:pStyle w:val="SingleTxt"/>
        <w:tabs>
          <w:tab w:val="right" w:pos="1685"/>
        </w:tabs>
        <w:ind w:left="1742" w:hanging="475"/>
        <w:rPr>
          <w:lang w:val="fr-FR"/>
        </w:rPr>
      </w:pPr>
      <w:r w:rsidRPr="002D3243">
        <w:rPr>
          <w:lang w:bidi="fr-FR"/>
        </w:rPr>
        <w:tab/>
        <w:t>•</w:t>
      </w:r>
      <w:r w:rsidRPr="002D3243">
        <w:rPr>
          <w:lang w:bidi="fr-FR"/>
        </w:rPr>
        <w:tab/>
      </w:r>
      <w:r w:rsidR="00BA578C" w:rsidRPr="00BA578C">
        <w:rPr>
          <w:lang w:bidi="fr-FR"/>
        </w:rPr>
        <w:t>Améliorer la reconnaissance de Te Ao Māori (la vision du monde des Maoris), mieux répondre à la diversité et prendre en considération le handicap de manière proactive</w:t>
      </w:r>
      <w:r w:rsidR="00943120">
        <w:rPr>
          <w:lang w:bidi="fr-FR"/>
        </w:rPr>
        <w:t> ;</w:t>
      </w:r>
      <w:r w:rsidR="00BA578C" w:rsidRPr="00BA578C">
        <w:rPr>
          <w:lang w:bidi="fr-FR"/>
        </w:rPr>
        <w:t xml:space="preserve"> </w:t>
      </w:r>
    </w:p>
    <w:p w14:paraId="36A289BA" w14:textId="251C8964" w:rsidR="00BA578C" w:rsidRPr="00BA578C" w:rsidRDefault="002D3243" w:rsidP="002D3243">
      <w:pPr>
        <w:pStyle w:val="SingleTxt"/>
        <w:tabs>
          <w:tab w:val="right" w:pos="1685"/>
        </w:tabs>
        <w:ind w:left="1742" w:hanging="475"/>
        <w:rPr>
          <w:lang w:val="fr-FR"/>
        </w:rPr>
      </w:pPr>
      <w:r w:rsidRPr="002D3243">
        <w:rPr>
          <w:lang w:bidi="fr-FR"/>
        </w:rPr>
        <w:tab/>
        <w:t>•</w:t>
      </w:r>
      <w:r w:rsidRPr="002D3243">
        <w:rPr>
          <w:lang w:bidi="fr-FR"/>
        </w:rPr>
        <w:tab/>
      </w:r>
      <w:r w:rsidR="00BA578C" w:rsidRPr="00BA578C">
        <w:rPr>
          <w:lang w:bidi="fr-FR"/>
        </w:rPr>
        <w:t>Établir deux nouveaux rôles afin de permettre au tribunal de la famille d</w:t>
      </w:r>
      <w:r w:rsidR="00943120">
        <w:rPr>
          <w:lang w:bidi="fr-FR"/>
        </w:rPr>
        <w:t>’</w:t>
      </w:r>
      <w:r w:rsidR="00BA578C" w:rsidRPr="00BA578C">
        <w:rPr>
          <w:lang w:bidi="fr-FR"/>
        </w:rPr>
        <w:t>être plus efficace</w:t>
      </w:r>
      <w:r w:rsidR="00943120">
        <w:rPr>
          <w:lang w:bidi="fr-FR"/>
        </w:rPr>
        <w:t> ;</w:t>
      </w:r>
      <w:r w:rsidR="00BA578C" w:rsidRPr="00BA578C">
        <w:rPr>
          <w:lang w:bidi="fr-FR"/>
        </w:rPr>
        <w:t xml:space="preserve"> </w:t>
      </w:r>
    </w:p>
    <w:p w14:paraId="148A7B91" w14:textId="1574A3A2" w:rsidR="00BA578C" w:rsidRPr="00BA578C" w:rsidRDefault="002D3243" w:rsidP="002D3243">
      <w:pPr>
        <w:pStyle w:val="SingleTxt"/>
        <w:tabs>
          <w:tab w:val="right" w:pos="1685"/>
        </w:tabs>
        <w:ind w:left="1742" w:hanging="475"/>
        <w:rPr>
          <w:lang w:val="fr-FR"/>
        </w:rPr>
      </w:pPr>
      <w:r w:rsidRPr="002D3243">
        <w:rPr>
          <w:lang w:bidi="fr-FR"/>
        </w:rPr>
        <w:tab/>
        <w:t>•</w:t>
      </w:r>
      <w:r w:rsidRPr="002D3243">
        <w:rPr>
          <w:lang w:bidi="fr-FR"/>
        </w:rPr>
        <w:tab/>
      </w:r>
      <w:r w:rsidR="00BA578C" w:rsidRPr="00BA578C">
        <w:rPr>
          <w:lang w:bidi="fr-FR"/>
        </w:rPr>
        <w:t>Financer entièrement et diversifier la résolution des conflits familiaux</w:t>
      </w:r>
      <w:r w:rsidR="00943120">
        <w:rPr>
          <w:lang w:bidi="fr-FR"/>
        </w:rPr>
        <w:t> ;</w:t>
      </w:r>
      <w:r w:rsidR="00BA578C" w:rsidRPr="00BA578C">
        <w:rPr>
          <w:lang w:bidi="fr-FR"/>
        </w:rPr>
        <w:t xml:space="preserve"> </w:t>
      </w:r>
    </w:p>
    <w:p w14:paraId="1FB318BC" w14:textId="07EB058B" w:rsidR="00BA578C" w:rsidRPr="00BA578C" w:rsidRDefault="002D3243" w:rsidP="002D3243">
      <w:pPr>
        <w:pStyle w:val="SingleTxt"/>
        <w:tabs>
          <w:tab w:val="right" w:pos="1685"/>
        </w:tabs>
        <w:ind w:left="1742" w:hanging="475"/>
        <w:rPr>
          <w:lang w:val="fr-FR"/>
        </w:rPr>
      </w:pPr>
      <w:r w:rsidRPr="002D3243">
        <w:rPr>
          <w:lang w:bidi="fr-FR"/>
        </w:rPr>
        <w:tab/>
        <w:t>•</w:t>
      </w:r>
      <w:r w:rsidRPr="002D3243">
        <w:rPr>
          <w:lang w:bidi="fr-FR"/>
        </w:rPr>
        <w:tab/>
      </w:r>
      <w:r w:rsidR="00BA578C" w:rsidRPr="00BA578C">
        <w:rPr>
          <w:lang w:bidi="fr-FR"/>
        </w:rPr>
        <w:t>Introduire des conseils financés en dehors du tribunal et rendre plus flexibles les conseils au tribunal</w:t>
      </w:r>
      <w:r w:rsidR="00943120">
        <w:rPr>
          <w:lang w:bidi="fr-FR"/>
        </w:rPr>
        <w:t> ;</w:t>
      </w:r>
      <w:r w:rsidR="00BA578C" w:rsidRPr="00BA578C">
        <w:rPr>
          <w:lang w:bidi="fr-FR"/>
        </w:rPr>
        <w:t xml:space="preserve"> </w:t>
      </w:r>
    </w:p>
    <w:p w14:paraId="34C89A79" w14:textId="6593BAC6" w:rsidR="00BA578C" w:rsidRPr="00BA578C" w:rsidRDefault="002D3243" w:rsidP="002D3243">
      <w:pPr>
        <w:pStyle w:val="SingleTxt"/>
        <w:tabs>
          <w:tab w:val="right" w:pos="1685"/>
        </w:tabs>
        <w:ind w:left="1742" w:hanging="475"/>
        <w:rPr>
          <w:lang w:val="fr-FR"/>
        </w:rPr>
      </w:pPr>
      <w:r w:rsidRPr="002D3243">
        <w:rPr>
          <w:lang w:bidi="fr-FR"/>
        </w:rPr>
        <w:tab/>
        <w:t>•</w:t>
      </w:r>
      <w:r w:rsidRPr="002D3243">
        <w:rPr>
          <w:lang w:bidi="fr-FR"/>
        </w:rPr>
        <w:tab/>
      </w:r>
      <w:r w:rsidR="00BA578C" w:rsidRPr="00BA578C">
        <w:rPr>
          <w:lang w:bidi="fr-FR"/>
        </w:rPr>
        <w:t>Autoriser la représentation juridique à toutes les étapes de la procédure prévue par la loi de 2004 sur la protection des enfants</w:t>
      </w:r>
      <w:r w:rsidR="00943120">
        <w:rPr>
          <w:lang w:bidi="fr-FR"/>
        </w:rPr>
        <w:t> ;</w:t>
      </w:r>
      <w:r w:rsidR="00BA578C" w:rsidRPr="00BA578C">
        <w:rPr>
          <w:lang w:bidi="fr-FR"/>
        </w:rPr>
        <w:t xml:space="preserve"> et</w:t>
      </w:r>
    </w:p>
    <w:p w14:paraId="0EDAD3F3" w14:textId="7EC611B7" w:rsidR="00BA578C" w:rsidRPr="00BA578C" w:rsidRDefault="002D3243" w:rsidP="002D3243">
      <w:pPr>
        <w:pStyle w:val="SingleTxt"/>
        <w:tabs>
          <w:tab w:val="right" w:pos="1685"/>
        </w:tabs>
        <w:ind w:left="1742" w:hanging="475"/>
        <w:rPr>
          <w:lang w:val="fr-FR"/>
        </w:rPr>
      </w:pPr>
      <w:r w:rsidRPr="002D3243">
        <w:rPr>
          <w:lang w:bidi="fr-FR"/>
        </w:rPr>
        <w:tab/>
        <w:t>•</w:t>
      </w:r>
      <w:r w:rsidRPr="002D3243">
        <w:rPr>
          <w:lang w:bidi="fr-FR"/>
        </w:rPr>
        <w:tab/>
      </w:r>
      <w:r w:rsidR="00BA578C" w:rsidRPr="00BA578C">
        <w:rPr>
          <w:lang w:bidi="fr-FR"/>
        </w:rPr>
        <w:t>Améliorer la technologie de gestion des affaires ainsi que la collecte et l</w:t>
      </w:r>
      <w:r w:rsidR="00943120">
        <w:rPr>
          <w:lang w:bidi="fr-FR"/>
        </w:rPr>
        <w:t>’</w:t>
      </w:r>
      <w:r w:rsidR="00BA578C" w:rsidRPr="00BA578C">
        <w:rPr>
          <w:lang w:bidi="fr-FR"/>
        </w:rPr>
        <w:t>évaluation des données.</w:t>
      </w:r>
    </w:p>
    <w:p w14:paraId="7C01C965" w14:textId="2FEC9CCC" w:rsidR="00BA578C" w:rsidRPr="00BA578C" w:rsidRDefault="00BA578C" w:rsidP="00943120">
      <w:pPr>
        <w:pStyle w:val="SingleTxt"/>
        <w:numPr>
          <w:ilvl w:val="0"/>
          <w:numId w:val="15"/>
        </w:numPr>
        <w:spacing w:line="240" w:lineRule="exact"/>
        <w:ind w:left="1267"/>
        <w:rPr>
          <w:lang w:val="fr-FR"/>
        </w:rPr>
      </w:pPr>
      <w:r w:rsidRPr="00BA578C">
        <w:rPr>
          <w:lang w:bidi="fr-FR"/>
        </w:rPr>
        <w:t>Le groupe d</w:t>
      </w:r>
      <w:r w:rsidR="00943120">
        <w:rPr>
          <w:lang w:bidi="fr-FR"/>
        </w:rPr>
        <w:t>’</w:t>
      </w:r>
      <w:r w:rsidRPr="00BA578C">
        <w:rPr>
          <w:lang w:bidi="fr-FR"/>
        </w:rPr>
        <w:t>experts a recensé les obstacles supplémentaires que les femmes peuvent rencontrer pour accéder au système de justice familiale et a noté que ces obstacles peuvent être plus marqués pour les Maoris, les femmes immigrantes, les femmes appartenant à des minorités ethniques, les femmes rurales et les femmes handicapées. Le groupe d</w:t>
      </w:r>
      <w:r w:rsidR="00943120">
        <w:rPr>
          <w:lang w:bidi="fr-FR"/>
        </w:rPr>
        <w:t>’</w:t>
      </w:r>
      <w:r w:rsidRPr="00BA578C">
        <w:rPr>
          <w:lang w:bidi="fr-FR"/>
        </w:rPr>
        <w:t>experts a recommandé de veiller à ce que les personnes à faibles revenus jouissent du même accès à la justice et ne soient pas victimes de discrimination. Par exemple, les femmes ont, en moyenne, moins de revenus et de richesse que les hommes, et cette inégalité s</w:t>
      </w:r>
      <w:r w:rsidR="00943120">
        <w:rPr>
          <w:lang w:bidi="fr-FR"/>
        </w:rPr>
        <w:t>’</w:t>
      </w:r>
      <w:r w:rsidRPr="00BA578C">
        <w:rPr>
          <w:lang w:bidi="fr-FR"/>
        </w:rPr>
        <w:t>accroît après la séparation. La disparité croissante entre les parties peut indiquer, par exemple, qu</w:t>
      </w:r>
      <w:r w:rsidR="00943120">
        <w:rPr>
          <w:lang w:bidi="fr-FR"/>
        </w:rPr>
        <w:t>’</w:t>
      </w:r>
      <w:r w:rsidRPr="00BA578C">
        <w:rPr>
          <w:lang w:bidi="fr-FR"/>
        </w:rPr>
        <w:t>une partie est en mesure de payer un avocat, mais pas l</w:t>
      </w:r>
      <w:r w:rsidR="00943120">
        <w:rPr>
          <w:lang w:bidi="fr-FR"/>
        </w:rPr>
        <w:t>’</w:t>
      </w:r>
      <w:r w:rsidRPr="00BA578C">
        <w:rPr>
          <w:lang w:bidi="fr-FR"/>
        </w:rPr>
        <w:t>autre.</w:t>
      </w:r>
    </w:p>
    <w:p w14:paraId="6B9829C4" w14:textId="5BA9E0A7" w:rsidR="00BA578C" w:rsidRPr="00BA578C" w:rsidRDefault="00BA578C" w:rsidP="00943120">
      <w:pPr>
        <w:pStyle w:val="SingleTxt"/>
        <w:numPr>
          <w:ilvl w:val="0"/>
          <w:numId w:val="15"/>
        </w:numPr>
        <w:spacing w:line="240" w:lineRule="exact"/>
        <w:ind w:left="1267"/>
        <w:rPr>
          <w:lang w:val="fr-FR"/>
        </w:rPr>
      </w:pPr>
      <w:r w:rsidRPr="00BA578C">
        <w:rPr>
          <w:lang w:bidi="fr-FR"/>
        </w:rPr>
        <w:t>Les violences sexuelle et familiale sont fortement liées au genre. Le groupe d</w:t>
      </w:r>
      <w:r w:rsidR="00943120">
        <w:rPr>
          <w:lang w:bidi="fr-FR"/>
        </w:rPr>
        <w:t>’</w:t>
      </w:r>
      <w:r w:rsidRPr="00BA578C">
        <w:rPr>
          <w:lang w:bidi="fr-FR"/>
        </w:rPr>
        <w:t>experts s</w:t>
      </w:r>
      <w:r w:rsidR="00943120">
        <w:rPr>
          <w:lang w:bidi="fr-FR"/>
        </w:rPr>
        <w:t>’</w:t>
      </w:r>
      <w:r w:rsidRPr="00BA578C">
        <w:rPr>
          <w:lang w:bidi="fr-FR"/>
        </w:rPr>
        <w:t>est dit préoccupé par le fait que la connaissance de la violence familiale sous toutes ses formes n</w:t>
      </w:r>
      <w:r w:rsidR="00943120">
        <w:rPr>
          <w:lang w:bidi="fr-FR"/>
        </w:rPr>
        <w:t>’</w:t>
      </w:r>
      <w:r w:rsidRPr="00BA578C">
        <w:rPr>
          <w:lang w:bidi="fr-FR"/>
        </w:rPr>
        <w:t xml:space="preserve">est pas encore très répandue. Le groupe a entendu que le personnel de la justice familiale ne tient pas compte des conséquences des traumatismes consécutifs à la violence et de leur incidence sur la façon dont les individus protègent les enfants en cas de conflits. </w:t>
      </w:r>
    </w:p>
    <w:p w14:paraId="47872AA1" w14:textId="49C6EDC5" w:rsidR="00BA578C" w:rsidRPr="00BA578C" w:rsidRDefault="00BA578C" w:rsidP="00943120">
      <w:pPr>
        <w:pStyle w:val="SingleTxt"/>
        <w:numPr>
          <w:ilvl w:val="0"/>
          <w:numId w:val="15"/>
        </w:numPr>
        <w:spacing w:line="240" w:lineRule="exact"/>
        <w:ind w:left="1267"/>
        <w:rPr>
          <w:lang w:val="fr-FR"/>
        </w:rPr>
      </w:pPr>
      <w:r w:rsidRPr="00BA578C">
        <w:rPr>
          <w:lang w:bidi="fr-FR"/>
        </w:rPr>
        <w:t>Le gouvernement a accueilli favorablement le rapport du groupe d</w:t>
      </w:r>
      <w:r w:rsidR="00943120">
        <w:rPr>
          <w:lang w:bidi="fr-FR"/>
        </w:rPr>
        <w:t>’</w:t>
      </w:r>
      <w:r w:rsidRPr="00BA578C">
        <w:rPr>
          <w:lang w:bidi="fr-FR"/>
        </w:rPr>
        <w:t>experts. Il a annoncé la première phase d</w:t>
      </w:r>
      <w:r w:rsidR="00943120">
        <w:rPr>
          <w:lang w:bidi="fr-FR"/>
        </w:rPr>
        <w:t>’</w:t>
      </w:r>
      <w:r w:rsidRPr="00BA578C">
        <w:rPr>
          <w:lang w:bidi="fr-FR"/>
        </w:rPr>
        <w:t>un vaste programme de travail à long terme visant à renforcer le système de justice familiale, grâce à un financement de 62,086 millions de dollars sur quatre ans en mai 2020. Cette première phase comprend</w:t>
      </w:r>
      <w:r w:rsidR="00943120">
        <w:rPr>
          <w:lang w:bidi="fr-FR"/>
        </w:rPr>
        <w:t> :</w:t>
      </w:r>
      <w:r w:rsidRPr="00BA578C">
        <w:rPr>
          <w:lang w:bidi="fr-FR"/>
        </w:rPr>
        <w:t xml:space="preserve"> </w:t>
      </w:r>
    </w:p>
    <w:p w14:paraId="277B4805" w14:textId="628FEAC2" w:rsidR="00BA578C" w:rsidRPr="00BA578C" w:rsidRDefault="00943120" w:rsidP="00943120">
      <w:pPr>
        <w:pStyle w:val="SingleTxt"/>
        <w:tabs>
          <w:tab w:val="right" w:pos="1685"/>
        </w:tabs>
        <w:ind w:left="1742" w:hanging="475"/>
        <w:rPr>
          <w:lang w:val="fr-FR"/>
        </w:rPr>
      </w:pPr>
      <w:r w:rsidRPr="00943120">
        <w:rPr>
          <w:lang w:bidi="fr-FR"/>
        </w:rPr>
        <w:tab/>
        <w:t>•</w:t>
      </w:r>
      <w:r w:rsidRPr="00943120">
        <w:rPr>
          <w:lang w:bidi="fr-FR"/>
        </w:rPr>
        <w:tab/>
      </w:r>
      <w:r w:rsidR="00BA578C" w:rsidRPr="00BA578C">
        <w:rPr>
          <w:lang w:bidi="fr-FR"/>
        </w:rPr>
        <w:t>La loi de 2020 sur le tribunal de la famille (soutien des familles devant le tribunal), qui, lorsqu</w:t>
      </w:r>
      <w:r>
        <w:rPr>
          <w:lang w:bidi="fr-FR"/>
        </w:rPr>
        <w:t>’</w:t>
      </w:r>
      <w:r w:rsidR="00BA578C" w:rsidRPr="00BA578C">
        <w:rPr>
          <w:lang w:bidi="fr-FR"/>
        </w:rPr>
        <w:t>elle entrera en vigueur le 1</w:t>
      </w:r>
      <w:r w:rsidR="00BA578C" w:rsidRPr="00BA578C">
        <w:rPr>
          <w:vertAlign w:val="superscript"/>
          <w:lang w:bidi="fr-FR"/>
        </w:rPr>
        <w:t>er </w:t>
      </w:r>
      <w:r w:rsidR="00BA578C" w:rsidRPr="00BA578C">
        <w:rPr>
          <w:lang w:bidi="fr-FR"/>
        </w:rPr>
        <w:t>juillet 2020, rétablira la représentation juridique dans les premières étapes des procédures de la loi sur la protection des enfants, avec une aide juridique pour les parties admissibles</w:t>
      </w:r>
      <w:r>
        <w:rPr>
          <w:lang w:bidi="fr-FR"/>
        </w:rPr>
        <w:t> ;</w:t>
      </w:r>
      <w:r w:rsidR="00BA578C" w:rsidRPr="00BA578C">
        <w:rPr>
          <w:lang w:bidi="fr-FR"/>
        </w:rPr>
        <w:t xml:space="preserve"> </w:t>
      </w:r>
    </w:p>
    <w:p w14:paraId="3F86A003" w14:textId="1ED63ECD" w:rsidR="00BA578C" w:rsidRPr="00BA578C" w:rsidRDefault="00943120" w:rsidP="00943120">
      <w:pPr>
        <w:pStyle w:val="SingleTxt"/>
        <w:tabs>
          <w:tab w:val="right" w:pos="1685"/>
        </w:tabs>
        <w:ind w:left="1742" w:hanging="475"/>
        <w:rPr>
          <w:lang w:val="fr-FR"/>
        </w:rPr>
      </w:pPr>
      <w:r w:rsidRPr="00943120">
        <w:rPr>
          <w:lang w:bidi="fr-FR"/>
        </w:rPr>
        <w:tab/>
        <w:t>•</w:t>
      </w:r>
      <w:r w:rsidRPr="00943120">
        <w:rPr>
          <w:lang w:bidi="fr-FR"/>
        </w:rPr>
        <w:tab/>
      </w:r>
      <w:r w:rsidR="00BA578C" w:rsidRPr="00BA578C">
        <w:rPr>
          <w:lang w:bidi="fr-FR"/>
        </w:rPr>
        <w:t>La création du rôle d</w:t>
      </w:r>
      <w:r>
        <w:rPr>
          <w:lang w:bidi="fr-FR"/>
        </w:rPr>
        <w:t>’</w:t>
      </w:r>
      <w:r w:rsidR="00BA578C" w:rsidRPr="00BA578C">
        <w:rPr>
          <w:lang w:bidi="fr-FR"/>
        </w:rPr>
        <w:t xml:space="preserve">agent(e) de liaison en matière de justice familiale pour aider les parents et le whanau à se frayer un chemin au travers du système, à </w:t>
      </w:r>
      <w:r w:rsidR="00BA578C" w:rsidRPr="00BA578C">
        <w:rPr>
          <w:lang w:bidi="fr-FR"/>
        </w:rPr>
        <w:lastRenderedPageBreak/>
        <w:t>fournir des informations sur la procédure et à s</w:t>
      </w:r>
      <w:r>
        <w:rPr>
          <w:lang w:bidi="fr-FR"/>
        </w:rPr>
        <w:t>’</w:t>
      </w:r>
      <w:r w:rsidR="00BA578C" w:rsidRPr="00BA578C">
        <w:rPr>
          <w:lang w:bidi="fr-FR"/>
        </w:rPr>
        <w:t>engager avec les prestataires de justice familiale</w:t>
      </w:r>
      <w:r>
        <w:rPr>
          <w:lang w:bidi="fr-FR"/>
        </w:rPr>
        <w:t> ;</w:t>
      </w:r>
      <w:r w:rsidR="00BA578C" w:rsidRPr="00BA578C">
        <w:rPr>
          <w:lang w:bidi="fr-FR"/>
        </w:rPr>
        <w:t xml:space="preserve"> </w:t>
      </w:r>
    </w:p>
    <w:p w14:paraId="2AB575C6" w14:textId="7898E564" w:rsidR="00BA578C" w:rsidRPr="00BA578C" w:rsidRDefault="00943120" w:rsidP="00943120">
      <w:pPr>
        <w:pStyle w:val="SingleTxt"/>
        <w:tabs>
          <w:tab w:val="right" w:pos="1685"/>
        </w:tabs>
        <w:ind w:left="1742" w:hanging="475"/>
        <w:rPr>
          <w:lang w:val="fr-FR"/>
        </w:rPr>
      </w:pPr>
      <w:r w:rsidRPr="00943120">
        <w:rPr>
          <w:lang w:bidi="fr-FR"/>
        </w:rPr>
        <w:tab/>
        <w:t>•</w:t>
      </w:r>
      <w:r w:rsidRPr="00943120">
        <w:rPr>
          <w:lang w:bidi="fr-FR"/>
        </w:rPr>
        <w:tab/>
      </w:r>
      <w:r w:rsidR="00BA578C" w:rsidRPr="00BA578C">
        <w:rPr>
          <w:lang w:bidi="fr-FR"/>
        </w:rPr>
        <w:t>Le développement d</w:t>
      </w:r>
      <w:r>
        <w:rPr>
          <w:lang w:bidi="fr-FR"/>
        </w:rPr>
        <w:t>’</w:t>
      </w:r>
      <w:r w:rsidR="00BA578C" w:rsidRPr="00BA578C">
        <w:rPr>
          <w:lang w:bidi="fr-FR"/>
        </w:rPr>
        <w:t>informations de qualité et accessibles aux enfants, aux parents et au whanau</w:t>
      </w:r>
      <w:r w:rsidR="004A7ACD">
        <w:rPr>
          <w:lang w:bidi="fr-FR"/>
        </w:rPr>
        <w:t> ;</w:t>
      </w:r>
      <w:r w:rsidR="00BA578C" w:rsidRPr="00BA578C">
        <w:rPr>
          <w:lang w:bidi="fr-FR"/>
        </w:rPr>
        <w:t xml:space="preserve"> et</w:t>
      </w:r>
    </w:p>
    <w:p w14:paraId="0E73E8E0" w14:textId="6C189E3F" w:rsidR="00BA578C" w:rsidRPr="00BA578C" w:rsidRDefault="00943120" w:rsidP="00943120">
      <w:pPr>
        <w:pStyle w:val="SingleTxt"/>
        <w:tabs>
          <w:tab w:val="right" w:pos="1685"/>
        </w:tabs>
        <w:ind w:left="1742" w:hanging="475"/>
        <w:rPr>
          <w:lang w:val="fr-FR"/>
        </w:rPr>
      </w:pPr>
      <w:r w:rsidRPr="00943120">
        <w:rPr>
          <w:lang w:bidi="fr-FR"/>
        </w:rPr>
        <w:tab/>
        <w:t>•</w:t>
      </w:r>
      <w:r w:rsidRPr="00943120">
        <w:rPr>
          <w:lang w:bidi="fr-FR"/>
        </w:rPr>
        <w:tab/>
      </w:r>
      <w:r w:rsidR="00BA578C" w:rsidRPr="00BA578C">
        <w:rPr>
          <w:lang w:bidi="fr-FR"/>
        </w:rPr>
        <w:t>L</w:t>
      </w:r>
      <w:r>
        <w:rPr>
          <w:lang w:bidi="fr-FR"/>
        </w:rPr>
        <w:t>’</w:t>
      </w:r>
      <w:r w:rsidR="00BA578C" w:rsidRPr="00BA578C">
        <w:rPr>
          <w:lang w:bidi="fr-FR"/>
        </w:rPr>
        <w:t>augmentation de la rémunération des avocats pour enfants afin d</w:t>
      </w:r>
      <w:r>
        <w:rPr>
          <w:lang w:bidi="fr-FR"/>
        </w:rPr>
        <w:t>’</w:t>
      </w:r>
      <w:r w:rsidR="00BA578C" w:rsidRPr="00BA578C">
        <w:rPr>
          <w:lang w:bidi="fr-FR"/>
        </w:rPr>
        <w:t xml:space="preserve">encourager le recrutement et le maintien de praticiens qualifiés. </w:t>
      </w:r>
    </w:p>
    <w:p w14:paraId="0FB998D8" w14:textId="47D414FF" w:rsidR="00BA578C" w:rsidRPr="00BA578C" w:rsidRDefault="00BA578C" w:rsidP="00943120">
      <w:pPr>
        <w:pStyle w:val="SingleTxt"/>
        <w:numPr>
          <w:ilvl w:val="0"/>
          <w:numId w:val="15"/>
        </w:numPr>
        <w:spacing w:line="240" w:lineRule="exact"/>
        <w:ind w:left="1267"/>
        <w:rPr>
          <w:lang w:val="fr-FR"/>
        </w:rPr>
      </w:pPr>
      <w:r w:rsidRPr="00BA578C">
        <w:rPr>
          <w:szCs w:val="20"/>
          <w:lang w:bidi="fr-FR"/>
        </w:rPr>
        <w:t>Il</w:t>
      </w:r>
      <w:r w:rsidRPr="00BA578C">
        <w:rPr>
          <w:lang w:bidi="fr-FR"/>
        </w:rPr>
        <w:t xml:space="preserve"> est prévu qu</w:t>
      </w:r>
      <w:r w:rsidR="00943120">
        <w:rPr>
          <w:lang w:bidi="fr-FR"/>
        </w:rPr>
        <w:t>’</w:t>
      </w:r>
      <w:r w:rsidRPr="00BA578C">
        <w:rPr>
          <w:lang w:bidi="fr-FR"/>
        </w:rPr>
        <w:t>un deuxième projet de loi visant à renforcer le tribunal de la famille suivra plus tard dans l</w:t>
      </w:r>
      <w:r w:rsidR="00943120">
        <w:rPr>
          <w:lang w:bidi="fr-FR"/>
        </w:rPr>
        <w:t>’</w:t>
      </w:r>
      <w:r w:rsidRPr="00BA578C">
        <w:rPr>
          <w:lang w:bidi="fr-FR"/>
        </w:rPr>
        <w:t>année, qui</w:t>
      </w:r>
      <w:r w:rsidR="00943120">
        <w:rPr>
          <w:lang w:bidi="fr-FR"/>
        </w:rPr>
        <w:t> :</w:t>
      </w:r>
    </w:p>
    <w:p w14:paraId="5E29442C" w14:textId="5A2A406B" w:rsidR="00BA578C" w:rsidRPr="00BA578C" w:rsidRDefault="00943120" w:rsidP="00943120">
      <w:pPr>
        <w:pStyle w:val="SingleTxt"/>
        <w:tabs>
          <w:tab w:val="right" w:pos="1685"/>
        </w:tabs>
        <w:ind w:left="1742" w:hanging="475"/>
        <w:rPr>
          <w:lang w:val="fr-FR"/>
        </w:rPr>
      </w:pPr>
      <w:r w:rsidRPr="00943120">
        <w:rPr>
          <w:lang w:bidi="fr-FR"/>
        </w:rPr>
        <w:tab/>
        <w:t>•</w:t>
      </w:r>
      <w:r w:rsidRPr="00943120">
        <w:rPr>
          <w:lang w:bidi="fr-FR"/>
        </w:rPr>
        <w:tab/>
      </w:r>
      <w:r w:rsidR="00BA578C" w:rsidRPr="00BA578C">
        <w:rPr>
          <w:lang w:bidi="fr-FR"/>
        </w:rPr>
        <w:t>Augmentera le taux de participation des enfants aux procédures qui les concernent</w:t>
      </w:r>
      <w:r>
        <w:rPr>
          <w:lang w:bidi="fr-FR"/>
        </w:rPr>
        <w:t> ;</w:t>
      </w:r>
    </w:p>
    <w:p w14:paraId="7029448B" w14:textId="7BEBE2C9" w:rsidR="00BA578C" w:rsidRPr="00BA578C" w:rsidRDefault="00943120" w:rsidP="00943120">
      <w:pPr>
        <w:pStyle w:val="SingleTxt"/>
        <w:tabs>
          <w:tab w:val="right" w:pos="1685"/>
        </w:tabs>
        <w:ind w:left="1742" w:hanging="475"/>
        <w:rPr>
          <w:lang w:val="fr-FR"/>
        </w:rPr>
      </w:pPr>
      <w:r w:rsidRPr="00943120">
        <w:rPr>
          <w:lang w:bidi="fr-FR"/>
        </w:rPr>
        <w:tab/>
        <w:t>•</w:t>
      </w:r>
      <w:r w:rsidRPr="00943120">
        <w:rPr>
          <w:lang w:bidi="fr-FR"/>
        </w:rPr>
        <w:tab/>
      </w:r>
      <w:r w:rsidR="00BA578C" w:rsidRPr="00BA578C">
        <w:rPr>
          <w:lang w:bidi="fr-FR"/>
        </w:rPr>
        <w:t>Veillera à ce que les enfants se sentent soutenus et informés tout au long de la procédure devant le tribunal de la famille</w:t>
      </w:r>
      <w:r>
        <w:rPr>
          <w:lang w:bidi="fr-FR"/>
        </w:rPr>
        <w:t> ;</w:t>
      </w:r>
    </w:p>
    <w:p w14:paraId="7A376C4C" w14:textId="6DB070C0" w:rsidR="00BA578C" w:rsidRPr="00BA578C" w:rsidRDefault="00943120" w:rsidP="00943120">
      <w:pPr>
        <w:pStyle w:val="SingleTxt"/>
        <w:tabs>
          <w:tab w:val="right" w:pos="1685"/>
        </w:tabs>
        <w:ind w:left="1742" w:hanging="475"/>
        <w:rPr>
          <w:lang w:val="fr-FR"/>
        </w:rPr>
      </w:pPr>
      <w:r w:rsidRPr="00943120">
        <w:rPr>
          <w:lang w:bidi="fr-FR"/>
        </w:rPr>
        <w:tab/>
        <w:t>•</w:t>
      </w:r>
      <w:r w:rsidRPr="00943120">
        <w:rPr>
          <w:lang w:bidi="fr-FR"/>
        </w:rPr>
        <w:tab/>
      </w:r>
      <w:r w:rsidR="00BA578C" w:rsidRPr="00BA578C">
        <w:rPr>
          <w:lang w:bidi="fr-FR"/>
        </w:rPr>
        <w:t>Étendra les obligations des avocats dans les procédures de protection des enfants</w:t>
      </w:r>
      <w:r>
        <w:rPr>
          <w:lang w:bidi="fr-FR"/>
        </w:rPr>
        <w:t> ;</w:t>
      </w:r>
      <w:r w:rsidR="00BA578C" w:rsidRPr="00BA578C">
        <w:rPr>
          <w:lang w:bidi="fr-FR"/>
        </w:rPr>
        <w:t xml:space="preserve"> et</w:t>
      </w:r>
    </w:p>
    <w:p w14:paraId="3B429DB7" w14:textId="21226DC7" w:rsidR="00BA578C" w:rsidRPr="00BA578C" w:rsidRDefault="00943120" w:rsidP="00943120">
      <w:pPr>
        <w:pStyle w:val="SingleTxt"/>
        <w:tabs>
          <w:tab w:val="right" w:pos="1685"/>
        </w:tabs>
        <w:ind w:left="1742" w:hanging="475"/>
        <w:rPr>
          <w:lang w:val="fr-FR"/>
        </w:rPr>
      </w:pPr>
      <w:r w:rsidRPr="00943120">
        <w:rPr>
          <w:lang w:bidi="fr-FR"/>
        </w:rPr>
        <w:tab/>
        <w:t>•</w:t>
      </w:r>
      <w:r w:rsidRPr="00943120">
        <w:rPr>
          <w:lang w:bidi="fr-FR"/>
        </w:rPr>
        <w:tab/>
      </w:r>
      <w:r w:rsidR="00BA578C" w:rsidRPr="00BA578C">
        <w:rPr>
          <w:lang w:bidi="fr-FR"/>
        </w:rPr>
        <w:t xml:space="preserve">Renforcera les attentes selon lesquelles les personnes doivent être protégées contre la violence familiale. </w:t>
      </w:r>
    </w:p>
    <w:p w14:paraId="5D0C21FC" w14:textId="4DA195DD" w:rsidR="00A9139F" w:rsidRDefault="00BA578C" w:rsidP="00943120">
      <w:pPr>
        <w:pStyle w:val="SingleTxt"/>
        <w:numPr>
          <w:ilvl w:val="0"/>
          <w:numId w:val="15"/>
        </w:numPr>
        <w:spacing w:line="240" w:lineRule="exact"/>
        <w:ind w:left="1267"/>
      </w:pPr>
      <w:r w:rsidRPr="00BA578C">
        <w:rPr>
          <w:lang w:bidi="fr-FR"/>
        </w:rPr>
        <w:t>Combinés, ces changements contribueront à garantir que les familles et le whanau bénéficient d</w:t>
      </w:r>
      <w:r w:rsidR="00943120">
        <w:rPr>
          <w:lang w:bidi="fr-FR"/>
        </w:rPr>
        <w:t>’</w:t>
      </w:r>
      <w:r w:rsidRPr="00BA578C">
        <w:rPr>
          <w:lang w:bidi="fr-FR"/>
        </w:rPr>
        <w:t>un soutien adéquat grâce à des conseils et des informations juridiques fournis dès le début, que la participation des enfants soit renforcée, que les devoirs des avocats soient élargis en matière de protection des enfants et que la compréhension de la dynamique de la violence familiale, telle qu</w:t>
      </w:r>
      <w:r w:rsidR="00943120">
        <w:rPr>
          <w:lang w:bidi="fr-FR"/>
        </w:rPr>
        <w:t>’</w:t>
      </w:r>
      <w:r w:rsidRPr="00BA578C">
        <w:rPr>
          <w:lang w:bidi="fr-FR"/>
        </w:rPr>
        <w:t>elle est définie dans l</w:t>
      </w:r>
      <w:r w:rsidR="00943120">
        <w:rPr>
          <w:lang w:bidi="fr-FR"/>
        </w:rPr>
        <w:t>’</w:t>
      </w:r>
      <w:r w:rsidRPr="00BA578C">
        <w:rPr>
          <w:lang w:bidi="fr-FR"/>
        </w:rPr>
        <w:t>objectif de la loi sur la violence familiale, soit explicitement appliquée dans les affaires portant sur des enfants exposés à ce type de violence ou victimes de celle-ci. Ils visent également à réduire le niveau de retard dans la résolution des questions devant le tribunal de la famille, qui a été accentué par la pandémie de COVID-19.</w:t>
      </w:r>
    </w:p>
    <w:p w14:paraId="3D4DE5F3" w14:textId="49D60241" w:rsidR="00943120" w:rsidRPr="00943120" w:rsidRDefault="00943120" w:rsidP="00943120">
      <w:pPr>
        <w:pStyle w:val="SingleTxt"/>
        <w:spacing w:after="0" w:line="240" w:lineRule="auto"/>
      </w:pPr>
      <w:r>
        <w:rPr>
          <w:noProof/>
          <w:w w:val="100"/>
        </w:rPr>
        <mc:AlternateContent>
          <mc:Choice Requires="wps">
            <w:drawing>
              <wp:anchor distT="0" distB="0" distL="114300" distR="114300" simplePos="0" relativeHeight="251660288" behindDoc="0" locked="0" layoutInCell="1" allowOverlap="1" wp14:anchorId="32214B9C" wp14:editId="02C1BA06">
                <wp:simplePos x="0" y="0"/>
                <wp:positionH relativeFrom="page">
                  <wp:posOffset>3429000</wp:posOffset>
                </wp:positionH>
                <wp:positionV relativeFrom="paragraph">
                  <wp:posOffset>304800</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870A7B" id="Straight Connector 8"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" strokecolor="#010000" strokeweight=".25pt">
                <v:stroke joinstyle="miter"/>
                <w10:wrap anchorx="page"/>
              </v:line>
            </w:pict>
          </mc:Fallback>
        </mc:AlternateContent>
      </w:r>
    </w:p>
    <w:sectPr w:rsidR="00943120" w:rsidRPr="00943120" w:rsidSect="00BA578C">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0-09-16T09:23:00Z" w:initials="Start">
    <w:p w14:paraId="1BF3102E" w14:textId="77777777" w:rsidR="00A9139F" w:rsidRPr="00BA578C" w:rsidRDefault="00A9139F">
      <w:pPr>
        <w:pStyle w:val="CommentText"/>
        <w:rPr>
          <w:lang w:val="en-US"/>
        </w:rPr>
      </w:pPr>
      <w:r>
        <w:rPr>
          <w:rStyle w:val="CommentReference"/>
        </w:rPr>
        <w:annotationRef/>
      </w:r>
      <w:r w:rsidRPr="00BA578C">
        <w:rPr>
          <w:lang w:val="en-US"/>
        </w:rPr>
        <w:t>&lt;&lt;ODS JOB NO&gt;&gt;N2021533F&lt;&lt;ODS JOB NO&gt;&gt;</w:t>
      </w:r>
    </w:p>
    <w:p w14:paraId="56C08615" w14:textId="77777777" w:rsidR="00A9139F" w:rsidRDefault="00A9139F">
      <w:pPr>
        <w:pStyle w:val="CommentText"/>
      </w:pPr>
      <w:r>
        <w:t>&lt;&lt;ODS DOC SYMBOL1&gt;&gt;CEDAW/C/NZL/FCO/8&lt;&lt;ODS DOC SYMBOL1&gt;&gt;</w:t>
      </w:r>
    </w:p>
    <w:p w14:paraId="32E4B782" w14:textId="77777777" w:rsidR="00A9139F" w:rsidRDefault="00A9139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E4B7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E4B782" w16cid:durableId="230C58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E0DAA" w14:textId="77777777" w:rsidR="00A9139F" w:rsidRDefault="00A9139F" w:rsidP="00A9139F">
      <w:pPr>
        <w:spacing w:line="240" w:lineRule="auto"/>
      </w:pPr>
      <w:r>
        <w:separator/>
      </w:r>
    </w:p>
  </w:endnote>
  <w:endnote w:type="continuationSeparator" w:id="0">
    <w:p w14:paraId="799165CD" w14:textId="77777777" w:rsidR="00A9139F" w:rsidRDefault="00A9139F" w:rsidP="00A913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9139F" w14:paraId="192FD8C7" w14:textId="77777777" w:rsidTr="00A9139F">
      <w:tc>
        <w:tcPr>
          <w:tcW w:w="4920" w:type="dxa"/>
          <w:shd w:val="clear" w:color="auto" w:fill="auto"/>
        </w:tcPr>
        <w:p w14:paraId="6E7A6C87" w14:textId="1E89FB74" w:rsidR="00A9139F" w:rsidRPr="00A9139F" w:rsidRDefault="00A9139F" w:rsidP="00A9139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63DF2">
            <w:rPr>
              <w:b w:val="0"/>
              <w:w w:val="103"/>
              <w:sz w:val="14"/>
            </w:rPr>
            <w:t>20-10886</w:t>
          </w:r>
          <w:r>
            <w:rPr>
              <w:b w:val="0"/>
              <w:w w:val="103"/>
              <w:sz w:val="14"/>
            </w:rPr>
            <w:fldChar w:fldCharType="end"/>
          </w:r>
        </w:p>
      </w:tc>
      <w:tc>
        <w:tcPr>
          <w:tcW w:w="4920" w:type="dxa"/>
          <w:shd w:val="clear" w:color="auto" w:fill="auto"/>
        </w:tcPr>
        <w:p w14:paraId="69A27A04" w14:textId="77777777" w:rsidR="00A9139F" w:rsidRPr="00A9139F" w:rsidRDefault="00A9139F" w:rsidP="00A9139F">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B9BFE4B" w14:textId="77777777" w:rsidR="00A9139F" w:rsidRPr="00A9139F" w:rsidRDefault="00A9139F" w:rsidP="00A91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9139F" w14:paraId="6F4EA31C" w14:textId="77777777" w:rsidTr="00A9139F">
      <w:tc>
        <w:tcPr>
          <w:tcW w:w="4920" w:type="dxa"/>
          <w:shd w:val="clear" w:color="auto" w:fill="auto"/>
        </w:tcPr>
        <w:p w14:paraId="209122C9" w14:textId="77777777" w:rsidR="00A9139F" w:rsidRPr="00A9139F" w:rsidRDefault="00A9139F" w:rsidP="00A9139F">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7AF049DD" w14:textId="0ECE99C8" w:rsidR="00A9139F" w:rsidRPr="00A9139F" w:rsidRDefault="00A9139F" w:rsidP="00A9139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63DF2">
            <w:rPr>
              <w:b w:val="0"/>
              <w:w w:val="103"/>
              <w:sz w:val="14"/>
            </w:rPr>
            <w:t>20-10886</w:t>
          </w:r>
          <w:r>
            <w:rPr>
              <w:b w:val="0"/>
              <w:w w:val="103"/>
              <w:sz w:val="14"/>
            </w:rPr>
            <w:fldChar w:fldCharType="end"/>
          </w:r>
        </w:p>
      </w:tc>
    </w:tr>
  </w:tbl>
  <w:p w14:paraId="36D464E1" w14:textId="77777777" w:rsidR="00A9139F" w:rsidRPr="00A9139F" w:rsidRDefault="00A9139F" w:rsidP="00A913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E68E6" w14:textId="77777777" w:rsidR="00A9139F" w:rsidRDefault="00A9139F">
    <w:pPr>
      <w:pStyle w:val="Footer"/>
    </w:pPr>
    <w:r>
      <w:rPr>
        <w:noProof/>
      </w:rPr>
      <w:drawing>
        <wp:anchor distT="0" distB="0" distL="114300" distR="114300" simplePos="0" relativeHeight="251658240" behindDoc="0" locked="0" layoutInCell="1" allowOverlap="1" wp14:anchorId="1A7DB517" wp14:editId="6398E615">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A9139F" w14:paraId="3C1803AE" w14:textId="77777777" w:rsidTr="00A9139F">
      <w:tc>
        <w:tcPr>
          <w:tcW w:w="3758" w:type="dxa"/>
        </w:tcPr>
        <w:p w14:paraId="04AAF655" w14:textId="7F2EE9B7" w:rsidR="00A9139F" w:rsidRDefault="0060046C" w:rsidP="00A9139F">
          <w:pPr>
            <w:pStyle w:val="Footer"/>
            <w:rPr>
              <w:b w:val="0"/>
              <w:sz w:val="20"/>
            </w:rPr>
          </w:pPr>
          <w:r>
            <w:rPr>
              <w:b w:val="0"/>
              <w:sz w:val="20"/>
            </w:rPr>
            <w:t>20-10886X</w:t>
          </w:r>
        </w:p>
        <w:p w14:paraId="2DB8C5E4" w14:textId="1F92CC84" w:rsidR="00A9139F" w:rsidRPr="00A9139F" w:rsidRDefault="00A9139F" w:rsidP="00A9139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B63DF2">
            <w:rPr>
              <w:rFonts w:ascii="Barcode 3 of 9 by request" w:hAnsi="Barcode 3 of 9 by request"/>
              <w:spacing w:val="0"/>
              <w:w w:val="100"/>
              <w:sz w:val="24"/>
            </w:rPr>
            <w:t>*2010886*</w:t>
          </w:r>
          <w:r>
            <w:rPr>
              <w:rFonts w:ascii="Barcode 3 of 9 by request" w:hAnsi="Barcode 3 of 9 by request"/>
              <w:spacing w:val="0"/>
              <w:w w:val="100"/>
              <w:sz w:val="24"/>
            </w:rPr>
            <w:fldChar w:fldCharType="end"/>
          </w:r>
        </w:p>
      </w:tc>
      <w:tc>
        <w:tcPr>
          <w:tcW w:w="4920" w:type="dxa"/>
        </w:tcPr>
        <w:p w14:paraId="248C7959" w14:textId="77777777" w:rsidR="00A9139F" w:rsidRDefault="00A9139F" w:rsidP="00A9139F">
          <w:pPr>
            <w:pStyle w:val="Footer"/>
            <w:spacing w:line="240" w:lineRule="atLeast"/>
            <w:jc w:val="right"/>
            <w:rPr>
              <w:b w:val="0"/>
              <w:sz w:val="20"/>
            </w:rPr>
          </w:pPr>
          <w:r>
            <w:rPr>
              <w:b w:val="0"/>
              <w:noProof/>
              <w:sz w:val="20"/>
            </w:rPr>
            <w:drawing>
              <wp:inline distT="0" distB="0" distL="0" distR="0" wp14:anchorId="7BBF8C57" wp14:editId="7E77E83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0051F478" w14:textId="77777777" w:rsidR="00A9139F" w:rsidRPr="00A9139F" w:rsidRDefault="00A9139F" w:rsidP="00A9139F">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5C572" w14:textId="457CD624" w:rsidR="00A9139F" w:rsidRPr="002D3243" w:rsidRDefault="002D3243" w:rsidP="002D3243">
      <w:pPr>
        <w:pStyle w:val="Footer"/>
        <w:spacing w:after="80"/>
        <w:ind w:left="792"/>
        <w:rPr>
          <w:sz w:val="16"/>
        </w:rPr>
      </w:pPr>
      <w:r w:rsidRPr="002D3243">
        <w:rPr>
          <w:sz w:val="16"/>
        </w:rPr>
        <w:t>__________________</w:t>
      </w:r>
    </w:p>
  </w:footnote>
  <w:footnote w:type="continuationSeparator" w:id="0">
    <w:p w14:paraId="5201F11C" w14:textId="0B9317B1" w:rsidR="00A9139F" w:rsidRPr="002D3243" w:rsidRDefault="002D3243" w:rsidP="002D3243">
      <w:pPr>
        <w:pStyle w:val="Footer"/>
        <w:spacing w:after="80"/>
        <w:ind w:left="792"/>
        <w:rPr>
          <w:sz w:val="16"/>
        </w:rPr>
      </w:pPr>
      <w:r w:rsidRPr="002D3243">
        <w:rPr>
          <w:sz w:val="16"/>
        </w:rPr>
        <w:t>__________________</w:t>
      </w:r>
    </w:p>
  </w:footnote>
  <w:footnote w:id="1">
    <w:p w14:paraId="7BBA3961" w14:textId="40C2CD4D" w:rsidR="00BA578C" w:rsidRPr="002D3243" w:rsidRDefault="00BA578C" w:rsidP="002D3243">
      <w:pPr>
        <w:pStyle w:val="FootnoteText"/>
        <w:tabs>
          <w:tab w:val="right" w:pos="1195"/>
          <w:tab w:val="left" w:pos="1267"/>
          <w:tab w:val="left" w:pos="1742"/>
          <w:tab w:val="left" w:pos="2218"/>
          <w:tab w:val="left" w:pos="2693"/>
        </w:tabs>
        <w:ind w:left="1267" w:right="1260" w:hanging="576"/>
        <w:rPr>
          <w:lang w:val="fr-FR"/>
        </w:rPr>
      </w:pPr>
      <w:r>
        <w:rPr>
          <w:lang w:bidi="fr-FR"/>
        </w:rPr>
        <w:tab/>
      </w:r>
      <w:r w:rsidRPr="002D3243">
        <w:rPr>
          <w:rStyle w:val="FootnoteReference"/>
          <w:spacing w:val="4"/>
          <w:lang w:bidi="fr-FR"/>
        </w:rPr>
        <w:footnoteRef/>
      </w:r>
      <w:r w:rsidRPr="002D3243">
        <w:rPr>
          <w:lang w:bidi="fr-FR"/>
        </w:rPr>
        <w:tab/>
      </w:r>
      <w:hyperlink r:id="rId1" w:history="1">
        <w:r w:rsidRPr="002D3243">
          <w:rPr>
            <w:rStyle w:val="Hyperlink"/>
            <w:lang w:bidi="fr-FR"/>
          </w:rPr>
          <w:t>https://www.justice.govt.nz/assets/Documents/Publications/sf79dq-Sexual-violence-victimisations-attrition-and-progression-report-v1.0.pdf</w:t>
        </w:r>
      </w:hyperlink>
      <w:r w:rsidRPr="002D3243">
        <w:rPr>
          <w:lang w:bidi="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9139F" w14:paraId="4CFCFE6E" w14:textId="77777777" w:rsidTr="00A9139F">
      <w:trPr>
        <w:trHeight w:hRule="exact" w:val="864"/>
      </w:trPr>
      <w:tc>
        <w:tcPr>
          <w:tcW w:w="4920" w:type="dxa"/>
          <w:shd w:val="clear" w:color="auto" w:fill="auto"/>
          <w:vAlign w:val="bottom"/>
        </w:tcPr>
        <w:p w14:paraId="1937EFE2" w14:textId="7242F166" w:rsidR="00A9139F" w:rsidRPr="00A9139F" w:rsidRDefault="00A9139F" w:rsidP="00A9139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63DF2">
            <w:rPr>
              <w:b/>
              <w:color w:val="000000"/>
            </w:rPr>
            <w:t>CEDAW/C/NZL/FCO/8</w:t>
          </w:r>
          <w:r>
            <w:rPr>
              <w:b/>
              <w:color w:val="000000"/>
            </w:rPr>
            <w:fldChar w:fldCharType="end"/>
          </w:r>
        </w:p>
      </w:tc>
      <w:tc>
        <w:tcPr>
          <w:tcW w:w="4920" w:type="dxa"/>
          <w:shd w:val="clear" w:color="auto" w:fill="auto"/>
          <w:vAlign w:val="bottom"/>
        </w:tcPr>
        <w:p w14:paraId="11FA5E36" w14:textId="77777777" w:rsidR="00A9139F" w:rsidRDefault="00A9139F" w:rsidP="00A9139F">
          <w:pPr>
            <w:pStyle w:val="Header"/>
          </w:pPr>
        </w:p>
      </w:tc>
    </w:tr>
  </w:tbl>
  <w:p w14:paraId="20B9A05F" w14:textId="77777777" w:rsidR="00A9139F" w:rsidRPr="00A9139F" w:rsidRDefault="00A9139F" w:rsidP="00A9139F">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9139F" w14:paraId="31FF4D92" w14:textId="77777777" w:rsidTr="00A9139F">
      <w:trPr>
        <w:trHeight w:hRule="exact" w:val="864"/>
      </w:trPr>
      <w:tc>
        <w:tcPr>
          <w:tcW w:w="4920" w:type="dxa"/>
          <w:shd w:val="clear" w:color="auto" w:fill="auto"/>
          <w:vAlign w:val="bottom"/>
        </w:tcPr>
        <w:p w14:paraId="1550752A" w14:textId="77777777" w:rsidR="00A9139F" w:rsidRDefault="00A9139F" w:rsidP="00A9139F">
          <w:pPr>
            <w:pStyle w:val="Header"/>
          </w:pPr>
        </w:p>
      </w:tc>
      <w:tc>
        <w:tcPr>
          <w:tcW w:w="4920" w:type="dxa"/>
          <w:shd w:val="clear" w:color="auto" w:fill="auto"/>
          <w:vAlign w:val="bottom"/>
        </w:tcPr>
        <w:p w14:paraId="4AAB8AF9" w14:textId="182B39AD" w:rsidR="00A9139F" w:rsidRPr="00A9139F" w:rsidRDefault="00A9139F" w:rsidP="00A9139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63DF2">
            <w:rPr>
              <w:b/>
              <w:color w:val="000000"/>
            </w:rPr>
            <w:t>CEDAW/C/NZL/FCO/8</w:t>
          </w:r>
          <w:r>
            <w:rPr>
              <w:b/>
              <w:color w:val="000000"/>
            </w:rPr>
            <w:fldChar w:fldCharType="end"/>
          </w:r>
        </w:p>
      </w:tc>
    </w:tr>
  </w:tbl>
  <w:p w14:paraId="2A4FAF16" w14:textId="77777777" w:rsidR="00A9139F" w:rsidRPr="00A9139F" w:rsidRDefault="00A9139F" w:rsidP="00A9139F">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A9139F" w14:paraId="4A988C42" w14:textId="77777777" w:rsidTr="00A9139F">
      <w:trPr>
        <w:trHeight w:hRule="exact" w:val="864"/>
      </w:trPr>
      <w:tc>
        <w:tcPr>
          <w:tcW w:w="1267" w:type="dxa"/>
          <w:tcBorders>
            <w:bottom w:val="single" w:sz="4" w:space="0" w:color="auto"/>
          </w:tcBorders>
          <w:shd w:val="clear" w:color="auto" w:fill="auto"/>
          <w:vAlign w:val="bottom"/>
        </w:tcPr>
        <w:p w14:paraId="5A8937AE" w14:textId="77777777" w:rsidR="00A9139F" w:rsidRDefault="00A9139F" w:rsidP="00A9139F">
          <w:pPr>
            <w:pStyle w:val="Header"/>
            <w:spacing w:after="120"/>
          </w:pPr>
        </w:p>
      </w:tc>
      <w:tc>
        <w:tcPr>
          <w:tcW w:w="2059" w:type="dxa"/>
          <w:tcBorders>
            <w:bottom w:val="single" w:sz="4" w:space="0" w:color="auto"/>
          </w:tcBorders>
          <w:shd w:val="clear" w:color="auto" w:fill="auto"/>
          <w:vAlign w:val="bottom"/>
        </w:tcPr>
        <w:p w14:paraId="5D29E833" w14:textId="77777777" w:rsidR="00A9139F" w:rsidRPr="00A9139F" w:rsidRDefault="00A9139F" w:rsidP="00A9139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BBDCC23" w14:textId="77777777" w:rsidR="00A9139F" w:rsidRDefault="00A9139F" w:rsidP="00A9139F">
          <w:pPr>
            <w:pStyle w:val="Header"/>
            <w:spacing w:after="120"/>
          </w:pPr>
        </w:p>
      </w:tc>
      <w:tc>
        <w:tcPr>
          <w:tcW w:w="6466" w:type="dxa"/>
          <w:gridSpan w:val="3"/>
          <w:tcBorders>
            <w:bottom w:val="single" w:sz="4" w:space="0" w:color="auto"/>
          </w:tcBorders>
          <w:shd w:val="clear" w:color="auto" w:fill="auto"/>
          <w:vAlign w:val="bottom"/>
        </w:tcPr>
        <w:p w14:paraId="2B4D2BDD" w14:textId="77777777" w:rsidR="00A9139F" w:rsidRPr="00A9139F" w:rsidRDefault="00A9139F" w:rsidP="00A9139F">
          <w:pPr>
            <w:spacing w:after="80" w:line="240" w:lineRule="auto"/>
            <w:jc w:val="right"/>
            <w:rPr>
              <w:position w:val="-4"/>
            </w:rPr>
          </w:pPr>
          <w:r>
            <w:rPr>
              <w:position w:val="-4"/>
              <w:sz w:val="40"/>
            </w:rPr>
            <w:t>CEDAW</w:t>
          </w:r>
          <w:r>
            <w:rPr>
              <w:position w:val="-4"/>
            </w:rPr>
            <w:t>/C/NZL/FCO/8</w:t>
          </w:r>
        </w:p>
      </w:tc>
    </w:tr>
    <w:tr w:rsidR="00A9139F" w:rsidRPr="00A9139F" w14:paraId="3BA77E3C" w14:textId="77777777" w:rsidTr="00A9139F">
      <w:trPr>
        <w:trHeight w:hRule="exact" w:val="2880"/>
      </w:trPr>
      <w:tc>
        <w:tcPr>
          <w:tcW w:w="1267" w:type="dxa"/>
          <w:tcBorders>
            <w:top w:val="single" w:sz="4" w:space="0" w:color="auto"/>
            <w:bottom w:val="single" w:sz="12" w:space="0" w:color="auto"/>
          </w:tcBorders>
          <w:shd w:val="clear" w:color="auto" w:fill="auto"/>
        </w:tcPr>
        <w:p w14:paraId="5949AB0C" w14:textId="77777777" w:rsidR="00A9139F" w:rsidRPr="00A9139F" w:rsidRDefault="00A9139F" w:rsidP="00A9139F">
          <w:pPr>
            <w:pStyle w:val="Header"/>
            <w:spacing w:before="120" w:line="240" w:lineRule="auto"/>
            <w:ind w:left="-72"/>
            <w:jc w:val="center"/>
          </w:pPr>
          <w:r>
            <w:t xml:space="preserve">  </w:t>
          </w:r>
          <w:r>
            <w:rPr>
              <w:noProof/>
            </w:rPr>
            <w:drawing>
              <wp:inline distT="0" distB="0" distL="0" distR="0" wp14:anchorId="44E4E97E" wp14:editId="1CDE62B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A33DAD9" w14:textId="081BB466" w:rsidR="00A9139F" w:rsidRPr="00A9139F" w:rsidRDefault="00A9139F" w:rsidP="00A9139F">
          <w:pPr>
            <w:pStyle w:val="XLarge"/>
            <w:spacing w:before="120" w:line="360" w:lineRule="exact"/>
            <w:rPr>
              <w:sz w:val="36"/>
            </w:rPr>
          </w:pPr>
          <w:r>
            <w:rPr>
              <w:sz w:val="36"/>
            </w:rPr>
            <w:t>Convention sur l</w:t>
          </w:r>
          <w:r w:rsidR="00943120">
            <w:rPr>
              <w:sz w:val="36"/>
            </w:rPr>
            <w:t>’</w:t>
          </w:r>
          <w:r>
            <w:rPr>
              <w:sz w:val="36"/>
            </w:rPr>
            <w:t>élimination</w:t>
          </w:r>
          <w:r>
            <w:rPr>
              <w:sz w:val="36"/>
            </w:rPr>
            <w:br/>
            <w:t>de toutes les formes</w:t>
          </w:r>
          <w:r>
            <w:rPr>
              <w:sz w:val="36"/>
            </w:rPr>
            <w:br/>
            <w:t>de discrimination à l</w:t>
          </w:r>
          <w:r w:rsidR="00943120">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325FC1D3" w14:textId="77777777" w:rsidR="00A9139F" w:rsidRPr="00BA578C" w:rsidRDefault="00A9139F" w:rsidP="00A9139F">
          <w:pPr>
            <w:pStyle w:val="Header"/>
            <w:spacing w:before="109"/>
            <w:rPr>
              <w:lang w:val="fr-CA"/>
            </w:rPr>
          </w:pPr>
        </w:p>
      </w:tc>
      <w:tc>
        <w:tcPr>
          <w:tcW w:w="3110" w:type="dxa"/>
          <w:tcBorders>
            <w:top w:val="single" w:sz="4" w:space="0" w:color="auto"/>
            <w:bottom w:val="single" w:sz="12" w:space="0" w:color="auto"/>
          </w:tcBorders>
          <w:shd w:val="clear" w:color="auto" w:fill="auto"/>
        </w:tcPr>
        <w:p w14:paraId="1E9B9365" w14:textId="24383ED4" w:rsidR="00A9139F" w:rsidRPr="00BA578C" w:rsidRDefault="00A9139F" w:rsidP="00A9139F">
          <w:pPr>
            <w:pStyle w:val="Distribution"/>
            <w:rPr>
              <w:color w:val="000000"/>
              <w:lang w:val="fr-CA"/>
            </w:rPr>
          </w:pPr>
          <w:r w:rsidRPr="00BA578C">
            <w:rPr>
              <w:color w:val="000000"/>
              <w:lang w:val="fr-CA"/>
            </w:rPr>
            <w:t xml:space="preserve">Distr. </w:t>
          </w:r>
          <w:r w:rsidR="00BA578C">
            <w:rPr>
              <w:color w:val="000000"/>
              <w:lang w:val="fr-CA"/>
            </w:rPr>
            <w:t>général</w:t>
          </w:r>
        </w:p>
        <w:p w14:paraId="51725811" w14:textId="77777777" w:rsidR="00A9139F" w:rsidRPr="00BA578C" w:rsidRDefault="00A9139F" w:rsidP="00A9139F">
          <w:pPr>
            <w:pStyle w:val="Publication"/>
            <w:rPr>
              <w:color w:val="000000"/>
              <w:lang w:val="fr-CA"/>
            </w:rPr>
          </w:pPr>
          <w:r w:rsidRPr="00BA578C">
            <w:rPr>
              <w:color w:val="000000"/>
              <w:lang w:val="fr-CA"/>
            </w:rPr>
            <w:t>19 août 2020</w:t>
          </w:r>
        </w:p>
        <w:p w14:paraId="2AA95DDE" w14:textId="77777777" w:rsidR="00A9139F" w:rsidRPr="00BA578C" w:rsidRDefault="00A9139F" w:rsidP="00A9139F">
          <w:r w:rsidRPr="00BA578C">
            <w:t>Français</w:t>
          </w:r>
        </w:p>
        <w:p w14:paraId="19587922" w14:textId="439603DF" w:rsidR="00A9139F" w:rsidRDefault="00A9139F" w:rsidP="00A9139F">
          <w:pPr>
            <w:pStyle w:val="Original"/>
            <w:rPr>
              <w:color w:val="000000"/>
              <w:lang w:val="fr-CA"/>
            </w:rPr>
          </w:pPr>
          <w:r w:rsidRPr="00BA578C">
            <w:rPr>
              <w:color w:val="000000"/>
              <w:lang w:val="fr-CA"/>
            </w:rPr>
            <w:t>Original</w:t>
          </w:r>
          <w:r w:rsidR="00943120">
            <w:rPr>
              <w:color w:val="000000"/>
              <w:lang w:val="fr-CA"/>
            </w:rPr>
            <w:t> :</w:t>
          </w:r>
          <w:r w:rsidRPr="00BA578C">
            <w:rPr>
              <w:color w:val="000000"/>
              <w:lang w:val="fr-CA"/>
            </w:rPr>
            <w:t xml:space="preserve"> anglais</w:t>
          </w:r>
        </w:p>
        <w:p w14:paraId="3E82D162" w14:textId="58FEB2B0" w:rsidR="00BA578C" w:rsidRPr="00BA578C" w:rsidRDefault="00BA578C" w:rsidP="00BA578C">
          <w:r w:rsidRPr="00BA578C">
            <w:rPr>
              <w:lang w:bidi="fr-FR"/>
            </w:rPr>
            <w:t>Anglais, français et espagnol uniquement</w:t>
          </w:r>
        </w:p>
      </w:tc>
    </w:tr>
  </w:tbl>
  <w:p w14:paraId="23A29146" w14:textId="77777777" w:rsidR="00A9139F" w:rsidRPr="00BA578C" w:rsidRDefault="00A9139F" w:rsidP="00A9139F">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EBB4173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D9D7AC1"/>
    <w:multiLevelType w:val="hybridMultilevel"/>
    <w:tmpl w:val="BF0CD906"/>
    <w:lvl w:ilvl="0" w:tplc="38EC4796">
      <w:start w:val="9"/>
      <w:numFmt w:val="bullet"/>
      <w:lvlText w:val="•"/>
      <w:lvlJc w:val="left"/>
      <w:pPr>
        <w:ind w:left="2227" w:hanging="480"/>
      </w:pPr>
      <w:rPr>
        <w:rFonts w:ascii="Times New Roman" w:eastAsiaTheme="minorHAnsi" w:hAnsi="Times New Roman" w:cs="Times New Roman" w:hint="default"/>
      </w:rPr>
    </w:lvl>
    <w:lvl w:ilvl="1" w:tplc="0C0C0003" w:tentative="1">
      <w:start w:val="1"/>
      <w:numFmt w:val="bullet"/>
      <w:lvlText w:val="o"/>
      <w:lvlJc w:val="left"/>
      <w:pPr>
        <w:ind w:left="2827" w:hanging="360"/>
      </w:pPr>
      <w:rPr>
        <w:rFonts w:ascii="Courier New" w:hAnsi="Courier New" w:cs="Courier New" w:hint="default"/>
      </w:rPr>
    </w:lvl>
    <w:lvl w:ilvl="2" w:tplc="0C0C0005" w:tentative="1">
      <w:start w:val="1"/>
      <w:numFmt w:val="bullet"/>
      <w:lvlText w:val=""/>
      <w:lvlJc w:val="left"/>
      <w:pPr>
        <w:ind w:left="3547" w:hanging="360"/>
      </w:pPr>
      <w:rPr>
        <w:rFonts w:ascii="Wingdings" w:hAnsi="Wingdings" w:hint="default"/>
      </w:rPr>
    </w:lvl>
    <w:lvl w:ilvl="3" w:tplc="0C0C0001" w:tentative="1">
      <w:start w:val="1"/>
      <w:numFmt w:val="bullet"/>
      <w:lvlText w:val=""/>
      <w:lvlJc w:val="left"/>
      <w:pPr>
        <w:ind w:left="4267" w:hanging="360"/>
      </w:pPr>
      <w:rPr>
        <w:rFonts w:ascii="Symbol" w:hAnsi="Symbol" w:hint="default"/>
      </w:rPr>
    </w:lvl>
    <w:lvl w:ilvl="4" w:tplc="0C0C0003" w:tentative="1">
      <w:start w:val="1"/>
      <w:numFmt w:val="bullet"/>
      <w:lvlText w:val="o"/>
      <w:lvlJc w:val="left"/>
      <w:pPr>
        <w:ind w:left="4987" w:hanging="360"/>
      </w:pPr>
      <w:rPr>
        <w:rFonts w:ascii="Courier New" w:hAnsi="Courier New" w:cs="Courier New" w:hint="default"/>
      </w:rPr>
    </w:lvl>
    <w:lvl w:ilvl="5" w:tplc="0C0C0005" w:tentative="1">
      <w:start w:val="1"/>
      <w:numFmt w:val="bullet"/>
      <w:lvlText w:val=""/>
      <w:lvlJc w:val="left"/>
      <w:pPr>
        <w:ind w:left="5707" w:hanging="360"/>
      </w:pPr>
      <w:rPr>
        <w:rFonts w:ascii="Wingdings" w:hAnsi="Wingdings" w:hint="default"/>
      </w:rPr>
    </w:lvl>
    <w:lvl w:ilvl="6" w:tplc="0C0C0001" w:tentative="1">
      <w:start w:val="1"/>
      <w:numFmt w:val="bullet"/>
      <w:lvlText w:val=""/>
      <w:lvlJc w:val="left"/>
      <w:pPr>
        <w:ind w:left="6427" w:hanging="360"/>
      </w:pPr>
      <w:rPr>
        <w:rFonts w:ascii="Symbol" w:hAnsi="Symbol" w:hint="default"/>
      </w:rPr>
    </w:lvl>
    <w:lvl w:ilvl="7" w:tplc="0C0C0003" w:tentative="1">
      <w:start w:val="1"/>
      <w:numFmt w:val="bullet"/>
      <w:lvlText w:val="o"/>
      <w:lvlJc w:val="left"/>
      <w:pPr>
        <w:ind w:left="7147" w:hanging="360"/>
      </w:pPr>
      <w:rPr>
        <w:rFonts w:ascii="Courier New" w:hAnsi="Courier New" w:cs="Courier New" w:hint="default"/>
      </w:rPr>
    </w:lvl>
    <w:lvl w:ilvl="8" w:tplc="0C0C0005" w:tentative="1">
      <w:start w:val="1"/>
      <w:numFmt w:val="bullet"/>
      <w:lvlText w:val=""/>
      <w:lvlJc w:val="left"/>
      <w:pPr>
        <w:ind w:left="7867" w:hanging="360"/>
      </w:pPr>
      <w:rPr>
        <w:rFonts w:ascii="Wingdings" w:hAnsi="Wingdings" w:hint="default"/>
      </w:rPr>
    </w:lvl>
  </w:abstractNum>
  <w:abstractNum w:abstractNumId="2" w15:restartNumberingAfterBreak="0">
    <w:nsid w:val="0DBB6987"/>
    <w:multiLevelType w:val="hybridMultilevel"/>
    <w:tmpl w:val="4ED6F4C6"/>
    <w:lvl w:ilvl="0" w:tplc="38EC4796">
      <w:start w:val="9"/>
      <w:numFmt w:val="bullet"/>
      <w:lvlText w:val="•"/>
      <w:lvlJc w:val="left"/>
      <w:pPr>
        <w:ind w:left="3494" w:hanging="480"/>
      </w:pPr>
      <w:rPr>
        <w:rFonts w:ascii="Times New Roman" w:eastAsiaTheme="minorHAnsi" w:hAnsi="Times New Roman" w:cs="Times New Roman" w:hint="default"/>
      </w:rPr>
    </w:lvl>
    <w:lvl w:ilvl="1" w:tplc="0C0C0003" w:tentative="1">
      <w:start w:val="1"/>
      <w:numFmt w:val="bullet"/>
      <w:lvlText w:val="o"/>
      <w:lvlJc w:val="left"/>
      <w:pPr>
        <w:ind w:left="2707" w:hanging="360"/>
      </w:pPr>
      <w:rPr>
        <w:rFonts w:ascii="Courier New" w:hAnsi="Courier New" w:cs="Courier New" w:hint="default"/>
      </w:rPr>
    </w:lvl>
    <w:lvl w:ilvl="2" w:tplc="0C0C0005" w:tentative="1">
      <w:start w:val="1"/>
      <w:numFmt w:val="bullet"/>
      <w:lvlText w:val=""/>
      <w:lvlJc w:val="left"/>
      <w:pPr>
        <w:ind w:left="3427" w:hanging="360"/>
      </w:pPr>
      <w:rPr>
        <w:rFonts w:ascii="Wingdings" w:hAnsi="Wingdings" w:hint="default"/>
      </w:rPr>
    </w:lvl>
    <w:lvl w:ilvl="3" w:tplc="0C0C0001" w:tentative="1">
      <w:start w:val="1"/>
      <w:numFmt w:val="bullet"/>
      <w:lvlText w:val=""/>
      <w:lvlJc w:val="left"/>
      <w:pPr>
        <w:ind w:left="4147" w:hanging="360"/>
      </w:pPr>
      <w:rPr>
        <w:rFonts w:ascii="Symbol" w:hAnsi="Symbol" w:hint="default"/>
      </w:rPr>
    </w:lvl>
    <w:lvl w:ilvl="4" w:tplc="0C0C0003" w:tentative="1">
      <w:start w:val="1"/>
      <w:numFmt w:val="bullet"/>
      <w:lvlText w:val="o"/>
      <w:lvlJc w:val="left"/>
      <w:pPr>
        <w:ind w:left="4867" w:hanging="360"/>
      </w:pPr>
      <w:rPr>
        <w:rFonts w:ascii="Courier New" w:hAnsi="Courier New" w:cs="Courier New" w:hint="default"/>
      </w:rPr>
    </w:lvl>
    <w:lvl w:ilvl="5" w:tplc="0C0C0005" w:tentative="1">
      <w:start w:val="1"/>
      <w:numFmt w:val="bullet"/>
      <w:lvlText w:val=""/>
      <w:lvlJc w:val="left"/>
      <w:pPr>
        <w:ind w:left="5587" w:hanging="360"/>
      </w:pPr>
      <w:rPr>
        <w:rFonts w:ascii="Wingdings" w:hAnsi="Wingdings" w:hint="default"/>
      </w:rPr>
    </w:lvl>
    <w:lvl w:ilvl="6" w:tplc="0C0C0001" w:tentative="1">
      <w:start w:val="1"/>
      <w:numFmt w:val="bullet"/>
      <w:lvlText w:val=""/>
      <w:lvlJc w:val="left"/>
      <w:pPr>
        <w:ind w:left="6307" w:hanging="360"/>
      </w:pPr>
      <w:rPr>
        <w:rFonts w:ascii="Symbol" w:hAnsi="Symbol" w:hint="default"/>
      </w:rPr>
    </w:lvl>
    <w:lvl w:ilvl="7" w:tplc="0C0C0003" w:tentative="1">
      <w:start w:val="1"/>
      <w:numFmt w:val="bullet"/>
      <w:lvlText w:val="o"/>
      <w:lvlJc w:val="left"/>
      <w:pPr>
        <w:ind w:left="7027" w:hanging="360"/>
      </w:pPr>
      <w:rPr>
        <w:rFonts w:ascii="Courier New" w:hAnsi="Courier New" w:cs="Courier New" w:hint="default"/>
      </w:rPr>
    </w:lvl>
    <w:lvl w:ilvl="8" w:tplc="0C0C0005" w:tentative="1">
      <w:start w:val="1"/>
      <w:numFmt w:val="bullet"/>
      <w:lvlText w:val=""/>
      <w:lvlJc w:val="left"/>
      <w:pPr>
        <w:ind w:left="7747" w:hanging="360"/>
      </w:pPr>
      <w:rPr>
        <w:rFonts w:ascii="Wingdings" w:hAnsi="Wingdings" w:hint="default"/>
      </w:rPr>
    </w:lvl>
  </w:abstractNum>
  <w:abstractNum w:abstractNumId="3"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FEA46E40"/>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755F7"/>
    <w:multiLevelType w:val="hybridMultilevel"/>
    <w:tmpl w:val="4EE8713E"/>
    <w:lvl w:ilvl="0" w:tplc="38EC4796">
      <w:start w:val="9"/>
      <w:numFmt w:val="bullet"/>
      <w:lvlText w:val="•"/>
      <w:lvlJc w:val="left"/>
      <w:pPr>
        <w:ind w:left="3494" w:hanging="480"/>
      </w:pPr>
      <w:rPr>
        <w:rFonts w:ascii="Times New Roman" w:eastAsiaTheme="minorHAnsi" w:hAnsi="Times New Roman" w:cs="Times New Roman" w:hint="default"/>
      </w:rPr>
    </w:lvl>
    <w:lvl w:ilvl="1" w:tplc="0C0C0003" w:tentative="1">
      <w:start w:val="1"/>
      <w:numFmt w:val="bullet"/>
      <w:lvlText w:val="o"/>
      <w:lvlJc w:val="left"/>
      <w:pPr>
        <w:ind w:left="2707" w:hanging="360"/>
      </w:pPr>
      <w:rPr>
        <w:rFonts w:ascii="Courier New" w:hAnsi="Courier New" w:cs="Courier New" w:hint="default"/>
      </w:rPr>
    </w:lvl>
    <w:lvl w:ilvl="2" w:tplc="0C0C0005" w:tentative="1">
      <w:start w:val="1"/>
      <w:numFmt w:val="bullet"/>
      <w:lvlText w:val=""/>
      <w:lvlJc w:val="left"/>
      <w:pPr>
        <w:ind w:left="3427" w:hanging="360"/>
      </w:pPr>
      <w:rPr>
        <w:rFonts w:ascii="Wingdings" w:hAnsi="Wingdings" w:hint="default"/>
      </w:rPr>
    </w:lvl>
    <w:lvl w:ilvl="3" w:tplc="0C0C0001" w:tentative="1">
      <w:start w:val="1"/>
      <w:numFmt w:val="bullet"/>
      <w:lvlText w:val=""/>
      <w:lvlJc w:val="left"/>
      <w:pPr>
        <w:ind w:left="4147" w:hanging="360"/>
      </w:pPr>
      <w:rPr>
        <w:rFonts w:ascii="Symbol" w:hAnsi="Symbol" w:hint="default"/>
      </w:rPr>
    </w:lvl>
    <w:lvl w:ilvl="4" w:tplc="0C0C0003" w:tentative="1">
      <w:start w:val="1"/>
      <w:numFmt w:val="bullet"/>
      <w:lvlText w:val="o"/>
      <w:lvlJc w:val="left"/>
      <w:pPr>
        <w:ind w:left="4867" w:hanging="360"/>
      </w:pPr>
      <w:rPr>
        <w:rFonts w:ascii="Courier New" w:hAnsi="Courier New" w:cs="Courier New" w:hint="default"/>
      </w:rPr>
    </w:lvl>
    <w:lvl w:ilvl="5" w:tplc="0C0C0005" w:tentative="1">
      <w:start w:val="1"/>
      <w:numFmt w:val="bullet"/>
      <w:lvlText w:val=""/>
      <w:lvlJc w:val="left"/>
      <w:pPr>
        <w:ind w:left="5587" w:hanging="360"/>
      </w:pPr>
      <w:rPr>
        <w:rFonts w:ascii="Wingdings" w:hAnsi="Wingdings" w:hint="default"/>
      </w:rPr>
    </w:lvl>
    <w:lvl w:ilvl="6" w:tplc="0C0C0001" w:tentative="1">
      <w:start w:val="1"/>
      <w:numFmt w:val="bullet"/>
      <w:lvlText w:val=""/>
      <w:lvlJc w:val="left"/>
      <w:pPr>
        <w:ind w:left="6307" w:hanging="360"/>
      </w:pPr>
      <w:rPr>
        <w:rFonts w:ascii="Symbol" w:hAnsi="Symbol" w:hint="default"/>
      </w:rPr>
    </w:lvl>
    <w:lvl w:ilvl="7" w:tplc="0C0C0003" w:tentative="1">
      <w:start w:val="1"/>
      <w:numFmt w:val="bullet"/>
      <w:lvlText w:val="o"/>
      <w:lvlJc w:val="left"/>
      <w:pPr>
        <w:ind w:left="7027" w:hanging="360"/>
      </w:pPr>
      <w:rPr>
        <w:rFonts w:ascii="Courier New" w:hAnsi="Courier New" w:cs="Courier New" w:hint="default"/>
      </w:rPr>
    </w:lvl>
    <w:lvl w:ilvl="8" w:tplc="0C0C0005" w:tentative="1">
      <w:start w:val="1"/>
      <w:numFmt w:val="bullet"/>
      <w:lvlText w:val=""/>
      <w:lvlJc w:val="left"/>
      <w:pPr>
        <w:ind w:left="7747" w:hanging="360"/>
      </w:pPr>
      <w:rPr>
        <w:rFonts w:ascii="Wingdings" w:hAnsi="Wingdings" w:hint="default"/>
      </w:rPr>
    </w:lvl>
  </w:abstractNum>
  <w:abstractNum w:abstractNumId="6" w15:restartNumberingAfterBreak="0">
    <w:nsid w:val="2A011D3B"/>
    <w:multiLevelType w:val="hybridMultilevel"/>
    <w:tmpl w:val="1F569E60"/>
    <w:lvl w:ilvl="0" w:tplc="38EC4796">
      <w:start w:val="19"/>
      <w:numFmt w:val="bullet"/>
      <w:lvlText w:val="•"/>
      <w:lvlJc w:val="left"/>
      <w:pPr>
        <w:ind w:left="2227" w:hanging="480"/>
      </w:pPr>
      <w:rPr>
        <w:rFonts w:ascii="Times New Roman" w:eastAsiaTheme="minorHAnsi" w:hAnsi="Times New Roman" w:cs="Times New Roman" w:hint="default"/>
      </w:rPr>
    </w:lvl>
    <w:lvl w:ilvl="1" w:tplc="0C0C0003" w:tentative="1">
      <w:start w:val="1"/>
      <w:numFmt w:val="bullet"/>
      <w:lvlText w:val="o"/>
      <w:lvlJc w:val="left"/>
      <w:pPr>
        <w:ind w:left="2827" w:hanging="360"/>
      </w:pPr>
      <w:rPr>
        <w:rFonts w:ascii="Courier New" w:hAnsi="Courier New" w:cs="Courier New" w:hint="default"/>
      </w:rPr>
    </w:lvl>
    <w:lvl w:ilvl="2" w:tplc="0C0C0005" w:tentative="1">
      <w:start w:val="1"/>
      <w:numFmt w:val="bullet"/>
      <w:lvlText w:val=""/>
      <w:lvlJc w:val="left"/>
      <w:pPr>
        <w:ind w:left="3547" w:hanging="360"/>
      </w:pPr>
      <w:rPr>
        <w:rFonts w:ascii="Wingdings" w:hAnsi="Wingdings" w:hint="default"/>
      </w:rPr>
    </w:lvl>
    <w:lvl w:ilvl="3" w:tplc="0C0C0001" w:tentative="1">
      <w:start w:val="1"/>
      <w:numFmt w:val="bullet"/>
      <w:lvlText w:val=""/>
      <w:lvlJc w:val="left"/>
      <w:pPr>
        <w:ind w:left="4267" w:hanging="360"/>
      </w:pPr>
      <w:rPr>
        <w:rFonts w:ascii="Symbol" w:hAnsi="Symbol" w:hint="default"/>
      </w:rPr>
    </w:lvl>
    <w:lvl w:ilvl="4" w:tplc="0C0C0003" w:tentative="1">
      <w:start w:val="1"/>
      <w:numFmt w:val="bullet"/>
      <w:lvlText w:val="o"/>
      <w:lvlJc w:val="left"/>
      <w:pPr>
        <w:ind w:left="4987" w:hanging="360"/>
      </w:pPr>
      <w:rPr>
        <w:rFonts w:ascii="Courier New" w:hAnsi="Courier New" w:cs="Courier New" w:hint="default"/>
      </w:rPr>
    </w:lvl>
    <w:lvl w:ilvl="5" w:tplc="0C0C0005" w:tentative="1">
      <w:start w:val="1"/>
      <w:numFmt w:val="bullet"/>
      <w:lvlText w:val=""/>
      <w:lvlJc w:val="left"/>
      <w:pPr>
        <w:ind w:left="5707" w:hanging="360"/>
      </w:pPr>
      <w:rPr>
        <w:rFonts w:ascii="Wingdings" w:hAnsi="Wingdings" w:hint="default"/>
      </w:rPr>
    </w:lvl>
    <w:lvl w:ilvl="6" w:tplc="0C0C0001" w:tentative="1">
      <w:start w:val="1"/>
      <w:numFmt w:val="bullet"/>
      <w:lvlText w:val=""/>
      <w:lvlJc w:val="left"/>
      <w:pPr>
        <w:ind w:left="6427" w:hanging="360"/>
      </w:pPr>
      <w:rPr>
        <w:rFonts w:ascii="Symbol" w:hAnsi="Symbol" w:hint="default"/>
      </w:rPr>
    </w:lvl>
    <w:lvl w:ilvl="7" w:tplc="0C0C0003" w:tentative="1">
      <w:start w:val="1"/>
      <w:numFmt w:val="bullet"/>
      <w:lvlText w:val="o"/>
      <w:lvlJc w:val="left"/>
      <w:pPr>
        <w:ind w:left="7147" w:hanging="360"/>
      </w:pPr>
      <w:rPr>
        <w:rFonts w:ascii="Courier New" w:hAnsi="Courier New" w:cs="Courier New" w:hint="default"/>
      </w:rPr>
    </w:lvl>
    <w:lvl w:ilvl="8" w:tplc="0C0C0005" w:tentative="1">
      <w:start w:val="1"/>
      <w:numFmt w:val="bullet"/>
      <w:lvlText w:val=""/>
      <w:lvlJc w:val="left"/>
      <w:pPr>
        <w:ind w:left="7867" w:hanging="360"/>
      </w:pPr>
      <w:rPr>
        <w:rFonts w:ascii="Wingdings" w:hAnsi="Wingdings" w:hint="default"/>
      </w:rPr>
    </w:lvl>
  </w:abstractNum>
  <w:abstractNum w:abstractNumId="7" w15:restartNumberingAfterBreak="0">
    <w:nsid w:val="2EB9351D"/>
    <w:multiLevelType w:val="hybridMultilevel"/>
    <w:tmpl w:val="76FC103E"/>
    <w:lvl w:ilvl="0" w:tplc="38EC4796">
      <w:start w:val="22"/>
      <w:numFmt w:val="bullet"/>
      <w:lvlText w:val="•"/>
      <w:lvlJc w:val="left"/>
      <w:pPr>
        <w:ind w:left="2227" w:hanging="480"/>
      </w:pPr>
      <w:rPr>
        <w:rFonts w:ascii="Times New Roman" w:eastAsiaTheme="minorHAnsi" w:hAnsi="Times New Roman" w:cs="Times New Roman" w:hint="default"/>
      </w:rPr>
    </w:lvl>
    <w:lvl w:ilvl="1" w:tplc="0C0C0003" w:tentative="1">
      <w:start w:val="1"/>
      <w:numFmt w:val="bullet"/>
      <w:lvlText w:val="o"/>
      <w:lvlJc w:val="left"/>
      <w:pPr>
        <w:ind w:left="2827" w:hanging="360"/>
      </w:pPr>
      <w:rPr>
        <w:rFonts w:ascii="Courier New" w:hAnsi="Courier New" w:cs="Courier New" w:hint="default"/>
      </w:rPr>
    </w:lvl>
    <w:lvl w:ilvl="2" w:tplc="0C0C0005" w:tentative="1">
      <w:start w:val="1"/>
      <w:numFmt w:val="bullet"/>
      <w:lvlText w:val=""/>
      <w:lvlJc w:val="left"/>
      <w:pPr>
        <w:ind w:left="3547" w:hanging="360"/>
      </w:pPr>
      <w:rPr>
        <w:rFonts w:ascii="Wingdings" w:hAnsi="Wingdings" w:hint="default"/>
      </w:rPr>
    </w:lvl>
    <w:lvl w:ilvl="3" w:tplc="0C0C0001" w:tentative="1">
      <w:start w:val="1"/>
      <w:numFmt w:val="bullet"/>
      <w:lvlText w:val=""/>
      <w:lvlJc w:val="left"/>
      <w:pPr>
        <w:ind w:left="4267" w:hanging="360"/>
      </w:pPr>
      <w:rPr>
        <w:rFonts w:ascii="Symbol" w:hAnsi="Symbol" w:hint="default"/>
      </w:rPr>
    </w:lvl>
    <w:lvl w:ilvl="4" w:tplc="0C0C0003" w:tentative="1">
      <w:start w:val="1"/>
      <w:numFmt w:val="bullet"/>
      <w:lvlText w:val="o"/>
      <w:lvlJc w:val="left"/>
      <w:pPr>
        <w:ind w:left="4987" w:hanging="360"/>
      </w:pPr>
      <w:rPr>
        <w:rFonts w:ascii="Courier New" w:hAnsi="Courier New" w:cs="Courier New" w:hint="default"/>
      </w:rPr>
    </w:lvl>
    <w:lvl w:ilvl="5" w:tplc="0C0C0005" w:tentative="1">
      <w:start w:val="1"/>
      <w:numFmt w:val="bullet"/>
      <w:lvlText w:val=""/>
      <w:lvlJc w:val="left"/>
      <w:pPr>
        <w:ind w:left="5707" w:hanging="360"/>
      </w:pPr>
      <w:rPr>
        <w:rFonts w:ascii="Wingdings" w:hAnsi="Wingdings" w:hint="default"/>
      </w:rPr>
    </w:lvl>
    <w:lvl w:ilvl="6" w:tplc="0C0C0001" w:tentative="1">
      <w:start w:val="1"/>
      <w:numFmt w:val="bullet"/>
      <w:lvlText w:val=""/>
      <w:lvlJc w:val="left"/>
      <w:pPr>
        <w:ind w:left="6427" w:hanging="360"/>
      </w:pPr>
      <w:rPr>
        <w:rFonts w:ascii="Symbol" w:hAnsi="Symbol" w:hint="default"/>
      </w:rPr>
    </w:lvl>
    <w:lvl w:ilvl="7" w:tplc="0C0C0003" w:tentative="1">
      <w:start w:val="1"/>
      <w:numFmt w:val="bullet"/>
      <w:lvlText w:val="o"/>
      <w:lvlJc w:val="left"/>
      <w:pPr>
        <w:ind w:left="7147" w:hanging="360"/>
      </w:pPr>
      <w:rPr>
        <w:rFonts w:ascii="Courier New" w:hAnsi="Courier New" w:cs="Courier New" w:hint="default"/>
      </w:rPr>
    </w:lvl>
    <w:lvl w:ilvl="8" w:tplc="0C0C0005" w:tentative="1">
      <w:start w:val="1"/>
      <w:numFmt w:val="bullet"/>
      <w:lvlText w:val=""/>
      <w:lvlJc w:val="left"/>
      <w:pPr>
        <w:ind w:left="7867" w:hanging="360"/>
      </w:pPr>
      <w:rPr>
        <w:rFonts w:ascii="Wingdings" w:hAnsi="Wingdings" w:hint="default"/>
      </w:rPr>
    </w:lvl>
  </w:abstractNum>
  <w:abstractNum w:abstractNumId="8" w15:restartNumberingAfterBreak="0">
    <w:nsid w:val="3A5E7631"/>
    <w:multiLevelType w:val="hybridMultilevel"/>
    <w:tmpl w:val="F35CCD62"/>
    <w:lvl w:ilvl="0" w:tplc="38EC4796">
      <w:start w:val="9"/>
      <w:numFmt w:val="bullet"/>
      <w:lvlText w:val="•"/>
      <w:lvlJc w:val="left"/>
      <w:pPr>
        <w:ind w:left="3494" w:hanging="480"/>
      </w:pPr>
      <w:rPr>
        <w:rFonts w:ascii="Times New Roman" w:eastAsiaTheme="minorHAnsi" w:hAnsi="Times New Roman" w:cs="Times New Roman" w:hint="default"/>
      </w:rPr>
    </w:lvl>
    <w:lvl w:ilvl="1" w:tplc="0C0C0003" w:tentative="1">
      <w:start w:val="1"/>
      <w:numFmt w:val="bullet"/>
      <w:lvlText w:val="o"/>
      <w:lvlJc w:val="left"/>
      <w:pPr>
        <w:ind w:left="2707" w:hanging="360"/>
      </w:pPr>
      <w:rPr>
        <w:rFonts w:ascii="Courier New" w:hAnsi="Courier New" w:cs="Courier New" w:hint="default"/>
      </w:rPr>
    </w:lvl>
    <w:lvl w:ilvl="2" w:tplc="0C0C0005" w:tentative="1">
      <w:start w:val="1"/>
      <w:numFmt w:val="bullet"/>
      <w:lvlText w:val=""/>
      <w:lvlJc w:val="left"/>
      <w:pPr>
        <w:ind w:left="3427" w:hanging="360"/>
      </w:pPr>
      <w:rPr>
        <w:rFonts w:ascii="Wingdings" w:hAnsi="Wingdings" w:hint="default"/>
      </w:rPr>
    </w:lvl>
    <w:lvl w:ilvl="3" w:tplc="0C0C0001" w:tentative="1">
      <w:start w:val="1"/>
      <w:numFmt w:val="bullet"/>
      <w:lvlText w:val=""/>
      <w:lvlJc w:val="left"/>
      <w:pPr>
        <w:ind w:left="4147" w:hanging="360"/>
      </w:pPr>
      <w:rPr>
        <w:rFonts w:ascii="Symbol" w:hAnsi="Symbol" w:hint="default"/>
      </w:rPr>
    </w:lvl>
    <w:lvl w:ilvl="4" w:tplc="0C0C0003" w:tentative="1">
      <w:start w:val="1"/>
      <w:numFmt w:val="bullet"/>
      <w:lvlText w:val="o"/>
      <w:lvlJc w:val="left"/>
      <w:pPr>
        <w:ind w:left="4867" w:hanging="360"/>
      </w:pPr>
      <w:rPr>
        <w:rFonts w:ascii="Courier New" w:hAnsi="Courier New" w:cs="Courier New" w:hint="default"/>
      </w:rPr>
    </w:lvl>
    <w:lvl w:ilvl="5" w:tplc="0C0C0005" w:tentative="1">
      <w:start w:val="1"/>
      <w:numFmt w:val="bullet"/>
      <w:lvlText w:val=""/>
      <w:lvlJc w:val="left"/>
      <w:pPr>
        <w:ind w:left="5587" w:hanging="360"/>
      </w:pPr>
      <w:rPr>
        <w:rFonts w:ascii="Wingdings" w:hAnsi="Wingdings" w:hint="default"/>
      </w:rPr>
    </w:lvl>
    <w:lvl w:ilvl="6" w:tplc="0C0C0001" w:tentative="1">
      <w:start w:val="1"/>
      <w:numFmt w:val="bullet"/>
      <w:lvlText w:val=""/>
      <w:lvlJc w:val="left"/>
      <w:pPr>
        <w:ind w:left="6307" w:hanging="360"/>
      </w:pPr>
      <w:rPr>
        <w:rFonts w:ascii="Symbol" w:hAnsi="Symbol" w:hint="default"/>
      </w:rPr>
    </w:lvl>
    <w:lvl w:ilvl="7" w:tplc="0C0C0003" w:tentative="1">
      <w:start w:val="1"/>
      <w:numFmt w:val="bullet"/>
      <w:lvlText w:val="o"/>
      <w:lvlJc w:val="left"/>
      <w:pPr>
        <w:ind w:left="7027" w:hanging="360"/>
      </w:pPr>
      <w:rPr>
        <w:rFonts w:ascii="Courier New" w:hAnsi="Courier New" w:cs="Courier New" w:hint="default"/>
      </w:rPr>
    </w:lvl>
    <w:lvl w:ilvl="8" w:tplc="0C0C0005" w:tentative="1">
      <w:start w:val="1"/>
      <w:numFmt w:val="bullet"/>
      <w:lvlText w:val=""/>
      <w:lvlJc w:val="left"/>
      <w:pPr>
        <w:ind w:left="7747" w:hanging="360"/>
      </w:pPr>
      <w:rPr>
        <w:rFonts w:ascii="Wingdings" w:hAnsi="Wingdings" w:hint="default"/>
      </w:rPr>
    </w:lvl>
  </w:abstractNum>
  <w:abstractNum w:abstractNumId="9" w15:restartNumberingAfterBreak="0">
    <w:nsid w:val="42EE6358"/>
    <w:multiLevelType w:val="hybridMultilevel"/>
    <w:tmpl w:val="AE3E2D00"/>
    <w:lvl w:ilvl="0" w:tplc="38EC4796">
      <w:start w:val="21"/>
      <w:numFmt w:val="bullet"/>
      <w:lvlText w:val="•"/>
      <w:lvlJc w:val="left"/>
      <w:pPr>
        <w:ind w:left="2227" w:hanging="480"/>
      </w:pPr>
      <w:rPr>
        <w:rFonts w:ascii="Times New Roman" w:eastAsiaTheme="minorHAnsi" w:hAnsi="Times New Roman" w:cs="Times New Roman" w:hint="default"/>
      </w:rPr>
    </w:lvl>
    <w:lvl w:ilvl="1" w:tplc="0C0C0003" w:tentative="1">
      <w:start w:val="1"/>
      <w:numFmt w:val="bullet"/>
      <w:lvlText w:val="o"/>
      <w:lvlJc w:val="left"/>
      <w:pPr>
        <w:ind w:left="2827" w:hanging="360"/>
      </w:pPr>
      <w:rPr>
        <w:rFonts w:ascii="Courier New" w:hAnsi="Courier New" w:cs="Courier New" w:hint="default"/>
      </w:rPr>
    </w:lvl>
    <w:lvl w:ilvl="2" w:tplc="0C0C0005" w:tentative="1">
      <w:start w:val="1"/>
      <w:numFmt w:val="bullet"/>
      <w:lvlText w:val=""/>
      <w:lvlJc w:val="left"/>
      <w:pPr>
        <w:ind w:left="3547" w:hanging="360"/>
      </w:pPr>
      <w:rPr>
        <w:rFonts w:ascii="Wingdings" w:hAnsi="Wingdings" w:hint="default"/>
      </w:rPr>
    </w:lvl>
    <w:lvl w:ilvl="3" w:tplc="0C0C0001" w:tentative="1">
      <w:start w:val="1"/>
      <w:numFmt w:val="bullet"/>
      <w:lvlText w:val=""/>
      <w:lvlJc w:val="left"/>
      <w:pPr>
        <w:ind w:left="4267" w:hanging="360"/>
      </w:pPr>
      <w:rPr>
        <w:rFonts w:ascii="Symbol" w:hAnsi="Symbol" w:hint="default"/>
      </w:rPr>
    </w:lvl>
    <w:lvl w:ilvl="4" w:tplc="0C0C0003" w:tentative="1">
      <w:start w:val="1"/>
      <w:numFmt w:val="bullet"/>
      <w:lvlText w:val="o"/>
      <w:lvlJc w:val="left"/>
      <w:pPr>
        <w:ind w:left="4987" w:hanging="360"/>
      </w:pPr>
      <w:rPr>
        <w:rFonts w:ascii="Courier New" w:hAnsi="Courier New" w:cs="Courier New" w:hint="default"/>
      </w:rPr>
    </w:lvl>
    <w:lvl w:ilvl="5" w:tplc="0C0C0005" w:tentative="1">
      <w:start w:val="1"/>
      <w:numFmt w:val="bullet"/>
      <w:lvlText w:val=""/>
      <w:lvlJc w:val="left"/>
      <w:pPr>
        <w:ind w:left="5707" w:hanging="360"/>
      </w:pPr>
      <w:rPr>
        <w:rFonts w:ascii="Wingdings" w:hAnsi="Wingdings" w:hint="default"/>
      </w:rPr>
    </w:lvl>
    <w:lvl w:ilvl="6" w:tplc="0C0C0001" w:tentative="1">
      <w:start w:val="1"/>
      <w:numFmt w:val="bullet"/>
      <w:lvlText w:val=""/>
      <w:lvlJc w:val="left"/>
      <w:pPr>
        <w:ind w:left="6427" w:hanging="360"/>
      </w:pPr>
      <w:rPr>
        <w:rFonts w:ascii="Symbol" w:hAnsi="Symbol" w:hint="default"/>
      </w:rPr>
    </w:lvl>
    <w:lvl w:ilvl="7" w:tplc="0C0C0003" w:tentative="1">
      <w:start w:val="1"/>
      <w:numFmt w:val="bullet"/>
      <w:lvlText w:val="o"/>
      <w:lvlJc w:val="left"/>
      <w:pPr>
        <w:ind w:left="7147" w:hanging="360"/>
      </w:pPr>
      <w:rPr>
        <w:rFonts w:ascii="Courier New" w:hAnsi="Courier New" w:cs="Courier New" w:hint="default"/>
      </w:rPr>
    </w:lvl>
    <w:lvl w:ilvl="8" w:tplc="0C0C0005" w:tentative="1">
      <w:start w:val="1"/>
      <w:numFmt w:val="bullet"/>
      <w:lvlText w:val=""/>
      <w:lvlJc w:val="left"/>
      <w:pPr>
        <w:ind w:left="7867" w:hanging="360"/>
      </w:pPr>
      <w:rPr>
        <w:rFonts w:ascii="Wingdings" w:hAnsi="Wingdings" w:hint="default"/>
      </w:rPr>
    </w:lvl>
  </w:abstractNum>
  <w:abstractNum w:abstractNumId="10"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553EC"/>
    <w:multiLevelType w:val="hybridMultilevel"/>
    <w:tmpl w:val="B41C2304"/>
    <w:lvl w:ilvl="0" w:tplc="38EC4796">
      <w:start w:val="44"/>
      <w:numFmt w:val="bullet"/>
      <w:lvlText w:val="•"/>
      <w:lvlJc w:val="left"/>
      <w:pPr>
        <w:ind w:left="2227" w:hanging="480"/>
      </w:pPr>
      <w:rPr>
        <w:rFonts w:ascii="Times New Roman" w:eastAsiaTheme="minorHAnsi" w:hAnsi="Times New Roman" w:cs="Times New Roman" w:hint="default"/>
      </w:rPr>
    </w:lvl>
    <w:lvl w:ilvl="1" w:tplc="0C0C0003" w:tentative="1">
      <w:start w:val="1"/>
      <w:numFmt w:val="bullet"/>
      <w:lvlText w:val="o"/>
      <w:lvlJc w:val="left"/>
      <w:pPr>
        <w:ind w:left="2827" w:hanging="360"/>
      </w:pPr>
      <w:rPr>
        <w:rFonts w:ascii="Courier New" w:hAnsi="Courier New" w:cs="Courier New" w:hint="default"/>
      </w:rPr>
    </w:lvl>
    <w:lvl w:ilvl="2" w:tplc="0C0C0005" w:tentative="1">
      <w:start w:val="1"/>
      <w:numFmt w:val="bullet"/>
      <w:lvlText w:val=""/>
      <w:lvlJc w:val="left"/>
      <w:pPr>
        <w:ind w:left="3547" w:hanging="360"/>
      </w:pPr>
      <w:rPr>
        <w:rFonts w:ascii="Wingdings" w:hAnsi="Wingdings" w:hint="default"/>
      </w:rPr>
    </w:lvl>
    <w:lvl w:ilvl="3" w:tplc="0C0C0001" w:tentative="1">
      <w:start w:val="1"/>
      <w:numFmt w:val="bullet"/>
      <w:lvlText w:val=""/>
      <w:lvlJc w:val="left"/>
      <w:pPr>
        <w:ind w:left="4267" w:hanging="360"/>
      </w:pPr>
      <w:rPr>
        <w:rFonts w:ascii="Symbol" w:hAnsi="Symbol" w:hint="default"/>
      </w:rPr>
    </w:lvl>
    <w:lvl w:ilvl="4" w:tplc="0C0C0003" w:tentative="1">
      <w:start w:val="1"/>
      <w:numFmt w:val="bullet"/>
      <w:lvlText w:val="o"/>
      <w:lvlJc w:val="left"/>
      <w:pPr>
        <w:ind w:left="4987" w:hanging="360"/>
      </w:pPr>
      <w:rPr>
        <w:rFonts w:ascii="Courier New" w:hAnsi="Courier New" w:cs="Courier New" w:hint="default"/>
      </w:rPr>
    </w:lvl>
    <w:lvl w:ilvl="5" w:tplc="0C0C0005" w:tentative="1">
      <w:start w:val="1"/>
      <w:numFmt w:val="bullet"/>
      <w:lvlText w:val=""/>
      <w:lvlJc w:val="left"/>
      <w:pPr>
        <w:ind w:left="5707" w:hanging="360"/>
      </w:pPr>
      <w:rPr>
        <w:rFonts w:ascii="Wingdings" w:hAnsi="Wingdings" w:hint="default"/>
      </w:rPr>
    </w:lvl>
    <w:lvl w:ilvl="6" w:tplc="0C0C0001" w:tentative="1">
      <w:start w:val="1"/>
      <w:numFmt w:val="bullet"/>
      <w:lvlText w:val=""/>
      <w:lvlJc w:val="left"/>
      <w:pPr>
        <w:ind w:left="6427" w:hanging="360"/>
      </w:pPr>
      <w:rPr>
        <w:rFonts w:ascii="Symbol" w:hAnsi="Symbol" w:hint="default"/>
      </w:rPr>
    </w:lvl>
    <w:lvl w:ilvl="7" w:tplc="0C0C0003" w:tentative="1">
      <w:start w:val="1"/>
      <w:numFmt w:val="bullet"/>
      <w:lvlText w:val="o"/>
      <w:lvlJc w:val="left"/>
      <w:pPr>
        <w:ind w:left="7147" w:hanging="360"/>
      </w:pPr>
      <w:rPr>
        <w:rFonts w:ascii="Courier New" w:hAnsi="Courier New" w:cs="Courier New" w:hint="default"/>
      </w:rPr>
    </w:lvl>
    <w:lvl w:ilvl="8" w:tplc="0C0C0005" w:tentative="1">
      <w:start w:val="1"/>
      <w:numFmt w:val="bullet"/>
      <w:lvlText w:val=""/>
      <w:lvlJc w:val="left"/>
      <w:pPr>
        <w:ind w:left="7867" w:hanging="360"/>
      </w:pPr>
      <w:rPr>
        <w:rFonts w:ascii="Wingdings" w:hAnsi="Wingdings" w:hint="default"/>
      </w:rPr>
    </w:lvl>
  </w:abstractNum>
  <w:abstractNum w:abstractNumId="12" w15:restartNumberingAfterBreak="0">
    <w:nsid w:val="4D173D01"/>
    <w:multiLevelType w:val="hybridMultilevel"/>
    <w:tmpl w:val="C8F03318"/>
    <w:lvl w:ilvl="0" w:tplc="38EC4796">
      <w:start w:val="25"/>
      <w:numFmt w:val="bullet"/>
      <w:lvlText w:val="•"/>
      <w:lvlJc w:val="left"/>
      <w:pPr>
        <w:ind w:left="2227" w:hanging="480"/>
      </w:pPr>
      <w:rPr>
        <w:rFonts w:ascii="Times New Roman" w:eastAsiaTheme="minorHAnsi" w:hAnsi="Times New Roman" w:cs="Times New Roman" w:hint="default"/>
      </w:rPr>
    </w:lvl>
    <w:lvl w:ilvl="1" w:tplc="0C0C0003" w:tentative="1">
      <w:start w:val="1"/>
      <w:numFmt w:val="bullet"/>
      <w:lvlText w:val="o"/>
      <w:lvlJc w:val="left"/>
      <w:pPr>
        <w:ind w:left="2827" w:hanging="360"/>
      </w:pPr>
      <w:rPr>
        <w:rFonts w:ascii="Courier New" w:hAnsi="Courier New" w:cs="Courier New" w:hint="default"/>
      </w:rPr>
    </w:lvl>
    <w:lvl w:ilvl="2" w:tplc="0C0C0005" w:tentative="1">
      <w:start w:val="1"/>
      <w:numFmt w:val="bullet"/>
      <w:lvlText w:val=""/>
      <w:lvlJc w:val="left"/>
      <w:pPr>
        <w:ind w:left="3547" w:hanging="360"/>
      </w:pPr>
      <w:rPr>
        <w:rFonts w:ascii="Wingdings" w:hAnsi="Wingdings" w:hint="default"/>
      </w:rPr>
    </w:lvl>
    <w:lvl w:ilvl="3" w:tplc="0C0C0001" w:tentative="1">
      <w:start w:val="1"/>
      <w:numFmt w:val="bullet"/>
      <w:lvlText w:val=""/>
      <w:lvlJc w:val="left"/>
      <w:pPr>
        <w:ind w:left="4267" w:hanging="360"/>
      </w:pPr>
      <w:rPr>
        <w:rFonts w:ascii="Symbol" w:hAnsi="Symbol" w:hint="default"/>
      </w:rPr>
    </w:lvl>
    <w:lvl w:ilvl="4" w:tplc="0C0C0003" w:tentative="1">
      <w:start w:val="1"/>
      <w:numFmt w:val="bullet"/>
      <w:lvlText w:val="o"/>
      <w:lvlJc w:val="left"/>
      <w:pPr>
        <w:ind w:left="4987" w:hanging="360"/>
      </w:pPr>
      <w:rPr>
        <w:rFonts w:ascii="Courier New" w:hAnsi="Courier New" w:cs="Courier New" w:hint="default"/>
      </w:rPr>
    </w:lvl>
    <w:lvl w:ilvl="5" w:tplc="0C0C0005" w:tentative="1">
      <w:start w:val="1"/>
      <w:numFmt w:val="bullet"/>
      <w:lvlText w:val=""/>
      <w:lvlJc w:val="left"/>
      <w:pPr>
        <w:ind w:left="5707" w:hanging="360"/>
      </w:pPr>
      <w:rPr>
        <w:rFonts w:ascii="Wingdings" w:hAnsi="Wingdings" w:hint="default"/>
      </w:rPr>
    </w:lvl>
    <w:lvl w:ilvl="6" w:tplc="0C0C0001" w:tentative="1">
      <w:start w:val="1"/>
      <w:numFmt w:val="bullet"/>
      <w:lvlText w:val=""/>
      <w:lvlJc w:val="left"/>
      <w:pPr>
        <w:ind w:left="6427" w:hanging="360"/>
      </w:pPr>
      <w:rPr>
        <w:rFonts w:ascii="Symbol" w:hAnsi="Symbol" w:hint="default"/>
      </w:rPr>
    </w:lvl>
    <w:lvl w:ilvl="7" w:tplc="0C0C0003" w:tentative="1">
      <w:start w:val="1"/>
      <w:numFmt w:val="bullet"/>
      <w:lvlText w:val="o"/>
      <w:lvlJc w:val="left"/>
      <w:pPr>
        <w:ind w:left="7147" w:hanging="360"/>
      </w:pPr>
      <w:rPr>
        <w:rFonts w:ascii="Courier New" w:hAnsi="Courier New" w:cs="Courier New" w:hint="default"/>
      </w:rPr>
    </w:lvl>
    <w:lvl w:ilvl="8" w:tplc="0C0C0005" w:tentative="1">
      <w:start w:val="1"/>
      <w:numFmt w:val="bullet"/>
      <w:lvlText w:val=""/>
      <w:lvlJc w:val="left"/>
      <w:pPr>
        <w:ind w:left="7867" w:hanging="360"/>
      </w:pPr>
      <w:rPr>
        <w:rFonts w:ascii="Wingdings" w:hAnsi="Wingdings" w:hint="default"/>
      </w:rPr>
    </w:lvl>
  </w:abstractNum>
  <w:abstractNum w:abstractNumId="13" w15:restartNumberingAfterBreak="0">
    <w:nsid w:val="4D853552"/>
    <w:multiLevelType w:val="hybridMultilevel"/>
    <w:tmpl w:val="4D7846D4"/>
    <w:lvl w:ilvl="0" w:tplc="38EC4796">
      <w:start w:val="39"/>
      <w:numFmt w:val="bullet"/>
      <w:lvlText w:val="•"/>
      <w:lvlJc w:val="left"/>
      <w:pPr>
        <w:ind w:left="2227" w:hanging="480"/>
      </w:pPr>
      <w:rPr>
        <w:rFonts w:ascii="Times New Roman" w:eastAsiaTheme="minorHAnsi" w:hAnsi="Times New Roman" w:cs="Times New Roman" w:hint="default"/>
      </w:rPr>
    </w:lvl>
    <w:lvl w:ilvl="1" w:tplc="0C0C0003" w:tentative="1">
      <w:start w:val="1"/>
      <w:numFmt w:val="bullet"/>
      <w:lvlText w:val="o"/>
      <w:lvlJc w:val="left"/>
      <w:pPr>
        <w:ind w:left="2827" w:hanging="360"/>
      </w:pPr>
      <w:rPr>
        <w:rFonts w:ascii="Courier New" w:hAnsi="Courier New" w:cs="Courier New" w:hint="default"/>
      </w:rPr>
    </w:lvl>
    <w:lvl w:ilvl="2" w:tplc="0C0C0005" w:tentative="1">
      <w:start w:val="1"/>
      <w:numFmt w:val="bullet"/>
      <w:lvlText w:val=""/>
      <w:lvlJc w:val="left"/>
      <w:pPr>
        <w:ind w:left="3547" w:hanging="360"/>
      </w:pPr>
      <w:rPr>
        <w:rFonts w:ascii="Wingdings" w:hAnsi="Wingdings" w:hint="default"/>
      </w:rPr>
    </w:lvl>
    <w:lvl w:ilvl="3" w:tplc="0C0C0001" w:tentative="1">
      <w:start w:val="1"/>
      <w:numFmt w:val="bullet"/>
      <w:lvlText w:val=""/>
      <w:lvlJc w:val="left"/>
      <w:pPr>
        <w:ind w:left="4267" w:hanging="360"/>
      </w:pPr>
      <w:rPr>
        <w:rFonts w:ascii="Symbol" w:hAnsi="Symbol" w:hint="default"/>
      </w:rPr>
    </w:lvl>
    <w:lvl w:ilvl="4" w:tplc="0C0C0003" w:tentative="1">
      <w:start w:val="1"/>
      <w:numFmt w:val="bullet"/>
      <w:lvlText w:val="o"/>
      <w:lvlJc w:val="left"/>
      <w:pPr>
        <w:ind w:left="4987" w:hanging="360"/>
      </w:pPr>
      <w:rPr>
        <w:rFonts w:ascii="Courier New" w:hAnsi="Courier New" w:cs="Courier New" w:hint="default"/>
      </w:rPr>
    </w:lvl>
    <w:lvl w:ilvl="5" w:tplc="0C0C0005" w:tentative="1">
      <w:start w:val="1"/>
      <w:numFmt w:val="bullet"/>
      <w:lvlText w:val=""/>
      <w:lvlJc w:val="left"/>
      <w:pPr>
        <w:ind w:left="5707" w:hanging="360"/>
      </w:pPr>
      <w:rPr>
        <w:rFonts w:ascii="Wingdings" w:hAnsi="Wingdings" w:hint="default"/>
      </w:rPr>
    </w:lvl>
    <w:lvl w:ilvl="6" w:tplc="0C0C0001" w:tentative="1">
      <w:start w:val="1"/>
      <w:numFmt w:val="bullet"/>
      <w:lvlText w:val=""/>
      <w:lvlJc w:val="left"/>
      <w:pPr>
        <w:ind w:left="6427" w:hanging="360"/>
      </w:pPr>
      <w:rPr>
        <w:rFonts w:ascii="Symbol" w:hAnsi="Symbol" w:hint="default"/>
      </w:rPr>
    </w:lvl>
    <w:lvl w:ilvl="7" w:tplc="0C0C0003" w:tentative="1">
      <w:start w:val="1"/>
      <w:numFmt w:val="bullet"/>
      <w:lvlText w:val="o"/>
      <w:lvlJc w:val="left"/>
      <w:pPr>
        <w:ind w:left="7147" w:hanging="360"/>
      </w:pPr>
      <w:rPr>
        <w:rFonts w:ascii="Courier New" w:hAnsi="Courier New" w:cs="Courier New" w:hint="default"/>
      </w:rPr>
    </w:lvl>
    <w:lvl w:ilvl="8" w:tplc="0C0C0005" w:tentative="1">
      <w:start w:val="1"/>
      <w:numFmt w:val="bullet"/>
      <w:lvlText w:val=""/>
      <w:lvlJc w:val="left"/>
      <w:pPr>
        <w:ind w:left="7867" w:hanging="360"/>
      </w:pPr>
      <w:rPr>
        <w:rFonts w:ascii="Wingdings" w:hAnsi="Wingdings" w:hint="default"/>
      </w:rPr>
    </w:lvl>
  </w:abstractNum>
  <w:abstractNum w:abstractNumId="14" w15:restartNumberingAfterBreak="0">
    <w:nsid w:val="4DE346B5"/>
    <w:multiLevelType w:val="singleLevel"/>
    <w:tmpl w:val="3D100054"/>
    <w:lvl w:ilvl="0">
      <w:start w:val="1"/>
      <w:numFmt w:val="decimal"/>
      <w:lvlRestart w:val="0"/>
      <w:lvlText w:val="%1."/>
      <w:lvlJc w:val="left"/>
      <w:pPr>
        <w:tabs>
          <w:tab w:val="num" w:pos="475"/>
        </w:tabs>
        <w:ind w:left="0" w:firstLine="0"/>
      </w:pPr>
      <w:rPr>
        <w:w w:val="100"/>
      </w:rPr>
    </w:lvl>
  </w:abstractNum>
  <w:abstractNum w:abstractNumId="15" w15:restartNumberingAfterBreak="0">
    <w:nsid w:val="51A60D0C"/>
    <w:multiLevelType w:val="hybridMultilevel"/>
    <w:tmpl w:val="FAD425F8"/>
    <w:lvl w:ilvl="0" w:tplc="38EC4796">
      <w:start w:val="42"/>
      <w:numFmt w:val="bullet"/>
      <w:lvlText w:val="•"/>
      <w:lvlJc w:val="left"/>
      <w:pPr>
        <w:ind w:left="2227" w:hanging="480"/>
      </w:pPr>
      <w:rPr>
        <w:rFonts w:ascii="Times New Roman" w:eastAsiaTheme="minorHAnsi" w:hAnsi="Times New Roman" w:cs="Times New Roman" w:hint="default"/>
      </w:rPr>
    </w:lvl>
    <w:lvl w:ilvl="1" w:tplc="0C0C0003" w:tentative="1">
      <w:start w:val="1"/>
      <w:numFmt w:val="bullet"/>
      <w:lvlText w:val="o"/>
      <w:lvlJc w:val="left"/>
      <w:pPr>
        <w:ind w:left="2827" w:hanging="360"/>
      </w:pPr>
      <w:rPr>
        <w:rFonts w:ascii="Courier New" w:hAnsi="Courier New" w:cs="Courier New" w:hint="default"/>
      </w:rPr>
    </w:lvl>
    <w:lvl w:ilvl="2" w:tplc="0C0C0005" w:tentative="1">
      <w:start w:val="1"/>
      <w:numFmt w:val="bullet"/>
      <w:lvlText w:val=""/>
      <w:lvlJc w:val="left"/>
      <w:pPr>
        <w:ind w:left="3547" w:hanging="360"/>
      </w:pPr>
      <w:rPr>
        <w:rFonts w:ascii="Wingdings" w:hAnsi="Wingdings" w:hint="default"/>
      </w:rPr>
    </w:lvl>
    <w:lvl w:ilvl="3" w:tplc="0C0C0001" w:tentative="1">
      <w:start w:val="1"/>
      <w:numFmt w:val="bullet"/>
      <w:lvlText w:val=""/>
      <w:lvlJc w:val="left"/>
      <w:pPr>
        <w:ind w:left="4267" w:hanging="360"/>
      </w:pPr>
      <w:rPr>
        <w:rFonts w:ascii="Symbol" w:hAnsi="Symbol" w:hint="default"/>
      </w:rPr>
    </w:lvl>
    <w:lvl w:ilvl="4" w:tplc="0C0C0003" w:tentative="1">
      <w:start w:val="1"/>
      <w:numFmt w:val="bullet"/>
      <w:lvlText w:val="o"/>
      <w:lvlJc w:val="left"/>
      <w:pPr>
        <w:ind w:left="4987" w:hanging="360"/>
      </w:pPr>
      <w:rPr>
        <w:rFonts w:ascii="Courier New" w:hAnsi="Courier New" w:cs="Courier New" w:hint="default"/>
      </w:rPr>
    </w:lvl>
    <w:lvl w:ilvl="5" w:tplc="0C0C0005" w:tentative="1">
      <w:start w:val="1"/>
      <w:numFmt w:val="bullet"/>
      <w:lvlText w:val=""/>
      <w:lvlJc w:val="left"/>
      <w:pPr>
        <w:ind w:left="5707" w:hanging="360"/>
      </w:pPr>
      <w:rPr>
        <w:rFonts w:ascii="Wingdings" w:hAnsi="Wingdings" w:hint="default"/>
      </w:rPr>
    </w:lvl>
    <w:lvl w:ilvl="6" w:tplc="0C0C0001" w:tentative="1">
      <w:start w:val="1"/>
      <w:numFmt w:val="bullet"/>
      <w:lvlText w:val=""/>
      <w:lvlJc w:val="left"/>
      <w:pPr>
        <w:ind w:left="6427" w:hanging="360"/>
      </w:pPr>
      <w:rPr>
        <w:rFonts w:ascii="Symbol" w:hAnsi="Symbol" w:hint="default"/>
      </w:rPr>
    </w:lvl>
    <w:lvl w:ilvl="7" w:tplc="0C0C0003" w:tentative="1">
      <w:start w:val="1"/>
      <w:numFmt w:val="bullet"/>
      <w:lvlText w:val="o"/>
      <w:lvlJc w:val="left"/>
      <w:pPr>
        <w:ind w:left="7147" w:hanging="360"/>
      </w:pPr>
      <w:rPr>
        <w:rFonts w:ascii="Courier New" w:hAnsi="Courier New" w:cs="Courier New" w:hint="default"/>
      </w:rPr>
    </w:lvl>
    <w:lvl w:ilvl="8" w:tplc="0C0C0005" w:tentative="1">
      <w:start w:val="1"/>
      <w:numFmt w:val="bullet"/>
      <w:lvlText w:val=""/>
      <w:lvlJc w:val="left"/>
      <w:pPr>
        <w:ind w:left="7867" w:hanging="360"/>
      </w:pPr>
      <w:rPr>
        <w:rFonts w:ascii="Wingdings" w:hAnsi="Wingdings" w:hint="default"/>
      </w:rPr>
    </w:lvl>
  </w:abstractNum>
  <w:abstractNum w:abstractNumId="16" w15:restartNumberingAfterBreak="0">
    <w:nsid w:val="536D3ECD"/>
    <w:multiLevelType w:val="hybridMultilevel"/>
    <w:tmpl w:val="E5E8B6D2"/>
    <w:lvl w:ilvl="0" w:tplc="38EC4796">
      <w:start w:val="9"/>
      <w:numFmt w:val="bullet"/>
      <w:lvlText w:val="•"/>
      <w:lvlJc w:val="left"/>
      <w:pPr>
        <w:ind w:left="2227" w:hanging="48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42F25E6"/>
    <w:multiLevelType w:val="hybridMultilevel"/>
    <w:tmpl w:val="54304BA2"/>
    <w:lvl w:ilvl="0" w:tplc="38EC4796">
      <w:start w:val="9"/>
      <w:numFmt w:val="bullet"/>
      <w:lvlText w:val="•"/>
      <w:lvlJc w:val="left"/>
      <w:pPr>
        <w:ind w:left="3494" w:hanging="480"/>
      </w:pPr>
      <w:rPr>
        <w:rFonts w:ascii="Times New Roman" w:eastAsiaTheme="minorHAnsi" w:hAnsi="Times New Roman" w:cs="Times New Roman" w:hint="default"/>
      </w:rPr>
    </w:lvl>
    <w:lvl w:ilvl="1" w:tplc="0C0C0003" w:tentative="1">
      <w:start w:val="1"/>
      <w:numFmt w:val="bullet"/>
      <w:lvlText w:val="o"/>
      <w:lvlJc w:val="left"/>
      <w:pPr>
        <w:ind w:left="2707" w:hanging="360"/>
      </w:pPr>
      <w:rPr>
        <w:rFonts w:ascii="Courier New" w:hAnsi="Courier New" w:cs="Courier New" w:hint="default"/>
      </w:rPr>
    </w:lvl>
    <w:lvl w:ilvl="2" w:tplc="0C0C0005" w:tentative="1">
      <w:start w:val="1"/>
      <w:numFmt w:val="bullet"/>
      <w:lvlText w:val=""/>
      <w:lvlJc w:val="left"/>
      <w:pPr>
        <w:ind w:left="3427" w:hanging="360"/>
      </w:pPr>
      <w:rPr>
        <w:rFonts w:ascii="Wingdings" w:hAnsi="Wingdings" w:hint="default"/>
      </w:rPr>
    </w:lvl>
    <w:lvl w:ilvl="3" w:tplc="0C0C0001" w:tentative="1">
      <w:start w:val="1"/>
      <w:numFmt w:val="bullet"/>
      <w:lvlText w:val=""/>
      <w:lvlJc w:val="left"/>
      <w:pPr>
        <w:ind w:left="4147" w:hanging="360"/>
      </w:pPr>
      <w:rPr>
        <w:rFonts w:ascii="Symbol" w:hAnsi="Symbol" w:hint="default"/>
      </w:rPr>
    </w:lvl>
    <w:lvl w:ilvl="4" w:tplc="0C0C0003" w:tentative="1">
      <w:start w:val="1"/>
      <w:numFmt w:val="bullet"/>
      <w:lvlText w:val="o"/>
      <w:lvlJc w:val="left"/>
      <w:pPr>
        <w:ind w:left="4867" w:hanging="360"/>
      </w:pPr>
      <w:rPr>
        <w:rFonts w:ascii="Courier New" w:hAnsi="Courier New" w:cs="Courier New" w:hint="default"/>
      </w:rPr>
    </w:lvl>
    <w:lvl w:ilvl="5" w:tplc="0C0C0005" w:tentative="1">
      <w:start w:val="1"/>
      <w:numFmt w:val="bullet"/>
      <w:lvlText w:val=""/>
      <w:lvlJc w:val="left"/>
      <w:pPr>
        <w:ind w:left="5587" w:hanging="360"/>
      </w:pPr>
      <w:rPr>
        <w:rFonts w:ascii="Wingdings" w:hAnsi="Wingdings" w:hint="default"/>
      </w:rPr>
    </w:lvl>
    <w:lvl w:ilvl="6" w:tplc="0C0C0001" w:tentative="1">
      <w:start w:val="1"/>
      <w:numFmt w:val="bullet"/>
      <w:lvlText w:val=""/>
      <w:lvlJc w:val="left"/>
      <w:pPr>
        <w:ind w:left="6307" w:hanging="360"/>
      </w:pPr>
      <w:rPr>
        <w:rFonts w:ascii="Symbol" w:hAnsi="Symbol" w:hint="default"/>
      </w:rPr>
    </w:lvl>
    <w:lvl w:ilvl="7" w:tplc="0C0C0003" w:tentative="1">
      <w:start w:val="1"/>
      <w:numFmt w:val="bullet"/>
      <w:lvlText w:val="o"/>
      <w:lvlJc w:val="left"/>
      <w:pPr>
        <w:ind w:left="7027" w:hanging="360"/>
      </w:pPr>
      <w:rPr>
        <w:rFonts w:ascii="Courier New" w:hAnsi="Courier New" w:cs="Courier New" w:hint="default"/>
      </w:rPr>
    </w:lvl>
    <w:lvl w:ilvl="8" w:tplc="0C0C0005" w:tentative="1">
      <w:start w:val="1"/>
      <w:numFmt w:val="bullet"/>
      <w:lvlText w:val=""/>
      <w:lvlJc w:val="left"/>
      <w:pPr>
        <w:ind w:left="7747" w:hanging="360"/>
      </w:pPr>
      <w:rPr>
        <w:rFonts w:ascii="Wingdings" w:hAnsi="Wingdings" w:hint="default"/>
      </w:rPr>
    </w:lvl>
  </w:abstractNum>
  <w:abstractNum w:abstractNumId="18" w15:restartNumberingAfterBreak="0">
    <w:nsid w:val="68D57998"/>
    <w:multiLevelType w:val="hybridMultilevel"/>
    <w:tmpl w:val="0F744956"/>
    <w:lvl w:ilvl="0" w:tplc="0C0C0001">
      <w:start w:val="1"/>
      <w:numFmt w:val="bullet"/>
      <w:lvlText w:val=""/>
      <w:lvlJc w:val="left"/>
      <w:pPr>
        <w:ind w:left="1987" w:hanging="360"/>
      </w:pPr>
      <w:rPr>
        <w:rFonts w:ascii="Symbol" w:hAnsi="Symbol" w:hint="default"/>
      </w:rPr>
    </w:lvl>
    <w:lvl w:ilvl="1" w:tplc="0C0C0003" w:tentative="1">
      <w:start w:val="1"/>
      <w:numFmt w:val="bullet"/>
      <w:lvlText w:val="o"/>
      <w:lvlJc w:val="left"/>
      <w:pPr>
        <w:ind w:left="2707" w:hanging="360"/>
      </w:pPr>
      <w:rPr>
        <w:rFonts w:ascii="Courier New" w:hAnsi="Courier New" w:cs="Courier New" w:hint="default"/>
      </w:rPr>
    </w:lvl>
    <w:lvl w:ilvl="2" w:tplc="0C0C0005" w:tentative="1">
      <w:start w:val="1"/>
      <w:numFmt w:val="bullet"/>
      <w:lvlText w:val=""/>
      <w:lvlJc w:val="left"/>
      <w:pPr>
        <w:ind w:left="3427" w:hanging="360"/>
      </w:pPr>
      <w:rPr>
        <w:rFonts w:ascii="Wingdings" w:hAnsi="Wingdings" w:hint="default"/>
      </w:rPr>
    </w:lvl>
    <w:lvl w:ilvl="3" w:tplc="0C0C0001" w:tentative="1">
      <w:start w:val="1"/>
      <w:numFmt w:val="bullet"/>
      <w:lvlText w:val=""/>
      <w:lvlJc w:val="left"/>
      <w:pPr>
        <w:ind w:left="4147" w:hanging="360"/>
      </w:pPr>
      <w:rPr>
        <w:rFonts w:ascii="Symbol" w:hAnsi="Symbol" w:hint="default"/>
      </w:rPr>
    </w:lvl>
    <w:lvl w:ilvl="4" w:tplc="0C0C0003" w:tentative="1">
      <w:start w:val="1"/>
      <w:numFmt w:val="bullet"/>
      <w:lvlText w:val="o"/>
      <w:lvlJc w:val="left"/>
      <w:pPr>
        <w:ind w:left="4867" w:hanging="360"/>
      </w:pPr>
      <w:rPr>
        <w:rFonts w:ascii="Courier New" w:hAnsi="Courier New" w:cs="Courier New" w:hint="default"/>
      </w:rPr>
    </w:lvl>
    <w:lvl w:ilvl="5" w:tplc="0C0C0005" w:tentative="1">
      <w:start w:val="1"/>
      <w:numFmt w:val="bullet"/>
      <w:lvlText w:val=""/>
      <w:lvlJc w:val="left"/>
      <w:pPr>
        <w:ind w:left="5587" w:hanging="360"/>
      </w:pPr>
      <w:rPr>
        <w:rFonts w:ascii="Wingdings" w:hAnsi="Wingdings" w:hint="default"/>
      </w:rPr>
    </w:lvl>
    <w:lvl w:ilvl="6" w:tplc="0C0C0001" w:tentative="1">
      <w:start w:val="1"/>
      <w:numFmt w:val="bullet"/>
      <w:lvlText w:val=""/>
      <w:lvlJc w:val="left"/>
      <w:pPr>
        <w:ind w:left="6307" w:hanging="360"/>
      </w:pPr>
      <w:rPr>
        <w:rFonts w:ascii="Symbol" w:hAnsi="Symbol" w:hint="default"/>
      </w:rPr>
    </w:lvl>
    <w:lvl w:ilvl="7" w:tplc="0C0C0003" w:tentative="1">
      <w:start w:val="1"/>
      <w:numFmt w:val="bullet"/>
      <w:lvlText w:val="o"/>
      <w:lvlJc w:val="left"/>
      <w:pPr>
        <w:ind w:left="7027" w:hanging="360"/>
      </w:pPr>
      <w:rPr>
        <w:rFonts w:ascii="Courier New" w:hAnsi="Courier New" w:cs="Courier New" w:hint="default"/>
      </w:rPr>
    </w:lvl>
    <w:lvl w:ilvl="8" w:tplc="0C0C0005" w:tentative="1">
      <w:start w:val="1"/>
      <w:numFmt w:val="bullet"/>
      <w:lvlText w:val=""/>
      <w:lvlJc w:val="left"/>
      <w:pPr>
        <w:ind w:left="7747" w:hanging="360"/>
      </w:pPr>
      <w:rPr>
        <w:rFonts w:ascii="Wingdings" w:hAnsi="Wingdings" w:hint="default"/>
      </w:rPr>
    </w:lvl>
  </w:abstractNum>
  <w:abstractNum w:abstractNumId="19" w15:restartNumberingAfterBreak="0">
    <w:nsid w:val="7A4572FE"/>
    <w:multiLevelType w:val="hybridMultilevel"/>
    <w:tmpl w:val="B4CA2288"/>
    <w:lvl w:ilvl="0" w:tplc="1250E332">
      <w:start w:val="1"/>
      <w:numFmt w:val="decimal"/>
      <w:lvlText w:val="%1."/>
      <w:lvlJc w:val="left"/>
      <w:pPr>
        <w:ind w:left="1747" w:hanging="480"/>
      </w:pPr>
      <w:rPr>
        <w:rFonts w:hint="default"/>
      </w:rPr>
    </w:lvl>
    <w:lvl w:ilvl="1" w:tplc="0C0C0019" w:tentative="1">
      <w:start w:val="1"/>
      <w:numFmt w:val="lowerLetter"/>
      <w:lvlText w:val="%2."/>
      <w:lvlJc w:val="left"/>
      <w:pPr>
        <w:ind w:left="2347" w:hanging="360"/>
      </w:pPr>
    </w:lvl>
    <w:lvl w:ilvl="2" w:tplc="0C0C001B" w:tentative="1">
      <w:start w:val="1"/>
      <w:numFmt w:val="lowerRoman"/>
      <w:lvlText w:val="%3."/>
      <w:lvlJc w:val="right"/>
      <w:pPr>
        <w:ind w:left="3067" w:hanging="180"/>
      </w:pPr>
    </w:lvl>
    <w:lvl w:ilvl="3" w:tplc="0C0C000F" w:tentative="1">
      <w:start w:val="1"/>
      <w:numFmt w:val="decimal"/>
      <w:lvlText w:val="%4."/>
      <w:lvlJc w:val="left"/>
      <w:pPr>
        <w:ind w:left="3787" w:hanging="360"/>
      </w:pPr>
    </w:lvl>
    <w:lvl w:ilvl="4" w:tplc="0C0C0019" w:tentative="1">
      <w:start w:val="1"/>
      <w:numFmt w:val="lowerLetter"/>
      <w:lvlText w:val="%5."/>
      <w:lvlJc w:val="left"/>
      <w:pPr>
        <w:ind w:left="4507" w:hanging="360"/>
      </w:pPr>
    </w:lvl>
    <w:lvl w:ilvl="5" w:tplc="0C0C001B" w:tentative="1">
      <w:start w:val="1"/>
      <w:numFmt w:val="lowerRoman"/>
      <w:lvlText w:val="%6."/>
      <w:lvlJc w:val="right"/>
      <w:pPr>
        <w:ind w:left="5227" w:hanging="180"/>
      </w:pPr>
    </w:lvl>
    <w:lvl w:ilvl="6" w:tplc="0C0C000F" w:tentative="1">
      <w:start w:val="1"/>
      <w:numFmt w:val="decimal"/>
      <w:lvlText w:val="%7."/>
      <w:lvlJc w:val="left"/>
      <w:pPr>
        <w:ind w:left="5947" w:hanging="360"/>
      </w:pPr>
    </w:lvl>
    <w:lvl w:ilvl="7" w:tplc="0C0C0019" w:tentative="1">
      <w:start w:val="1"/>
      <w:numFmt w:val="lowerLetter"/>
      <w:lvlText w:val="%8."/>
      <w:lvlJc w:val="left"/>
      <w:pPr>
        <w:ind w:left="6667" w:hanging="360"/>
      </w:pPr>
    </w:lvl>
    <w:lvl w:ilvl="8" w:tplc="0C0C001B" w:tentative="1">
      <w:start w:val="1"/>
      <w:numFmt w:val="lowerRoman"/>
      <w:lvlText w:val="%9."/>
      <w:lvlJc w:val="right"/>
      <w:pPr>
        <w:ind w:left="7387" w:hanging="180"/>
      </w:pPr>
    </w:lvl>
  </w:abstractNum>
  <w:abstractNum w:abstractNumId="20" w15:restartNumberingAfterBreak="0">
    <w:nsid w:val="7CAD5B0D"/>
    <w:multiLevelType w:val="hybridMultilevel"/>
    <w:tmpl w:val="92EC0ECE"/>
    <w:lvl w:ilvl="0" w:tplc="38EC4796">
      <w:start w:val="9"/>
      <w:numFmt w:val="bullet"/>
      <w:lvlText w:val="•"/>
      <w:lvlJc w:val="left"/>
      <w:pPr>
        <w:ind w:left="3494" w:hanging="480"/>
      </w:pPr>
      <w:rPr>
        <w:rFonts w:ascii="Times New Roman" w:eastAsiaTheme="minorHAnsi" w:hAnsi="Times New Roman" w:cs="Times New Roman" w:hint="default"/>
      </w:rPr>
    </w:lvl>
    <w:lvl w:ilvl="1" w:tplc="0C0C0003" w:tentative="1">
      <w:start w:val="1"/>
      <w:numFmt w:val="bullet"/>
      <w:lvlText w:val="o"/>
      <w:lvlJc w:val="left"/>
      <w:pPr>
        <w:ind w:left="2707" w:hanging="360"/>
      </w:pPr>
      <w:rPr>
        <w:rFonts w:ascii="Courier New" w:hAnsi="Courier New" w:cs="Courier New" w:hint="default"/>
      </w:rPr>
    </w:lvl>
    <w:lvl w:ilvl="2" w:tplc="0C0C0005" w:tentative="1">
      <w:start w:val="1"/>
      <w:numFmt w:val="bullet"/>
      <w:lvlText w:val=""/>
      <w:lvlJc w:val="left"/>
      <w:pPr>
        <w:ind w:left="3427" w:hanging="360"/>
      </w:pPr>
      <w:rPr>
        <w:rFonts w:ascii="Wingdings" w:hAnsi="Wingdings" w:hint="default"/>
      </w:rPr>
    </w:lvl>
    <w:lvl w:ilvl="3" w:tplc="0C0C0001" w:tentative="1">
      <w:start w:val="1"/>
      <w:numFmt w:val="bullet"/>
      <w:lvlText w:val=""/>
      <w:lvlJc w:val="left"/>
      <w:pPr>
        <w:ind w:left="4147" w:hanging="360"/>
      </w:pPr>
      <w:rPr>
        <w:rFonts w:ascii="Symbol" w:hAnsi="Symbol" w:hint="default"/>
      </w:rPr>
    </w:lvl>
    <w:lvl w:ilvl="4" w:tplc="0C0C0003" w:tentative="1">
      <w:start w:val="1"/>
      <w:numFmt w:val="bullet"/>
      <w:lvlText w:val="o"/>
      <w:lvlJc w:val="left"/>
      <w:pPr>
        <w:ind w:left="4867" w:hanging="360"/>
      </w:pPr>
      <w:rPr>
        <w:rFonts w:ascii="Courier New" w:hAnsi="Courier New" w:cs="Courier New" w:hint="default"/>
      </w:rPr>
    </w:lvl>
    <w:lvl w:ilvl="5" w:tplc="0C0C0005" w:tentative="1">
      <w:start w:val="1"/>
      <w:numFmt w:val="bullet"/>
      <w:lvlText w:val=""/>
      <w:lvlJc w:val="left"/>
      <w:pPr>
        <w:ind w:left="5587" w:hanging="360"/>
      </w:pPr>
      <w:rPr>
        <w:rFonts w:ascii="Wingdings" w:hAnsi="Wingdings" w:hint="default"/>
      </w:rPr>
    </w:lvl>
    <w:lvl w:ilvl="6" w:tplc="0C0C0001" w:tentative="1">
      <w:start w:val="1"/>
      <w:numFmt w:val="bullet"/>
      <w:lvlText w:val=""/>
      <w:lvlJc w:val="left"/>
      <w:pPr>
        <w:ind w:left="6307" w:hanging="360"/>
      </w:pPr>
      <w:rPr>
        <w:rFonts w:ascii="Symbol" w:hAnsi="Symbol" w:hint="default"/>
      </w:rPr>
    </w:lvl>
    <w:lvl w:ilvl="7" w:tplc="0C0C0003" w:tentative="1">
      <w:start w:val="1"/>
      <w:numFmt w:val="bullet"/>
      <w:lvlText w:val="o"/>
      <w:lvlJc w:val="left"/>
      <w:pPr>
        <w:ind w:left="7027" w:hanging="360"/>
      </w:pPr>
      <w:rPr>
        <w:rFonts w:ascii="Courier New" w:hAnsi="Courier New" w:cs="Courier New" w:hint="default"/>
      </w:rPr>
    </w:lvl>
    <w:lvl w:ilvl="8" w:tplc="0C0C0005" w:tentative="1">
      <w:start w:val="1"/>
      <w:numFmt w:val="bullet"/>
      <w:lvlText w:val=""/>
      <w:lvlJc w:val="left"/>
      <w:pPr>
        <w:ind w:left="7747" w:hanging="360"/>
      </w:pPr>
      <w:rPr>
        <w:rFonts w:ascii="Wingdings" w:hAnsi="Wingdings" w:hint="default"/>
      </w:rPr>
    </w:lvl>
  </w:abstractNum>
  <w:abstractNum w:abstractNumId="21" w15:restartNumberingAfterBreak="0">
    <w:nsid w:val="7DE22242"/>
    <w:multiLevelType w:val="hybridMultilevel"/>
    <w:tmpl w:val="D80CFCD0"/>
    <w:lvl w:ilvl="0" w:tplc="38EC4796">
      <w:start w:val="9"/>
      <w:numFmt w:val="bullet"/>
      <w:lvlText w:val="•"/>
      <w:lvlJc w:val="left"/>
      <w:pPr>
        <w:ind w:left="3494" w:hanging="480"/>
      </w:pPr>
      <w:rPr>
        <w:rFonts w:ascii="Times New Roman" w:eastAsiaTheme="minorHAnsi" w:hAnsi="Times New Roman" w:cs="Times New Roman" w:hint="default"/>
      </w:rPr>
    </w:lvl>
    <w:lvl w:ilvl="1" w:tplc="0C0C0003" w:tentative="1">
      <w:start w:val="1"/>
      <w:numFmt w:val="bullet"/>
      <w:lvlText w:val="o"/>
      <w:lvlJc w:val="left"/>
      <w:pPr>
        <w:ind w:left="2707" w:hanging="360"/>
      </w:pPr>
      <w:rPr>
        <w:rFonts w:ascii="Courier New" w:hAnsi="Courier New" w:cs="Courier New" w:hint="default"/>
      </w:rPr>
    </w:lvl>
    <w:lvl w:ilvl="2" w:tplc="0C0C0005" w:tentative="1">
      <w:start w:val="1"/>
      <w:numFmt w:val="bullet"/>
      <w:lvlText w:val=""/>
      <w:lvlJc w:val="left"/>
      <w:pPr>
        <w:ind w:left="3427" w:hanging="360"/>
      </w:pPr>
      <w:rPr>
        <w:rFonts w:ascii="Wingdings" w:hAnsi="Wingdings" w:hint="default"/>
      </w:rPr>
    </w:lvl>
    <w:lvl w:ilvl="3" w:tplc="0C0C0001" w:tentative="1">
      <w:start w:val="1"/>
      <w:numFmt w:val="bullet"/>
      <w:lvlText w:val=""/>
      <w:lvlJc w:val="left"/>
      <w:pPr>
        <w:ind w:left="4147" w:hanging="360"/>
      </w:pPr>
      <w:rPr>
        <w:rFonts w:ascii="Symbol" w:hAnsi="Symbol" w:hint="default"/>
      </w:rPr>
    </w:lvl>
    <w:lvl w:ilvl="4" w:tplc="0C0C0003" w:tentative="1">
      <w:start w:val="1"/>
      <w:numFmt w:val="bullet"/>
      <w:lvlText w:val="o"/>
      <w:lvlJc w:val="left"/>
      <w:pPr>
        <w:ind w:left="4867" w:hanging="360"/>
      </w:pPr>
      <w:rPr>
        <w:rFonts w:ascii="Courier New" w:hAnsi="Courier New" w:cs="Courier New" w:hint="default"/>
      </w:rPr>
    </w:lvl>
    <w:lvl w:ilvl="5" w:tplc="0C0C0005" w:tentative="1">
      <w:start w:val="1"/>
      <w:numFmt w:val="bullet"/>
      <w:lvlText w:val=""/>
      <w:lvlJc w:val="left"/>
      <w:pPr>
        <w:ind w:left="5587" w:hanging="360"/>
      </w:pPr>
      <w:rPr>
        <w:rFonts w:ascii="Wingdings" w:hAnsi="Wingdings" w:hint="default"/>
      </w:rPr>
    </w:lvl>
    <w:lvl w:ilvl="6" w:tplc="0C0C0001" w:tentative="1">
      <w:start w:val="1"/>
      <w:numFmt w:val="bullet"/>
      <w:lvlText w:val=""/>
      <w:lvlJc w:val="left"/>
      <w:pPr>
        <w:ind w:left="6307" w:hanging="360"/>
      </w:pPr>
      <w:rPr>
        <w:rFonts w:ascii="Symbol" w:hAnsi="Symbol" w:hint="default"/>
      </w:rPr>
    </w:lvl>
    <w:lvl w:ilvl="7" w:tplc="0C0C0003" w:tentative="1">
      <w:start w:val="1"/>
      <w:numFmt w:val="bullet"/>
      <w:lvlText w:val="o"/>
      <w:lvlJc w:val="left"/>
      <w:pPr>
        <w:ind w:left="7027" w:hanging="360"/>
      </w:pPr>
      <w:rPr>
        <w:rFonts w:ascii="Courier New" w:hAnsi="Courier New" w:cs="Courier New" w:hint="default"/>
      </w:rPr>
    </w:lvl>
    <w:lvl w:ilvl="8" w:tplc="0C0C0005" w:tentative="1">
      <w:start w:val="1"/>
      <w:numFmt w:val="bullet"/>
      <w:lvlText w:val=""/>
      <w:lvlJc w:val="left"/>
      <w:pPr>
        <w:ind w:left="7747" w:hanging="360"/>
      </w:pPr>
      <w:rPr>
        <w:rFonts w:ascii="Wingdings" w:hAnsi="Wingdings" w:hint="default"/>
      </w:rPr>
    </w:lvl>
  </w:abstractNum>
  <w:num w:numId="1">
    <w:abstractNumId w:val="4"/>
  </w:num>
  <w:num w:numId="2">
    <w:abstractNumId w:val="10"/>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14"/>
  </w:num>
  <w:num w:numId="14">
    <w:abstractNumId w:val="19"/>
  </w:num>
  <w:num w:numId="15">
    <w:abstractNumId w:val="14"/>
    <w:lvlOverride w:ilvl="0">
      <w:lvl w:ilvl="0">
        <w:start w:val="1"/>
        <w:numFmt w:val="decimal"/>
        <w:lvlRestart w:val="0"/>
        <w:lvlText w:val="%1."/>
        <w:lvlJc w:val="left"/>
        <w:pPr>
          <w:tabs>
            <w:tab w:val="num" w:pos="475"/>
          </w:tabs>
          <w:ind w:left="0" w:firstLine="0"/>
        </w:pPr>
        <w:rPr>
          <w:w w:val="100"/>
        </w:rPr>
      </w:lvl>
    </w:lvlOverride>
  </w:num>
  <w:num w:numId="16">
    <w:abstractNumId w:val="18"/>
  </w:num>
  <w:num w:numId="17">
    <w:abstractNumId w:val="1"/>
  </w:num>
  <w:num w:numId="18">
    <w:abstractNumId w:val="5"/>
  </w:num>
  <w:num w:numId="19">
    <w:abstractNumId w:val="6"/>
  </w:num>
  <w:num w:numId="20">
    <w:abstractNumId w:val="20"/>
  </w:num>
  <w:num w:numId="21">
    <w:abstractNumId w:val="9"/>
  </w:num>
  <w:num w:numId="22">
    <w:abstractNumId w:val="17"/>
  </w:num>
  <w:num w:numId="23">
    <w:abstractNumId w:val="7"/>
  </w:num>
  <w:num w:numId="24">
    <w:abstractNumId w:val="21"/>
  </w:num>
  <w:num w:numId="25">
    <w:abstractNumId w:val="12"/>
  </w:num>
  <w:num w:numId="26">
    <w:abstractNumId w:val="2"/>
  </w:num>
  <w:num w:numId="27">
    <w:abstractNumId w:val="13"/>
  </w:num>
  <w:num w:numId="28">
    <w:abstractNumId w:val="8"/>
  </w:num>
  <w:num w:numId="29">
    <w:abstractNumId w:val="15"/>
  </w:num>
  <w:num w:numId="30">
    <w:abstractNumId w:val="16"/>
  </w:num>
  <w:num w:numId="31">
    <w:abstractNumId w:val="11"/>
  </w:num>
  <w:num w:numId="32">
    <w:abstractNumId w:val="14"/>
    <w:lvlOverride w:ilvl="0">
      <w:lvl w:ilvl="0">
        <w:start w:val="1"/>
        <w:numFmt w:val="decimal"/>
        <w:lvlRestart w:val="0"/>
        <w:lvlText w:val="%1."/>
        <w:lvlJc w:val="left"/>
        <w:pPr>
          <w:tabs>
            <w:tab w:val="num" w:pos="475"/>
          </w:tabs>
          <w:ind w:left="0" w:firstLine="0"/>
        </w:pPr>
        <w:rPr>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0886*"/>
    <w:docVar w:name="CreationDt" w:val="16/09/2020 9:23: AM"/>
    <w:docVar w:name="DocCategory" w:val="Doc"/>
    <w:docVar w:name="DocType" w:val="Final"/>
    <w:docVar w:name="DutyStation" w:val="New York"/>
    <w:docVar w:name="FooterJN" w:val="20-10886"/>
    <w:docVar w:name="jobn" w:val="20-10886 (F)"/>
    <w:docVar w:name="jobnDT" w:val="20-10886 (F)   160920"/>
    <w:docVar w:name="jobnDTDT" w:val="20-10886 (F)   160920   160920"/>
    <w:docVar w:name="JobNo" w:val="2010886F"/>
    <w:docVar w:name="JobNo2" w:val="2021533F"/>
    <w:docVar w:name="LocalDrive" w:val="0"/>
    <w:docVar w:name="OandT" w:val="SKN"/>
    <w:docVar w:name="sss1" w:val="CEDAW/C/NZL/FCO/8"/>
    <w:docVar w:name="sss2" w:val="-"/>
    <w:docVar w:name="Symbol1" w:val="CEDAW/C/NZL/FCO/8"/>
    <w:docVar w:name="Symbol2" w:val="-"/>
  </w:docVars>
  <w:rsids>
    <w:rsidRoot w:val="0052593E"/>
    <w:rsid w:val="000215A0"/>
    <w:rsid w:val="00034E54"/>
    <w:rsid w:val="00080FAC"/>
    <w:rsid w:val="00082DD8"/>
    <w:rsid w:val="0009263E"/>
    <w:rsid w:val="000C7900"/>
    <w:rsid w:val="001247A9"/>
    <w:rsid w:val="00150E87"/>
    <w:rsid w:val="001701C1"/>
    <w:rsid w:val="00176761"/>
    <w:rsid w:val="0018057D"/>
    <w:rsid w:val="00180944"/>
    <w:rsid w:val="001822D8"/>
    <w:rsid w:val="001868C4"/>
    <w:rsid w:val="001A0E5C"/>
    <w:rsid w:val="001A5C83"/>
    <w:rsid w:val="001C14D1"/>
    <w:rsid w:val="001C622D"/>
    <w:rsid w:val="001D7F38"/>
    <w:rsid w:val="001F4CFE"/>
    <w:rsid w:val="00214A8D"/>
    <w:rsid w:val="002223AB"/>
    <w:rsid w:val="00232A5B"/>
    <w:rsid w:val="00263F12"/>
    <w:rsid w:val="002664E3"/>
    <w:rsid w:val="002D3243"/>
    <w:rsid w:val="0030595C"/>
    <w:rsid w:val="00326D67"/>
    <w:rsid w:val="003437F7"/>
    <w:rsid w:val="003A4361"/>
    <w:rsid w:val="003D1948"/>
    <w:rsid w:val="00406A4A"/>
    <w:rsid w:val="00443C8F"/>
    <w:rsid w:val="004576A4"/>
    <w:rsid w:val="004766F2"/>
    <w:rsid w:val="004852C0"/>
    <w:rsid w:val="0049553D"/>
    <w:rsid w:val="004A7ACD"/>
    <w:rsid w:val="004B0015"/>
    <w:rsid w:val="004B365C"/>
    <w:rsid w:val="004B74C2"/>
    <w:rsid w:val="004D4F2A"/>
    <w:rsid w:val="004E703B"/>
    <w:rsid w:val="00515401"/>
    <w:rsid w:val="0052593E"/>
    <w:rsid w:val="005715DC"/>
    <w:rsid w:val="005752B8"/>
    <w:rsid w:val="005843D5"/>
    <w:rsid w:val="005D7504"/>
    <w:rsid w:val="005E129C"/>
    <w:rsid w:val="005F497F"/>
    <w:rsid w:val="0060046C"/>
    <w:rsid w:val="006134C2"/>
    <w:rsid w:val="00613B59"/>
    <w:rsid w:val="0062309E"/>
    <w:rsid w:val="00627F3B"/>
    <w:rsid w:val="0064117E"/>
    <w:rsid w:val="00651E8F"/>
    <w:rsid w:val="00687907"/>
    <w:rsid w:val="006A47C6"/>
    <w:rsid w:val="006B2D52"/>
    <w:rsid w:val="006C644E"/>
    <w:rsid w:val="006E0E1C"/>
    <w:rsid w:val="006E3CC2"/>
    <w:rsid w:val="006E67EC"/>
    <w:rsid w:val="006F2BBA"/>
    <w:rsid w:val="007068F9"/>
    <w:rsid w:val="00724EC8"/>
    <w:rsid w:val="007422D9"/>
    <w:rsid w:val="00754783"/>
    <w:rsid w:val="00754D25"/>
    <w:rsid w:val="00756A30"/>
    <w:rsid w:val="00777B39"/>
    <w:rsid w:val="00784D65"/>
    <w:rsid w:val="007914E9"/>
    <w:rsid w:val="007B745D"/>
    <w:rsid w:val="007C6C1A"/>
    <w:rsid w:val="007D4152"/>
    <w:rsid w:val="007F7912"/>
    <w:rsid w:val="008100F5"/>
    <w:rsid w:val="008234C8"/>
    <w:rsid w:val="00893786"/>
    <w:rsid w:val="00897013"/>
    <w:rsid w:val="008B58F7"/>
    <w:rsid w:val="008B7CB2"/>
    <w:rsid w:val="00923B59"/>
    <w:rsid w:val="00940C6D"/>
    <w:rsid w:val="00943120"/>
    <w:rsid w:val="00990827"/>
    <w:rsid w:val="009A500D"/>
    <w:rsid w:val="009E260A"/>
    <w:rsid w:val="009E299A"/>
    <w:rsid w:val="00A53BA8"/>
    <w:rsid w:val="00A62125"/>
    <w:rsid w:val="00A64937"/>
    <w:rsid w:val="00A65903"/>
    <w:rsid w:val="00A71443"/>
    <w:rsid w:val="00A9139F"/>
    <w:rsid w:val="00A919D7"/>
    <w:rsid w:val="00AC6A02"/>
    <w:rsid w:val="00AD38FA"/>
    <w:rsid w:val="00B12843"/>
    <w:rsid w:val="00B2597B"/>
    <w:rsid w:val="00B34543"/>
    <w:rsid w:val="00B40F69"/>
    <w:rsid w:val="00B63DF2"/>
    <w:rsid w:val="00B71759"/>
    <w:rsid w:val="00B73318"/>
    <w:rsid w:val="00B976A9"/>
    <w:rsid w:val="00BA578C"/>
    <w:rsid w:val="00BB6A31"/>
    <w:rsid w:val="00BD5AC3"/>
    <w:rsid w:val="00BE39EC"/>
    <w:rsid w:val="00BF32FC"/>
    <w:rsid w:val="00C00263"/>
    <w:rsid w:val="00C22AA4"/>
    <w:rsid w:val="00C272CF"/>
    <w:rsid w:val="00C6397F"/>
    <w:rsid w:val="00CA07F4"/>
    <w:rsid w:val="00CB6E46"/>
    <w:rsid w:val="00CE20D7"/>
    <w:rsid w:val="00CE5893"/>
    <w:rsid w:val="00CF4B23"/>
    <w:rsid w:val="00D63262"/>
    <w:rsid w:val="00D64C68"/>
    <w:rsid w:val="00D73857"/>
    <w:rsid w:val="00D8490E"/>
    <w:rsid w:val="00D85DBB"/>
    <w:rsid w:val="00DC302D"/>
    <w:rsid w:val="00DC32A6"/>
    <w:rsid w:val="00DE28E2"/>
    <w:rsid w:val="00DF1034"/>
    <w:rsid w:val="00E21919"/>
    <w:rsid w:val="00E27212"/>
    <w:rsid w:val="00E72505"/>
    <w:rsid w:val="00E82FD7"/>
    <w:rsid w:val="00E8404B"/>
    <w:rsid w:val="00EA02AA"/>
    <w:rsid w:val="00EA3B4B"/>
    <w:rsid w:val="00EB751C"/>
    <w:rsid w:val="00F00CA4"/>
    <w:rsid w:val="00F07600"/>
    <w:rsid w:val="00F16B03"/>
    <w:rsid w:val="00F174FE"/>
    <w:rsid w:val="00F30708"/>
    <w:rsid w:val="00F47FE8"/>
    <w:rsid w:val="00F52776"/>
    <w:rsid w:val="00F66EA2"/>
    <w:rsid w:val="00F753AD"/>
    <w:rsid w:val="00F76E59"/>
    <w:rsid w:val="00F80A7A"/>
    <w:rsid w:val="00F836C0"/>
    <w:rsid w:val="00F83F06"/>
    <w:rsid w:val="00F92859"/>
    <w:rsid w:val="00F95B36"/>
    <w:rsid w:val="00FB4652"/>
    <w:rsid w:val="00FC28CC"/>
    <w:rsid w:val="00FD29EC"/>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403CE"/>
  <w15:chartTrackingRefBased/>
  <w15:docId w15:val="{BC0698A4-057A-4D28-B320-159905BE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04B"/>
    <w:pPr>
      <w:spacing w:after="0" w:line="240" w:lineRule="exact"/>
    </w:pPr>
    <w:rPr>
      <w:rFonts w:ascii="Times New Roman" w:hAnsi="Times New Roman" w:cs="Times New Roman"/>
      <w:spacing w:val="4"/>
      <w:w w:val="103"/>
      <w:kern w:val="14"/>
      <w:sz w:val="20"/>
    </w:rPr>
  </w:style>
  <w:style w:type="paragraph" w:styleId="Heading1">
    <w:name w:val="heading 1"/>
    <w:basedOn w:val="Normal"/>
    <w:next w:val="Normal"/>
    <w:link w:val="Heading1Char"/>
    <w:uiPriority w:val="9"/>
    <w:qFormat/>
    <w:rsid w:val="00E8404B"/>
    <w:pPr>
      <w:numPr>
        <w:numId w:val="12"/>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8404B"/>
    <w:pPr>
      <w:numPr>
        <w:ilvl w:val="1"/>
        <w:numId w:val="12"/>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8404B"/>
    <w:pPr>
      <w:numPr>
        <w:ilvl w:val="2"/>
        <w:numId w:val="12"/>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E8404B"/>
    <w:pPr>
      <w:keepNext/>
      <w:keepLines/>
      <w:numPr>
        <w:ilvl w:val="3"/>
        <w:numId w:val="12"/>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E8404B"/>
    <w:pPr>
      <w:keepNext/>
      <w:keepLines/>
      <w:numPr>
        <w:ilvl w:val="4"/>
        <w:numId w:val="12"/>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E8404B"/>
    <w:pPr>
      <w:keepNext/>
      <w:keepLines/>
      <w:numPr>
        <w:ilvl w:val="5"/>
        <w:numId w:val="12"/>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E8404B"/>
    <w:pPr>
      <w:keepNext/>
      <w:keepLines/>
      <w:numPr>
        <w:ilvl w:val="6"/>
        <w:numId w:val="12"/>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8404B"/>
    <w:pPr>
      <w:keepNext/>
      <w:keepLines/>
      <w:numPr>
        <w:ilvl w:val="7"/>
        <w:numId w:val="12"/>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8404B"/>
    <w:pPr>
      <w:keepNext/>
      <w:keepLines/>
      <w:numPr>
        <w:ilvl w:val="8"/>
        <w:numId w:val="12"/>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8404B"/>
    <w:pPr>
      <w:keepNext/>
      <w:keepLines/>
      <w:suppressAutoHyphens/>
      <w:spacing w:line="270" w:lineRule="exact"/>
      <w:outlineLvl w:val="0"/>
    </w:pPr>
    <w:rPr>
      <w:b/>
      <w:sz w:val="24"/>
    </w:rPr>
  </w:style>
  <w:style w:type="paragraph" w:customStyle="1" w:styleId="HCH">
    <w:name w:val="_ H _CH"/>
    <w:basedOn w:val="H1"/>
    <w:next w:val="SingleTxt"/>
    <w:qFormat/>
    <w:rsid w:val="00E8404B"/>
    <w:pPr>
      <w:spacing w:line="300" w:lineRule="exact"/>
    </w:pPr>
    <w:rPr>
      <w:spacing w:val="-2"/>
      <w:sz w:val="28"/>
    </w:rPr>
  </w:style>
  <w:style w:type="paragraph" w:customStyle="1" w:styleId="HM">
    <w:name w:val="_ H __M"/>
    <w:basedOn w:val="HCH"/>
    <w:next w:val="Normal"/>
    <w:qFormat/>
    <w:rsid w:val="00E8404B"/>
    <w:pPr>
      <w:spacing w:line="360" w:lineRule="exact"/>
    </w:pPr>
    <w:rPr>
      <w:spacing w:val="-3"/>
      <w:w w:val="99"/>
      <w:sz w:val="34"/>
    </w:rPr>
  </w:style>
  <w:style w:type="paragraph" w:customStyle="1" w:styleId="H23">
    <w:name w:val="_ H_2/3"/>
    <w:basedOn w:val="H1"/>
    <w:next w:val="SingleTxt"/>
    <w:qFormat/>
    <w:rsid w:val="00E8404B"/>
    <w:pPr>
      <w:spacing w:line="240" w:lineRule="exact"/>
      <w:outlineLvl w:val="1"/>
    </w:pPr>
    <w:rPr>
      <w:spacing w:val="2"/>
      <w:sz w:val="20"/>
    </w:rPr>
  </w:style>
  <w:style w:type="paragraph" w:customStyle="1" w:styleId="H4">
    <w:name w:val="_ H_4"/>
    <w:basedOn w:val="Normal"/>
    <w:next w:val="SingleTxt"/>
    <w:qFormat/>
    <w:rsid w:val="00E8404B"/>
    <w:pPr>
      <w:keepNext/>
      <w:keepLines/>
      <w:tabs>
        <w:tab w:val="right" w:pos="360"/>
      </w:tabs>
      <w:suppressAutoHyphens/>
      <w:outlineLvl w:val="3"/>
    </w:pPr>
    <w:rPr>
      <w:i/>
      <w:spacing w:val="3"/>
    </w:rPr>
  </w:style>
  <w:style w:type="paragraph" w:customStyle="1" w:styleId="H56">
    <w:name w:val="_ H_5/6"/>
    <w:basedOn w:val="Normal"/>
    <w:next w:val="Normal"/>
    <w:qFormat/>
    <w:rsid w:val="00E8404B"/>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8404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8404B"/>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8404B"/>
    <w:pPr>
      <w:spacing w:line="540" w:lineRule="exact"/>
    </w:pPr>
    <w:rPr>
      <w:spacing w:val="-8"/>
      <w:w w:val="96"/>
      <w:sz w:val="57"/>
    </w:rPr>
  </w:style>
  <w:style w:type="paragraph" w:customStyle="1" w:styleId="SS">
    <w:name w:val="__S_S"/>
    <w:basedOn w:val="HCH"/>
    <w:next w:val="Normal"/>
    <w:qFormat/>
    <w:rsid w:val="00E8404B"/>
    <w:pPr>
      <w:ind w:left="1267" w:right="1267"/>
    </w:pPr>
  </w:style>
  <w:style w:type="paragraph" w:customStyle="1" w:styleId="SingleTxt">
    <w:name w:val="__Single Txt"/>
    <w:basedOn w:val="Normal"/>
    <w:qFormat/>
    <w:rsid w:val="00E8404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E8404B"/>
    <w:pPr>
      <w:spacing w:after="0" w:line="240" w:lineRule="exact"/>
    </w:pPr>
    <w:rPr>
      <w:rFonts w:ascii="Times New Roman" w:hAnsi="Times New Roman" w:cs="Times New Roman"/>
      <w:spacing w:val="4"/>
      <w:w w:val="103"/>
      <w:kern w:val="14"/>
      <w:sz w:val="20"/>
    </w:rPr>
  </w:style>
  <w:style w:type="paragraph" w:customStyle="1" w:styleId="TitleH1">
    <w:name w:val="Title_H1"/>
    <w:basedOn w:val="Normal"/>
    <w:next w:val="Normal"/>
    <w:qFormat/>
    <w:rsid w:val="00E8404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E8404B"/>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E8404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8404B"/>
    <w:rPr>
      <w:rFonts w:ascii="Tahoma" w:hAnsi="Tahoma" w:cs="Tahoma"/>
      <w:spacing w:val="4"/>
      <w:w w:val="103"/>
      <w:kern w:val="14"/>
      <w:sz w:val="16"/>
      <w:szCs w:val="16"/>
    </w:rPr>
  </w:style>
  <w:style w:type="paragraph" w:customStyle="1" w:styleId="Bullet1">
    <w:name w:val="Bullet 1"/>
    <w:basedOn w:val="Normal"/>
    <w:qFormat/>
    <w:rsid w:val="00E8404B"/>
    <w:pPr>
      <w:numPr>
        <w:numId w:val="1"/>
      </w:numPr>
      <w:spacing w:after="120"/>
      <w:ind w:right="1267"/>
      <w:jc w:val="both"/>
    </w:pPr>
  </w:style>
  <w:style w:type="paragraph" w:customStyle="1" w:styleId="Bullet2">
    <w:name w:val="Bullet 2"/>
    <w:basedOn w:val="Normal"/>
    <w:qFormat/>
    <w:rsid w:val="00E8404B"/>
    <w:pPr>
      <w:numPr>
        <w:numId w:val="2"/>
      </w:numPr>
      <w:spacing w:after="120"/>
      <w:ind w:right="1264"/>
      <w:jc w:val="both"/>
    </w:pPr>
  </w:style>
  <w:style w:type="paragraph" w:customStyle="1" w:styleId="Bullet3">
    <w:name w:val="Bullet 3"/>
    <w:basedOn w:val="SingleTxt"/>
    <w:qFormat/>
    <w:rsid w:val="00E8404B"/>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8404B"/>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E8404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E8404B"/>
    <w:pPr>
      <w:spacing w:line="210" w:lineRule="exact"/>
    </w:pPr>
    <w:rPr>
      <w:sz w:val="17"/>
      <w:szCs w:val="20"/>
    </w:rPr>
  </w:style>
  <w:style w:type="character" w:customStyle="1" w:styleId="EndnoteTextChar">
    <w:name w:val="Endnote Text Char"/>
    <w:link w:val="EndnoteText"/>
    <w:uiPriority w:val="99"/>
    <w:semiHidden/>
    <w:rsid w:val="00E8404B"/>
    <w:rPr>
      <w:rFonts w:ascii="Times New Roman" w:hAnsi="Times New Roman" w:cs="Times New Roman"/>
      <w:spacing w:val="4"/>
      <w:w w:val="103"/>
      <w:kern w:val="14"/>
      <w:sz w:val="17"/>
      <w:szCs w:val="20"/>
    </w:rPr>
  </w:style>
  <w:style w:type="paragraph" w:styleId="Footer">
    <w:name w:val="footer"/>
    <w:link w:val="FooterChar"/>
    <w:uiPriority w:val="99"/>
    <w:qFormat/>
    <w:rsid w:val="00E8404B"/>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E8404B"/>
    <w:rPr>
      <w:rFonts w:ascii="Times New Roman" w:hAnsi="Times New Roman" w:cs="Times New Roman"/>
      <w:b/>
      <w:spacing w:val="3"/>
      <w:w w:val="105"/>
      <w:sz w:val="17"/>
      <w:lang w:val="en-US"/>
    </w:rPr>
  </w:style>
  <w:style w:type="character" w:styleId="FootnoteReference">
    <w:name w:val="footnote reference"/>
    <w:uiPriority w:val="99"/>
    <w:rsid w:val="00E8404B"/>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E8404B"/>
    <w:pPr>
      <w:spacing w:line="210" w:lineRule="exact"/>
    </w:pPr>
    <w:rPr>
      <w:sz w:val="17"/>
      <w:szCs w:val="20"/>
    </w:rPr>
  </w:style>
  <w:style w:type="character" w:customStyle="1" w:styleId="FootnoteTextChar">
    <w:name w:val="Footnote Text Char"/>
    <w:link w:val="FootnoteText"/>
    <w:uiPriority w:val="99"/>
    <w:rsid w:val="00E8404B"/>
    <w:rPr>
      <w:rFonts w:ascii="Times New Roman" w:hAnsi="Times New Roman" w:cs="Times New Roman"/>
      <w:spacing w:val="4"/>
      <w:w w:val="103"/>
      <w:kern w:val="14"/>
      <w:sz w:val="17"/>
      <w:szCs w:val="20"/>
    </w:rPr>
  </w:style>
  <w:style w:type="paragraph" w:styleId="Header">
    <w:name w:val="header"/>
    <w:link w:val="HeaderChar"/>
    <w:uiPriority w:val="99"/>
    <w:rsid w:val="00E8404B"/>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E8404B"/>
    <w:rPr>
      <w:rFonts w:ascii="Times New Roman" w:hAnsi="Times New Roman" w:cs="Times New Roman"/>
      <w:spacing w:val="3"/>
      <w:w w:val="105"/>
      <w:sz w:val="17"/>
      <w:lang w:val="en-US"/>
    </w:rPr>
  </w:style>
  <w:style w:type="character" w:customStyle="1" w:styleId="Heading1Char">
    <w:name w:val="Heading 1 Char"/>
    <w:link w:val="Heading1"/>
    <w:uiPriority w:val="9"/>
    <w:rsid w:val="00E8404B"/>
    <w:rPr>
      <w:rFonts w:ascii="Arial" w:eastAsia="Times New Roman" w:hAnsi="Arial" w:cs="Times New Roman"/>
      <w:b/>
      <w:bCs/>
      <w:color w:val="365F91"/>
      <w:spacing w:val="4"/>
      <w:w w:val="103"/>
      <w:kern w:val="32"/>
      <w:sz w:val="32"/>
      <w:szCs w:val="28"/>
    </w:rPr>
  </w:style>
  <w:style w:type="character" w:customStyle="1" w:styleId="Heading2Char">
    <w:name w:val="Heading 2 Char"/>
    <w:link w:val="Heading2"/>
    <w:uiPriority w:val="9"/>
    <w:rsid w:val="00E8404B"/>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E8404B"/>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E8404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E8404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E8404B"/>
    <w:rPr>
      <w:rFonts w:ascii="Cambria" w:eastAsia="Times New Roman" w:hAnsi="Cambria" w:cs="Times New Roman"/>
      <w:i/>
      <w:iCs/>
      <w:color w:val="243F60"/>
      <w:spacing w:val="4"/>
      <w:w w:val="103"/>
      <w:kern w:val="14"/>
      <w:sz w:val="20"/>
    </w:rPr>
  </w:style>
  <w:style w:type="character" w:customStyle="1" w:styleId="Heading7Char">
    <w:name w:val="Heading 7 Char"/>
    <w:link w:val="Heading7"/>
    <w:uiPriority w:val="9"/>
    <w:semiHidden/>
    <w:rsid w:val="00E8404B"/>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E8404B"/>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E8404B"/>
    <w:rPr>
      <w:rFonts w:ascii="Cambria" w:eastAsia="Times New Roman" w:hAnsi="Cambria" w:cs="Times New Roman"/>
      <w:i/>
      <w:iCs/>
      <w:color w:val="404040"/>
      <w:spacing w:val="4"/>
      <w:w w:val="103"/>
      <w:kern w:val="14"/>
      <w:sz w:val="20"/>
      <w:szCs w:val="20"/>
    </w:rPr>
  </w:style>
  <w:style w:type="character" w:styleId="LineNumber">
    <w:name w:val="line number"/>
    <w:uiPriority w:val="99"/>
    <w:qFormat/>
    <w:rsid w:val="00E8404B"/>
    <w:rPr>
      <w:sz w:val="14"/>
    </w:rPr>
  </w:style>
  <w:style w:type="paragraph" w:styleId="ListParagraph">
    <w:name w:val="List Paragraph"/>
    <w:basedOn w:val="Normal"/>
    <w:uiPriority w:val="34"/>
    <w:rsid w:val="00E8404B"/>
    <w:pPr>
      <w:ind w:left="720"/>
      <w:contextualSpacing/>
    </w:pPr>
  </w:style>
  <w:style w:type="paragraph" w:styleId="NoSpacing">
    <w:name w:val="No Spacing"/>
    <w:uiPriority w:val="1"/>
    <w:rsid w:val="00E8404B"/>
    <w:pPr>
      <w:spacing w:after="0" w:line="240" w:lineRule="auto"/>
    </w:pPr>
    <w:rPr>
      <w:rFonts w:ascii="Calibri" w:hAnsi="Calibri" w:cs="Times New Roman"/>
      <w:lang w:val="en-US"/>
    </w:rPr>
  </w:style>
  <w:style w:type="paragraph" w:customStyle="1" w:styleId="Original">
    <w:name w:val="Original"/>
    <w:next w:val="Normal"/>
    <w:autoRedefine/>
    <w:qFormat/>
    <w:rsid w:val="00E8404B"/>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E8404B"/>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E8404B"/>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E8404B"/>
    <w:pPr>
      <w:tabs>
        <w:tab w:val="right" w:pos="9965"/>
      </w:tabs>
      <w:spacing w:line="210" w:lineRule="exact"/>
    </w:pPr>
    <w:rPr>
      <w:spacing w:val="5"/>
      <w:w w:val="104"/>
      <w:sz w:val="17"/>
    </w:rPr>
  </w:style>
  <w:style w:type="paragraph" w:customStyle="1" w:styleId="SmallX">
    <w:name w:val="SmallX"/>
    <w:basedOn w:val="Small"/>
    <w:next w:val="Normal"/>
    <w:qFormat/>
    <w:rsid w:val="00E8404B"/>
    <w:pPr>
      <w:spacing w:line="180" w:lineRule="exact"/>
      <w:jc w:val="right"/>
    </w:pPr>
    <w:rPr>
      <w:spacing w:val="6"/>
      <w:w w:val="106"/>
      <w:sz w:val="14"/>
    </w:rPr>
  </w:style>
  <w:style w:type="character" w:styleId="Strong">
    <w:name w:val="Strong"/>
    <w:uiPriority w:val="22"/>
    <w:rsid w:val="00E8404B"/>
    <w:rPr>
      <w:b/>
      <w:bCs/>
    </w:rPr>
  </w:style>
  <w:style w:type="paragraph" w:customStyle="1" w:styleId="Style1">
    <w:name w:val="Style1"/>
    <w:basedOn w:val="Normal"/>
    <w:qFormat/>
    <w:rsid w:val="00E8404B"/>
  </w:style>
  <w:style w:type="paragraph" w:customStyle="1" w:styleId="Style2">
    <w:name w:val="Style2"/>
    <w:basedOn w:val="Normal"/>
    <w:autoRedefine/>
    <w:qFormat/>
    <w:rsid w:val="00E8404B"/>
  </w:style>
  <w:style w:type="paragraph" w:customStyle="1" w:styleId="TitleHCH">
    <w:name w:val="Title_H_CH"/>
    <w:basedOn w:val="H1"/>
    <w:next w:val="SingleTxt"/>
    <w:qFormat/>
    <w:rsid w:val="00E8404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E8404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E8404B"/>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A9139F"/>
    <w:rPr>
      <w:sz w:val="16"/>
      <w:szCs w:val="16"/>
    </w:rPr>
  </w:style>
  <w:style w:type="paragraph" w:styleId="CommentText">
    <w:name w:val="annotation text"/>
    <w:basedOn w:val="Normal"/>
    <w:link w:val="CommentTextChar"/>
    <w:uiPriority w:val="99"/>
    <w:semiHidden/>
    <w:unhideWhenUsed/>
    <w:rsid w:val="00A9139F"/>
    <w:pPr>
      <w:spacing w:line="240" w:lineRule="auto"/>
    </w:pPr>
    <w:rPr>
      <w:szCs w:val="20"/>
    </w:rPr>
  </w:style>
  <w:style w:type="character" w:customStyle="1" w:styleId="CommentTextChar">
    <w:name w:val="Comment Text Char"/>
    <w:basedOn w:val="DefaultParagraphFont"/>
    <w:link w:val="CommentText"/>
    <w:uiPriority w:val="99"/>
    <w:semiHidden/>
    <w:rsid w:val="00A9139F"/>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A9139F"/>
    <w:rPr>
      <w:b/>
      <w:bCs/>
    </w:rPr>
  </w:style>
  <w:style w:type="character" w:customStyle="1" w:styleId="CommentSubjectChar">
    <w:name w:val="Comment Subject Char"/>
    <w:basedOn w:val="CommentTextChar"/>
    <w:link w:val="CommentSubject"/>
    <w:uiPriority w:val="99"/>
    <w:semiHidden/>
    <w:rsid w:val="00A9139F"/>
    <w:rPr>
      <w:rFonts w:ascii="Times New Roman" w:hAnsi="Times New Roman" w:cs="Times New Roman"/>
      <w:b/>
      <w:bCs/>
      <w:spacing w:val="4"/>
      <w:w w:val="103"/>
      <w:kern w:val="14"/>
      <w:sz w:val="20"/>
      <w:szCs w:val="20"/>
    </w:rPr>
  </w:style>
  <w:style w:type="character" w:styleId="Hyperlink">
    <w:name w:val="Hyperlink"/>
    <w:basedOn w:val="DefaultParagraphFont"/>
    <w:rsid w:val="00BA578C"/>
    <w:rPr>
      <w:color w:val="0000FF"/>
      <w:u w:val="none"/>
    </w:rPr>
  </w:style>
  <w:style w:type="character" w:styleId="UnresolvedMention">
    <w:name w:val="Unresolved Mention"/>
    <w:basedOn w:val="DefaultParagraphFont"/>
    <w:uiPriority w:val="99"/>
    <w:semiHidden/>
    <w:unhideWhenUsed/>
    <w:rsid w:val="00BA578C"/>
    <w:rPr>
      <w:color w:val="605E5C"/>
      <w:shd w:val="clear" w:color="auto" w:fill="E1DFDD"/>
    </w:rPr>
  </w:style>
  <w:style w:type="character" w:styleId="FollowedHyperlink">
    <w:name w:val="FollowedHyperlink"/>
    <w:basedOn w:val="DefaultParagraphFont"/>
    <w:uiPriority w:val="99"/>
    <w:semiHidden/>
    <w:unhideWhenUsed/>
    <w:rsid w:val="00BA578C"/>
    <w:rPr>
      <w:color w:val="0000FF"/>
      <w:u w:val="none"/>
    </w:rPr>
  </w:style>
  <w:style w:type="paragraph" w:styleId="Revision">
    <w:name w:val="Revision"/>
    <w:hidden/>
    <w:uiPriority w:val="99"/>
    <w:semiHidden/>
    <w:rsid w:val="00BF32FC"/>
    <w:pPr>
      <w:spacing w:after="0" w:line="240" w:lineRule="auto"/>
    </w:pPr>
    <w:rPr>
      <w:rFonts w:ascii="Times New Roman" w:hAnsi="Times New Roman" w:cs="Times New Roman"/>
      <w:spacing w:val="4"/>
      <w:w w:val="103"/>
      <w:kern w:val="1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NZL/CO/8"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omen.govt.nz/cedaw" TargetMode="External"/><Relationship Id="rId2" Type="http://schemas.openxmlformats.org/officeDocument/2006/relationships/styles" Target="styles.xml"/><Relationship Id="rId16" Type="http://schemas.openxmlformats.org/officeDocument/2006/relationships/hyperlink" Target="https://undocs.org/fr/CEDAW/C/NZL/CO/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www.justice.govt.nz/assets/Documents/Publications/sf79dq-Sexual-violence-victimisations-attrition-and-progression-report-v1.0.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4096</Words>
  <Characters>23349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Sokhna Khady NDIAYE</dc:creator>
  <cp:keywords/>
  <dc:description/>
  <cp:lastModifiedBy>Jean Michel Savre</cp:lastModifiedBy>
  <cp:revision>3</cp:revision>
  <cp:lastPrinted>2020-09-17T17:50:00Z</cp:lastPrinted>
  <dcterms:created xsi:type="dcterms:W3CDTF">2020-09-17T17:50:00Z</dcterms:created>
  <dcterms:modified xsi:type="dcterms:W3CDTF">2020-09-17T17:50:00Z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2010886F</vt:lpwstr>
  </property>
  <property fmtid="{D5CDD505-2E9C-101B-9397-08002B2CF9AE}" pid="3" name="ODSRefJobNo">
    <vt:lpwstr>2021533F</vt:lpwstr>
  </property>
  <property fmtid="{D5CDD505-2E9C-101B-9397-08002B2CF9AE}" pid="4" name="Symbol1">
    <vt:lpwstr>CEDAW/C/NZL/FCO/8</vt:lpwstr>
  </property>
  <property fmtid="{D5CDD505-2E9C-101B-9397-08002B2CF9AE}" pid="5" name="Symbol2">
    <vt:lpwstr/>
  </property>
  <property fmtid="{D5CDD505-2E9C-101B-9397-08002B2CF9AE}" pid="6" name="Translator">
    <vt:lpwstr/>
  </property>
  <property fmtid="{D5CDD505-2E9C-101B-9397-08002B2CF9AE}" pid="7" name="Operator">
    <vt:lpwstr>SKN</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Informations reçues de la Nouvelle-Zélande sur le suivi des observations finales relatives à son huitième rapport périodique*_x000d_</vt:lpwstr>
  </property>
</Properties>
</file>