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0D" w:rsidRPr="001C7B59" w:rsidRDefault="0003500D" w:rsidP="0003500D">
      <w:pPr>
        <w:spacing w:line="240" w:lineRule="auto"/>
        <w:rPr>
          <w:sz w:val="2"/>
          <w:lang w:val="fr-FR"/>
        </w:rPr>
        <w:sectPr w:rsidR="0003500D" w:rsidRPr="001C7B59" w:rsidSect="0003500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1C7B59">
        <w:rPr>
          <w:rStyle w:val="CommentReference"/>
          <w:lang w:val="fr-FR"/>
        </w:rPr>
        <w:commentReference w:id="0"/>
      </w:r>
      <w:bookmarkStart w:id="1" w:name="_GoBack"/>
      <w:bookmarkEnd w:id="1"/>
    </w:p>
    <w:p w:rsidR="004432C5" w:rsidRPr="001C7B59" w:rsidRDefault="004432C5" w:rsidP="00D601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1C7B59">
        <w:rPr>
          <w:lang w:val="fr-FR"/>
        </w:rPr>
        <w:lastRenderedPageBreak/>
        <w:t>Comité pour l</w:t>
      </w:r>
      <w:r w:rsidR="00DB6EAF" w:rsidRPr="001C7B59">
        <w:rPr>
          <w:lang w:val="fr-FR"/>
        </w:rPr>
        <w:t>’</w:t>
      </w:r>
      <w:r w:rsidRPr="001C7B59">
        <w:rPr>
          <w:lang w:val="fr-FR"/>
        </w:rPr>
        <w:t>élimination de la discrimination</w:t>
      </w:r>
      <w:r w:rsidR="00DB6EAF" w:rsidRPr="001C7B59">
        <w:rPr>
          <w:lang w:val="fr-FR"/>
        </w:rPr>
        <w:t xml:space="preserve"> </w:t>
      </w:r>
      <w:r w:rsidR="00DB6EAF" w:rsidRPr="001C7B59">
        <w:rPr>
          <w:lang w:val="fr-FR"/>
        </w:rPr>
        <w:br/>
      </w:r>
      <w:r w:rsidRPr="001C7B59">
        <w:rPr>
          <w:lang w:val="fr-FR"/>
        </w:rPr>
        <w:t>à l</w:t>
      </w:r>
      <w:r w:rsidR="00DB6EAF" w:rsidRPr="001C7B59">
        <w:rPr>
          <w:lang w:val="fr-FR"/>
        </w:rPr>
        <w:t>’égard des femmes</w:t>
      </w:r>
    </w:p>
    <w:p w:rsidR="00DB6EAF" w:rsidRPr="001C7B59" w:rsidRDefault="00DB6EAF" w:rsidP="00DB6EAF">
      <w:pPr>
        <w:pStyle w:val="SingleTxt"/>
        <w:spacing w:after="0" w:line="120" w:lineRule="exact"/>
        <w:rPr>
          <w:sz w:val="10"/>
          <w:lang w:val="fr-FR"/>
        </w:rPr>
      </w:pPr>
    </w:p>
    <w:p w:rsidR="00DB6EAF" w:rsidRPr="001C7B59" w:rsidRDefault="00DB6EAF" w:rsidP="00DB6EAF">
      <w:pPr>
        <w:pStyle w:val="SingleTxt"/>
        <w:spacing w:after="0" w:line="120" w:lineRule="exact"/>
        <w:rPr>
          <w:sz w:val="10"/>
          <w:lang w:val="fr-FR"/>
        </w:rPr>
      </w:pPr>
    </w:p>
    <w:p w:rsidR="00DB6EAF" w:rsidRPr="001C7B59" w:rsidRDefault="00DB6EAF" w:rsidP="00DB6EAF">
      <w:pPr>
        <w:pStyle w:val="SingleTxt"/>
        <w:spacing w:after="0" w:line="120" w:lineRule="exact"/>
        <w:rPr>
          <w:sz w:val="10"/>
          <w:lang w:val="fr-FR"/>
        </w:rPr>
      </w:pPr>
    </w:p>
    <w:p w:rsidR="00D60176" w:rsidRPr="001C7B59" w:rsidRDefault="00D60176" w:rsidP="00D60176">
      <w:pPr>
        <w:framePr w:w="9792" w:h="432" w:hSpace="180" w:wrap="around" w:vAnchor="page" w:hAnchor="page" w:x="1210" w:y="135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10" w:lineRule="exact"/>
        <w:ind w:left="1267" w:right="1267" w:hanging="576"/>
        <w:rPr>
          <w:spacing w:val="5"/>
          <w:sz w:val="17"/>
          <w:szCs w:val="20"/>
          <w:lang w:val="fr-FR"/>
        </w:rPr>
      </w:pPr>
      <w:r w:rsidRPr="001C7B59">
        <w:rPr>
          <w:spacing w:val="5"/>
          <w:sz w:val="17"/>
          <w:szCs w:val="20"/>
          <w:lang w:val="fr-FR"/>
        </w:rPr>
        <w:tab/>
      </w:r>
      <w:r w:rsidRPr="001C7B59">
        <w:rPr>
          <w:spacing w:val="5"/>
          <w:sz w:val="17"/>
          <w:szCs w:val="20"/>
          <w:lang w:val="fr-FR"/>
        </w:rPr>
        <w:tab/>
      </w:r>
      <w:r w:rsidRPr="001C7B59">
        <w:rPr>
          <w:i/>
          <w:spacing w:val="5"/>
          <w:sz w:val="17"/>
          <w:szCs w:val="20"/>
          <w:lang w:val="fr-FR"/>
        </w:rPr>
        <w:t>Note</w:t>
      </w:r>
      <w:r w:rsidRPr="001C7B59">
        <w:rPr>
          <w:spacing w:val="5"/>
          <w:sz w:val="17"/>
          <w:szCs w:val="20"/>
          <w:lang w:val="fr-FR"/>
        </w:rPr>
        <w:t xml:space="preserve"> : Le présent document est distribué en anglais,</w:t>
      </w:r>
      <w:r w:rsidR="001C7B59" w:rsidRPr="001C7B59">
        <w:rPr>
          <w:spacing w:val="5"/>
          <w:sz w:val="17"/>
          <w:szCs w:val="20"/>
          <w:lang w:val="fr-FR"/>
        </w:rPr>
        <w:t xml:space="preserve"> </w:t>
      </w:r>
      <w:r w:rsidRPr="001C7B59">
        <w:rPr>
          <w:spacing w:val="5"/>
          <w:sz w:val="17"/>
          <w:szCs w:val="20"/>
          <w:lang w:val="fr-FR"/>
        </w:rPr>
        <w:t>espagnol</w:t>
      </w:r>
      <w:r w:rsidR="001C7B59" w:rsidRPr="001C7B59">
        <w:rPr>
          <w:spacing w:val="5"/>
          <w:sz w:val="17"/>
          <w:szCs w:val="20"/>
          <w:lang w:val="fr-FR"/>
        </w:rPr>
        <w:t xml:space="preserve"> </w:t>
      </w:r>
      <w:r w:rsidRPr="001C7B59">
        <w:rPr>
          <w:spacing w:val="5"/>
          <w:sz w:val="17"/>
          <w:szCs w:val="20"/>
          <w:lang w:val="fr-FR"/>
        </w:rPr>
        <w:t>et français seulement.</w:t>
      </w:r>
    </w:p>
    <w:p w:rsidR="00D60176" w:rsidRPr="001C7B59" w:rsidRDefault="00D60176" w:rsidP="00D60176">
      <w:pPr>
        <w:framePr w:w="9792" w:h="432" w:hSpace="180" w:wrap="around" w:vAnchor="page" w:hAnchor="page" w:x="1210" w:y="135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lang w:val="fr-FR"/>
        </w:rPr>
      </w:pPr>
      <w:r w:rsidRPr="001C7B59">
        <w:rPr>
          <w:spacing w:val="5"/>
          <w:sz w:val="17"/>
          <w:szCs w:val="20"/>
          <w:lang w:val="fr-FR"/>
        </w:rPr>
        <w:tab/>
        <w:t>*</w:t>
      </w:r>
      <w:r w:rsidRPr="001C7B59">
        <w:rPr>
          <w:spacing w:val="5"/>
          <w:sz w:val="17"/>
          <w:szCs w:val="20"/>
          <w:lang w:val="fr-FR"/>
        </w:rPr>
        <w:tab/>
        <w:t>Le présent document n’a pas fait l’objet d’une relecture sur le fond par les services d’édition.</w:t>
      </w:r>
    </w:p>
    <w:p w:rsidR="004432C5" w:rsidRPr="001C7B59" w:rsidRDefault="004432C5" w:rsidP="00DB6E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r>
      <w:r w:rsidRPr="001C7B59">
        <w:rPr>
          <w:lang w:val="fr-FR"/>
        </w:rPr>
        <w:tab/>
        <w:t>Examen des rapports soumis par les États parties</w:t>
      </w:r>
      <w:r w:rsidR="00DB6EAF" w:rsidRPr="001C7B59">
        <w:rPr>
          <w:lang w:val="fr-FR"/>
        </w:rPr>
        <w:t xml:space="preserve"> </w:t>
      </w:r>
      <w:r w:rsidR="00DB6EAF" w:rsidRPr="001C7B59">
        <w:rPr>
          <w:lang w:val="fr-FR"/>
        </w:rPr>
        <w:br/>
      </w:r>
      <w:r w:rsidRPr="001C7B59">
        <w:rPr>
          <w:lang w:val="fr-FR"/>
        </w:rPr>
        <w:t>en application de l</w:t>
      </w:r>
      <w:r w:rsidR="00DB6EAF" w:rsidRPr="001C7B59">
        <w:rPr>
          <w:lang w:val="fr-FR"/>
        </w:rPr>
        <w:t>’</w:t>
      </w:r>
      <w:r w:rsidRPr="001C7B59">
        <w:rPr>
          <w:lang w:val="fr-FR"/>
        </w:rPr>
        <w:t>a</w:t>
      </w:r>
      <w:r w:rsidR="00DB6EAF" w:rsidRPr="001C7B59">
        <w:rPr>
          <w:lang w:val="fr-FR"/>
        </w:rPr>
        <w:t>rticle 18 de la Convention</w:t>
      </w:r>
    </w:p>
    <w:p w:rsidR="00DB6EAF" w:rsidRPr="001C7B59" w:rsidRDefault="00DB6EAF" w:rsidP="00DB6EAF">
      <w:pPr>
        <w:pStyle w:val="SingleTxt"/>
        <w:spacing w:after="0" w:line="120" w:lineRule="exact"/>
        <w:rPr>
          <w:sz w:val="10"/>
          <w:lang w:val="fr-FR"/>
        </w:rPr>
      </w:pPr>
    </w:p>
    <w:p w:rsidR="00DB6EAF" w:rsidRPr="001C7B59" w:rsidRDefault="00DB6EAF" w:rsidP="00DB6EAF">
      <w:pPr>
        <w:pStyle w:val="SingleTxt"/>
        <w:spacing w:after="0" w:line="120" w:lineRule="exact"/>
        <w:rPr>
          <w:sz w:val="10"/>
          <w:lang w:val="fr-FR"/>
        </w:rPr>
      </w:pPr>
    </w:p>
    <w:p w:rsidR="004432C5" w:rsidRPr="001C7B59" w:rsidRDefault="004432C5" w:rsidP="00DB6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r>
      <w:r w:rsidRPr="001C7B59">
        <w:rPr>
          <w:lang w:val="fr-FR"/>
        </w:rPr>
        <w:tab/>
        <w:t xml:space="preserve">Troisième et quatrième rapports périodiques des États </w:t>
      </w:r>
      <w:r w:rsidR="00DB6EAF" w:rsidRPr="001C7B59">
        <w:rPr>
          <w:lang w:val="fr-FR"/>
        </w:rPr>
        <w:br/>
        <w:t>parties attendus en 2012</w:t>
      </w:r>
    </w:p>
    <w:p w:rsidR="00DB6EAF" w:rsidRPr="001C7B59" w:rsidRDefault="00DB6EAF" w:rsidP="00DB6EAF">
      <w:pPr>
        <w:pStyle w:val="SingleTxt"/>
        <w:spacing w:after="0" w:line="120" w:lineRule="exact"/>
        <w:rPr>
          <w:sz w:val="10"/>
          <w:lang w:val="fr-FR"/>
        </w:rPr>
      </w:pPr>
    </w:p>
    <w:p w:rsidR="00DB6EAF" w:rsidRPr="001C7B59" w:rsidRDefault="00DB6EAF" w:rsidP="00DB6EAF">
      <w:pPr>
        <w:pStyle w:val="SingleTxt"/>
        <w:spacing w:after="0" w:line="120" w:lineRule="exact"/>
        <w:rPr>
          <w:sz w:val="10"/>
          <w:lang w:val="fr-FR"/>
        </w:rPr>
      </w:pPr>
    </w:p>
    <w:p w:rsidR="004432C5" w:rsidRPr="001C7B59" w:rsidRDefault="00DB6EAF" w:rsidP="00DB6E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r>
      <w:r w:rsidRPr="001C7B59">
        <w:rPr>
          <w:lang w:val="fr-FR"/>
        </w:rPr>
        <w:tab/>
        <w:t>Niger</w:t>
      </w:r>
      <w:r w:rsidRPr="001C7B59">
        <w:rPr>
          <w:b w:val="0"/>
          <w:sz w:val="20"/>
          <w:szCs w:val="20"/>
          <w:lang w:val="fr-FR"/>
        </w:rPr>
        <w:t>*</w:t>
      </w:r>
    </w:p>
    <w:p w:rsidR="00DB6EAF" w:rsidRPr="001C7B59" w:rsidRDefault="00DB6EAF" w:rsidP="00DB6EAF">
      <w:pPr>
        <w:pStyle w:val="SingleTxt"/>
        <w:spacing w:after="0" w:line="120" w:lineRule="exact"/>
        <w:rPr>
          <w:sz w:val="10"/>
          <w:lang w:val="fr-FR"/>
        </w:rPr>
      </w:pPr>
    </w:p>
    <w:p w:rsidR="004432C5" w:rsidRPr="001C7B59" w:rsidRDefault="004432C5" w:rsidP="00DB6EAF">
      <w:pPr>
        <w:pStyle w:val="SingleTxt"/>
        <w:jc w:val="right"/>
        <w:rPr>
          <w:lang w:val="fr-FR"/>
        </w:rPr>
      </w:pPr>
      <w:r w:rsidRPr="001C7B59">
        <w:rPr>
          <w:lang w:val="fr-FR"/>
        </w:rPr>
        <w:t>[Date de réception</w:t>
      </w:r>
      <w:r w:rsidR="00DB6EAF" w:rsidRPr="001C7B59">
        <w:rPr>
          <w:lang w:val="fr-FR"/>
        </w:rPr>
        <w:t> :</w:t>
      </w:r>
      <w:r w:rsidRPr="001C7B59">
        <w:rPr>
          <w:lang w:val="fr-FR"/>
        </w:rPr>
        <w:t xml:space="preserve"> 13 août 2015]</w:t>
      </w:r>
    </w:p>
    <w:p w:rsidR="004432C5" w:rsidRPr="001C7B59" w:rsidRDefault="004432C5" w:rsidP="004432C5">
      <w:pPr>
        <w:pStyle w:val="SingleTxt"/>
        <w:rPr>
          <w:lang w:val="fr-FR"/>
        </w:rPr>
      </w:pPr>
    </w:p>
    <w:p w:rsidR="004432C5" w:rsidRPr="001C7B59" w:rsidRDefault="00D60176" w:rsidP="004432C5">
      <w:pPr>
        <w:pStyle w:val="SingleTxt"/>
        <w:rPr>
          <w:spacing w:val="-2"/>
          <w:sz w:val="28"/>
          <w:lang w:val="fr-FR"/>
        </w:rPr>
      </w:pPr>
      <w:r w:rsidRPr="001C7B59">
        <w:rPr>
          <w:noProof/>
          <w:w w:val="100"/>
          <w:sz w:val="17"/>
          <w:lang w:val="en-GB" w:eastAsia="en-GB"/>
        </w:rPr>
        <mc:AlternateContent>
          <mc:Choice Requires="wps">
            <w:drawing>
              <wp:anchor distT="0" distB="0" distL="114300" distR="114300" simplePos="0" relativeHeight="251659264" behindDoc="0" locked="0" layoutInCell="1" allowOverlap="1" wp14:anchorId="386697DE" wp14:editId="52DD040D">
                <wp:simplePos x="0" y="0"/>
                <wp:positionH relativeFrom="page">
                  <wp:posOffset>1371600</wp:posOffset>
                </wp:positionH>
                <wp:positionV relativeFrom="paragraph">
                  <wp:posOffset>3442335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271.05pt" to="180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NdaT5eAAAAALAQAADwAAAGRycy9kb3ducmV2LnhtbEyPQUvDQBCF70L/wzKCN7tJ1BBi&#10;NqVYFIqnthbxts1Ok2B2NmS3beyvd4SCPc6bx3vfK2aj7cQRB986UhBPIxBIlTMt1Qo+Nq/3GQgf&#10;NBndOUIFP+hhVk5uCp0bd6IVHtehFhxCPtcKmhD6XEpfNWi1n7oeiX97N1gd+BxqaQZ94nDbySSK&#10;Uml1S9zQ6B5fGqy+1werIDt/msXSvGeLcbt/O/fZV7raLpW6ux3nzyACjuHfDH/4jA4lM+3cgYwX&#10;nYIkTnlLUPD0mMQg2PGQRqzsLoosC3m9ofwFAAD//wMAUEsBAi0AFAAGAAgAAAAhALaDOJL+AAAA&#10;4QEAABMAAAAAAAAAAAAAAAAAAAAAAFtDb250ZW50X1R5cGVzXS54bWxQSwECLQAUAAYACAAAACEA&#10;OP0h/9YAAACUAQAACwAAAAAAAAAAAAAAAAAvAQAAX3JlbHMvLnJlbHNQSwECLQAUAAYACAAAACEA&#10;ZUYJsdkBAAAMBAAADgAAAAAAAAAAAAAAAAAuAgAAZHJzL2Uyb0RvYy54bWxQSwECLQAUAAYACAAA&#10;ACEANdaT5eAAAAALAQAADwAAAAAAAAAAAAAAAAAzBAAAZHJzL2Rvd25yZXYueG1sUEsFBgAAAAAE&#10;AAQA8wAAAEAFAAAAAA==&#10;" strokecolor="#010000" strokeweight=".25pt">
                <w10:wrap anchorx="page"/>
              </v:line>
            </w:pict>
          </mc:Fallback>
        </mc:AlternateContent>
      </w:r>
      <w:r w:rsidR="004432C5" w:rsidRPr="001C7B59">
        <w:rPr>
          <w:lang w:val="fr-FR"/>
        </w:rPr>
        <w:br w:type="page"/>
      </w:r>
    </w:p>
    <w:p w:rsidR="004432C5" w:rsidRPr="001C7B59" w:rsidRDefault="004432C5" w:rsidP="004432C5">
      <w:pPr>
        <w:pStyle w:val="HCH"/>
        <w:spacing w:after="120"/>
        <w:rPr>
          <w:lang w:val="fr-FR"/>
        </w:rPr>
      </w:pPr>
      <w:r w:rsidRPr="001C7B59">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432C5" w:rsidRPr="001C7B59" w:rsidTr="00D60176">
        <w:tc>
          <w:tcPr>
            <w:tcW w:w="1060" w:type="dxa"/>
            <w:shd w:val="clear" w:color="auto" w:fill="auto"/>
          </w:tcPr>
          <w:p w:rsidR="004432C5" w:rsidRPr="001C7B59" w:rsidRDefault="004432C5" w:rsidP="00D60176">
            <w:pPr>
              <w:spacing w:after="120" w:line="240" w:lineRule="auto"/>
              <w:jc w:val="right"/>
              <w:rPr>
                <w:i/>
                <w:sz w:val="14"/>
                <w:lang w:val="fr-FR"/>
              </w:rPr>
            </w:pPr>
          </w:p>
        </w:tc>
        <w:tc>
          <w:tcPr>
            <w:tcW w:w="7315" w:type="dxa"/>
            <w:shd w:val="clear" w:color="auto" w:fill="auto"/>
          </w:tcPr>
          <w:p w:rsidR="004432C5" w:rsidRPr="001C7B59" w:rsidRDefault="004432C5" w:rsidP="00D60176">
            <w:pPr>
              <w:spacing w:after="120" w:line="240" w:lineRule="auto"/>
              <w:rPr>
                <w:i/>
                <w:sz w:val="14"/>
                <w:lang w:val="fr-FR"/>
              </w:rPr>
            </w:pPr>
          </w:p>
        </w:tc>
        <w:tc>
          <w:tcPr>
            <w:tcW w:w="994" w:type="dxa"/>
            <w:shd w:val="clear" w:color="auto" w:fill="auto"/>
          </w:tcPr>
          <w:p w:rsidR="004432C5" w:rsidRPr="001C7B59" w:rsidRDefault="004432C5" w:rsidP="00D60176">
            <w:pPr>
              <w:spacing w:after="120" w:line="240" w:lineRule="auto"/>
              <w:jc w:val="right"/>
              <w:rPr>
                <w:i/>
                <w:sz w:val="14"/>
                <w:lang w:val="fr-FR"/>
              </w:rPr>
            </w:pPr>
          </w:p>
        </w:tc>
        <w:tc>
          <w:tcPr>
            <w:tcW w:w="533" w:type="dxa"/>
            <w:shd w:val="clear" w:color="auto" w:fill="auto"/>
          </w:tcPr>
          <w:p w:rsidR="004432C5" w:rsidRPr="001C7B59" w:rsidRDefault="004432C5" w:rsidP="00D60176">
            <w:pPr>
              <w:spacing w:after="120" w:line="240" w:lineRule="auto"/>
              <w:jc w:val="right"/>
              <w:rPr>
                <w:i/>
                <w:sz w:val="14"/>
                <w:lang w:val="fr-FR"/>
              </w:rPr>
            </w:pPr>
            <w:r w:rsidRPr="001C7B59">
              <w:rPr>
                <w:i/>
                <w:sz w:val="14"/>
                <w:lang w:val="fr-FR"/>
              </w:rPr>
              <w:t>Page</w:t>
            </w:r>
          </w:p>
        </w:tc>
      </w:tr>
      <w:tr w:rsidR="004432C5" w:rsidRPr="001C7B59" w:rsidTr="00D60176">
        <w:tc>
          <w:tcPr>
            <w:tcW w:w="9369" w:type="dxa"/>
            <w:gridSpan w:val="3"/>
            <w:shd w:val="clear" w:color="auto" w:fill="auto"/>
          </w:tcPr>
          <w:p w:rsidR="004432C5" w:rsidRPr="0024487E" w:rsidRDefault="0024487E" w:rsidP="0024487E">
            <w:pPr>
              <w:tabs>
                <w:tab w:val="left" w:pos="1296"/>
                <w:tab w:val="left" w:pos="1728"/>
                <w:tab w:val="left" w:pos="2160"/>
                <w:tab w:val="left" w:pos="2592"/>
                <w:tab w:val="left" w:pos="3024"/>
                <w:tab w:val="right" w:leader="dot" w:pos="9360"/>
              </w:tabs>
              <w:suppressAutoHyphens/>
              <w:spacing w:after="120"/>
              <w:ind w:left="1080"/>
              <w:rPr>
                <w:spacing w:val="60"/>
                <w:sz w:val="17"/>
                <w:lang w:val="fr-FR"/>
              </w:rPr>
            </w:pPr>
            <w:r w:rsidRPr="0024487E">
              <w:rPr>
                <w:lang w:val="fr-FR"/>
              </w:rPr>
              <w:tab/>
              <w:t>Sigles et abréviations</w:t>
            </w:r>
            <w:r w:rsidRPr="0024487E">
              <w:rPr>
                <w:spacing w:val="60"/>
                <w:sz w:val="17"/>
                <w:lang w:val="fr-FR"/>
              </w:rPr>
              <w:tab/>
            </w:r>
          </w:p>
        </w:tc>
        <w:tc>
          <w:tcPr>
            <w:tcW w:w="533" w:type="dxa"/>
            <w:shd w:val="clear" w:color="auto" w:fill="auto"/>
            <w:vAlign w:val="bottom"/>
          </w:tcPr>
          <w:p w:rsidR="004432C5" w:rsidRPr="0024487E" w:rsidRDefault="0024487E" w:rsidP="00D60176">
            <w:pPr>
              <w:spacing w:after="120"/>
              <w:ind w:right="40"/>
              <w:jc w:val="right"/>
              <w:rPr>
                <w:lang w:val="fr-FR"/>
              </w:rPr>
            </w:pPr>
            <w:r>
              <w:rPr>
                <w:lang w:val="fr-FR"/>
              </w:rPr>
              <w:t>3</w:t>
            </w:r>
          </w:p>
        </w:tc>
      </w:tr>
      <w:tr w:rsidR="0024487E" w:rsidRPr="001C7B59" w:rsidTr="00D60176">
        <w:tc>
          <w:tcPr>
            <w:tcW w:w="9369" w:type="dxa"/>
            <w:gridSpan w:val="3"/>
            <w:shd w:val="clear" w:color="auto" w:fill="auto"/>
          </w:tcPr>
          <w:p w:rsidR="0024487E" w:rsidRPr="0024487E" w:rsidRDefault="0024487E" w:rsidP="0024487E">
            <w:pPr>
              <w:tabs>
                <w:tab w:val="left" w:pos="1296"/>
                <w:tab w:val="left" w:pos="1728"/>
                <w:tab w:val="left" w:pos="2160"/>
                <w:tab w:val="right" w:leader="dot" w:pos="9360"/>
              </w:tabs>
              <w:suppressAutoHyphens/>
              <w:spacing w:after="120"/>
              <w:ind w:left="1080"/>
              <w:rPr>
                <w:spacing w:val="60"/>
                <w:sz w:val="17"/>
                <w:lang w:val="fr-FR"/>
              </w:rPr>
            </w:pPr>
            <w:r>
              <w:rPr>
                <w:lang w:val="fr-FR"/>
              </w:rPr>
              <w:tab/>
              <w:t>Introduction</w:t>
            </w:r>
            <w:r>
              <w:rPr>
                <w:spacing w:val="60"/>
                <w:sz w:val="17"/>
                <w:lang w:val="fr-FR"/>
              </w:rPr>
              <w:tab/>
            </w:r>
          </w:p>
        </w:tc>
        <w:tc>
          <w:tcPr>
            <w:tcW w:w="533" w:type="dxa"/>
            <w:shd w:val="clear" w:color="auto" w:fill="auto"/>
            <w:vAlign w:val="bottom"/>
          </w:tcPr>
          <w:p w:rsidR="0024487E" w:rsidRPr="001C7B59" w:rsidRDefault="0024487E" w:rsidP="00D60176">
            <w:pPr>
              <w:spacing w:after="120"/>
              <w:ind w:right="40"/>
              <w:jc w:val="right"/>
              <w:rPr>
                <w:lang w:val="fr-FR"/>
              </w:rPr>
            </w:pPr>
            <w:r>
              <w:rPr>
                <w:lang w:val="fr-FR"/>
              </w:rPr>
              <w:t>6</w:t>
            </w:r>
          </w:p>
        </w:tc>
      </w:tr>
      <w:tr w:rsidR="0024487E" w:rsidRPr="001C7B59" w:rsidTr="00D60176">
        <w:tc>
          <w:tcPr>
            <w:tcW w:w="9369" w:type="dxa"/>
            <w:gridSpan w:val="3"/>
            <w:shd w:val="clear" w:color="auto" w:fill="auto"/>
          </w:tcPr>
          <w:p w:rsidR="0024487E" w:rsidRPr="001C7B59" w:rsidRDefault="0024487E" w:rsidP="0024487E">
            <w:pPr>
              <w:pStyle w:val="ListParagraph"/>
              <w:numPr>
                <w:ilvl w:val="0"/>
                <w:numId w:val="6"/>
              </w:numPr>
              <w:tabs>
                <w:tab w:val="left" w:pos="1296"/>
                <w:tab w:val="left" w:pos="1728"/>
                <w:tab w:val="left" w:pos="2160"/>
                <w:tab w:val="right" w:leader="dot" w:pos="9360"/>
              </w:tabs>
              <w:suppressAutoHyphens/>
              <w:spacing w:after="120"/>
              <w:rPr>
                <w:lang w:val="fr-FR"/>
              </w:rPr>
            </w:pPr>
            <w:r w:rsidRPr="001C7B59">
              <w:rPr>
                <w:lang w:val="fr-FR"/>
              </w:rPr>
              <w:t>Articles 1 à 6</w:t>
            </w:r>
            <w:r>
              <w:rPr>
                <w:spacing w:val="60"/>
                <w:sz w:val="17"/>
                <w:lang w:val="fr-FR"/>
              </w:rPr>
              <w:tab/>
            </w:r>
          </w:p>
        </w:tc>
        <w:tc>
          <w:tcPr>
            <w:tcW w:w="533" w:type="dxa"/>
            <w:shd w:val="clear" w:color="auto" w:fill="auto"/>
            <w:vAlign w:val="bottom"/>
          </w:tcPr>
          <w:p w:rsidR="0024487E" w:rsidRPr="001C7B59" w:rsidRDefault="0024487E" w:rsidP="00D60176">
            <w:pPr>
              <w:spacing w:after="120"/>
              <w:ind w:right="40"/>
              <w:jc w:val="right"/>
              <w:rPr>
                <w:lang w:val="fr-FR"/>
              </w:rPr>
            </w:pPr>
            <w:r>
              <w:rPr>
                <w:lang w:val="fr-FR"/>
              </w:rPr>
              <w:t>7</w:t>
            </w:r>
          </w:p>
        </w:tc>
      </w:tr>
      <w:tr w:rsidR="0024487E" w:rsidRPr="001C7B59" w:rsidTr="00D60176">
        <w:tc>
          <w:tcPr>
            <w:tcW w:w="9369" w:type="dxa"/>
            <w:gridSpan w:val="3"/>
            <w:shd w:val="clear" w:color="auto" w:fill="auto"/>
          </w:tcPr>
          <w:p w:rsidR="0024487E" w:rsidRPr="001C7B59" w:rsidRDefault="0024487E" w:rsidP="0024487E">
            <w:pPr>
              <w:pStyle w:val="ListParagraph"/>
              <w:numPr>
                <w:ilvl w:val="0"/>
                <w:numId w:val="6"/>
              </w:numPr>
              <w:tabs>
                <w:tab w:val="left" w:pos="1296"/>
                <w:tab w:val="left" w:pos="1728"/>
                <w:tab w:val="left" w:pos="2160"/>
                <w:tab w:val="right" w:leader="dot" w:pos="9360"/>
              </w:tabs>
              <w:suppressAutoHyphens/>
              <w:spacing w:after="120"/>
              <w:rPr>
                <w:lang w:val="fr-FR"/>
              </w:rPr>
            </w:pPr>
            <w:r w:rsidRPr="001C7B59">
              <w:rPr>
                <w:lang w:val="fr-FR"/>
              </w:rPr>
              <w:t>Articles 7 à 9</w:t>
            </w:r>
            <w:r>
              <w:rPr>
                <w:spacing w:val="60"/>
                <w:sz w:val="17"/>
                <w:lang w:val="fr-FR"/>
              </w:rPr>
              <w:tab/>
            </w:r>
          </w:p>
        </w:tc>
        <w:tc>
          <w:tcPr>
            <w:tcW w:w="533" w:type="dxa"/>
            <w:shd w:val="clear" w:color="auto" w:fill="auto"/>
            <w:vAlign w:val="bottom"/>
          </w:tcPr>
          <w:p w:rsidR="0024487E" w:rsidRDefault="0024487E" w:rsidP="00D60176">
            <w:pPr>
              <w:spacing w:after="120"/>
              <w:ind w:right="40"/>
              <w:jc w:val="right"/>
              <w:rPr>
                <w:lang w:val="fr-FR"/>
              </w:rPr>
            </w:pPr>
            <w:r>
              <w:rPr>
                <w:lang w:val="fr-FR"/>
              </w:rPr>
              <w:t>10</w:t>
            </w:r>
          </w:p>
        </w:tc>
      </w:tr>
      <w:tr w:rsidR="0024487E" w:rsidRPr="001C7B59" w:rsidTr="00D60176">
        <w:tc>
          <w:tcPr>
            <w:tcW w:w="9369" w:type="dxa"/>
            <w:gridSpan w:val="3"/>
            <w:shd w:val="clear" w:color="auto" w:fill="auto"/>
          </w:tcPr>
          <w:p w:rsidR="0024487E" w:rsidRPr="001C7B59" w:rsidRDefault="0024487E" w:rsidP="0024487E">
            <w:pPr>
              <w:pStyle w:val="ListParagraph"/>
              <w:numPr>
                <w:ilvl w:val="0"/>
                <w:numId w:val="6"/>
              </w:numPr>
              <w:tabs>
                <w:tab w:val="left" w:pos="1296"/>
                <w:tab w:val="left" w:pos="1728"/>
                <w:tab w:val="left" w:pos="2160"/>
                <w:tab w:val="left" w:pos="2592"/>
                <w:tab w:val="right" w:leader="dot" w:pos="9360"/>
              </w:tabs>
              <w:suppressAutoHyphens/>
              <w:spacing w:after="120"/>
              <w:rPr>
                <w:lang w:val="fr-FR"/>
              </w:rPr>
            </w:pPr>
            <w:r w:rsidRPr="001C7B59">
              <w:rPr>
                <w:lang w:val="fr-FR"/>
              </w:rPr>
              <w:t>Articles 10 à 14</w:t>
            </w:r>
            <w:r>
              <w:rPr>
                <w:spacing w:val="60"/>
                <w:sz w:val="17"/>
                <w:lang w:val="fr-FR"/>
              </w:rPr>
              <w:tab/>
            </w:r>
          </w:p>
        </w:tc>
        <w:tc>
          <w:tcPr>
            <w:tcW w:w="533" w:type="dxa"/>
            <w:shd w:val="clear" w:color="auto" w:fill="auto"/>
            <w:vAlign w:val="bottom"/>
          </w:tcPr>
          <w:p w:rsidR="0024487E" w:rsidRDefault="0024487E" w:rsidP="00D60176">
            <w:pPr>
              <w:spacing w:after="120"/>
              <w:ind w:right="40"/>
              <w:jc w:val="right"/>
              <w:rPr>
                <w:lang w:val="fr-FR"/>
              </w:rPr>
            </w:pPr>
            <w:r>
              <w:rPr>
                <w:lang w:val="fr-FR"/>
              </w:rPr>
              <w:t>12</w:t>
            </w:r>
          </w:p>
        </w:tc>
      </w:tr>
      <w:tr w:rsidR="0024487E" w:rsidRPr="001C7B59" w:rsidTr="00D60176">
        <w:tc>
          <w:tcPr>
            <w:tcW w:w="9369" w:type="dxa"/>
            <w:gridSpan w:val="3"/>
            <w:shd w:val="clear" w:color="auto" w:fill="auto"/>
          </w:tcPr>
          <w:p w:rsidR="0024487E" w:rsidRPr="001C7B59" w:rsidRDefault="0024487E" w:rsidP="0024487E">
            <w:pPr>
              <w:pStyle w:val="ListParagraph"/>
              <w:numPr>
                <w:ilvl w:val="0"/>
                <w:numId w:val="6"/>
              </w:numPr>
              <w:tabs>
                <w:tab w:val="left" w:pos="1296"/>
                <w:tab w:val="left" w:pos="1728"/>
                <w:tab w:val="left" w:pos="2160"/>
                <w:tab w:val="left" w:pos="2592"/>
                <w:tab w:val="right" w:leader="dot" w:pos="9360"/>
              </w:tabs>
              <w:suppressAutoHyphens/>
              <w:spacing w:after="120"/>
              <w:rPr>
                <w:lang w:val="fr-FR"/>
              </w:rPr>
            </w:pPr>
            <w:r w:rsidRPr="001C7B59">
              <w:rPr>
                <w:lang w:val="fr-FR"/>
              </w:rPr>
              <w:t>Articles 15 à 16</w:t>
            </w:r>
            <w:r>
              <w:rPr>
                <w:spacing w:val="60"/>
                <w:sz w:val="17"/>
                <w:lang w:val="fr-FR"/>
              </w:rPr>
              <w:tab/>
            </w:r>
          </w:p>
        </w:tc>
        <w:tc>
          <w:tcPr>
            <w:tcW w:w="533" w:type="dxa"/>
            <w:shd w:val="clear" w:color="auto" w:fill="auto"/>
            <w:vAlign w:val="bottom"/>
          </w:tcPr>
          <w:p w:rsidR="0024487E" w:rsidRDefault="0024487E" w:rsidP="00D60176">
            <w:pPr>
              <w:spacing w:after="120"/>
              <w:ind w:right="40"/>
              <w:jc w:val="right"/>
              <w:rPr>
                <w:lang w:val="fr-FR"/>
              </w:rPr>
            </w:pPr>
            <w:r>
              <w:rPr>
                <w:lang w:val="fr-FR"/>
              </w:rPr>
              <w:t>31</w:t>
            </w:r>
          </w:p>
        </w:tc>
      </w:tr>
      <w:tr w:rsidR="0024487E" w:rsidRPr="001C7B59" w:rsidTr="00D60176">
        <w:tc>
          <w:tcPr>
            <w:tcW w:w="9369" w:type="dxa"/>
            <w:gridSpan w:val="3"/>
            <w:shd w:val="clear" w:color="auto" w:fill="auto"/>
          </w:tcPr>
          <w:p w:rsidR="0024487E" w:rsidRPr="0024487E" w:rsidRDefault="0024487E" w:rsidP="0024487E">
            <w:pPr>
              <w:tabs>
                <w:tab w:val="left" w:pos="1296"/>
                <w:tab w:val="left" w:pos="1728"/>
                <w:tab w:val="left" w:pos="2160"/>
                <w:tab w:val="right" w:leader="dot" w:pos="9360"/>
              </w:tabs>
              <w:suppressAutoHyphens/>
              <w:spacing w:after="120"/>
              <w:ind w:left="1080"/>
              <w:rPr>
                <w:spacing w:val="60"/>
                <w:sz w:val="17"/>
                <w:lang w:val="fr-FR"/>
              </w:rPr>
            </w:pPr>
            <w:r>
              <w:rPr>
                <w:lang w:val="fr-FR"/>
              </w:rPr>
              <w:tab/>
              <w:t>Conclusion</w:t>
            </w:r>
            <w:r>
              <w:rPr>
                <w:spacing w:val="60"/>
                <w:sz w:val="17"/>
                <w:lang w:val="fr-FR"/>
              </w:rPr>
              <w:tab/>
            </w:r>
          </w:p>
        </w:tc>
        <w:tc>
          <w:tcPr>
            <w:tcW w:w="533" w:type="dxa"/>
            <w:shd w:val="clear" w:color="auto" w:fill="auto"/>
            <w:vAlign w:val="bottom"/>
          </w:tcPr>
          <w:p w:rsidR="0024487E" w:rsidRDefault="0024487E" w:rsidP="00D60176">
            <w:pPr>
              <w:spacing w:after="120"/>
              <w:ind w:right="40"/>
              <w:jc w:val="right"/>
              <w:rPr>
                <w:lang w:val="fr-FR"/>
              </w:rPr>
            </w:pPr>
            <w:r>
              <w:rPr>
                <w:lang w:val="fr-FR"/>
              </w:rPr>
              <w:t>32</w:t>
            </w:r>
          </w:p>
        </w:tc>
      </w:tr>
    </w:tbl>
    <w:p w:rsidR="004432C5" w:rsidRPr="001C7B59" w:rsidRDefault="004432C5" w:rsidP="004432C5">
      <w:pPr>
        <w:rPr>
          <w:lang w:val="fr-FR"/>
        </w:rPr>
      </w:pPr>
    </w:p>
    <w:p w:rsidR="004432C5" w:rsidRPr="001C7B59" w:rsidRDefault="004432C5" w:rsidP="004432C5">
      <w:pPr>
        <w:spacing w:line="240" w:lineRule="auto"/>
        <w:rPr>
          <w:lang w:val="fr-FR"/>
        </w:rPr>
      </w:pPr>
      <w:r w:rsidRPr="001C7B59">
        <w:rPr>
          <w:lang w:val="fr-FR"/>
        </w:rPr>
        <w:br w:type="page"/>
      </w:r>
    </w:p>
    <w:p w:rsidR="004432C5" w:rsidRPr="001C7B59" w:rsidRDefault="00D60176" w:rsidP="00D601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lastRenderedPageBreak/>
        <w:tab/>
      </w:r>
      <w:r w:rsidRPr="001C7B59">
        <w:rPr>
          <w:lang w:val="fr-FR"/>
        </w:rPr>
        <w:tab/>
      </w:r>
      <w:r w:rsidR="004432C5" w:rsidRPr="001C7B59">
        <w:rPr>
          <w:lang w:val="fr-FR"/>
        </w:rPr>
        <w:t xml:space="preserve">Sigles et abréviations </w:t>
      </w:r>
    </w:p>
    <w:p w:rsidR="00D60176" w:rsidRPr="001C7B59" w:rsidRDefault="00D60176" w:rsidP="00D60176">
      <w:pPr>
        <w:pStyle w:val="SingleTxt"/>
        <w:spacing w:after="0" w:line="120" w:lineRule="exact"/>
        <w:rPr>
          <w:sz w:val="10"/>
          <w:lang w:val="fr-FR"/>
        </w:rPr>
      </w:pPr>
    </w:p>
    <w:p w:rsidR="00D60176" w:rsidRPr="001C7B59" w:rsidRDefault="00D60176" w:rsidP="00D60176">
      <w:pPr>
        <w:pStyle w:val="SingleTxt"/>
        <w:spacing w:after="0" w:line="120" w:lineRule="exact"/>
        <w:rPr>
          <w:sz w:val="10"/>
          <w:lang w:val="fr-FR"/>
        </w:rPr>
      </w:pPr>
    </w:p>
    <w:p w:rsidR="004432C5" w:rsidRPr="001C7B59" w:rsidRDefault="00D60176" w:rsidP="00D60176">
      <w:pPr>
        <w:pStyle w:val="SingleTxt"/>
        <w:jc w:val="left"/>
        <w:rPr>
          <w:bCs/>
          <w:lang w:val="fr-FR"/>
        </w:rPr>
      </w:pPr>
      <w:r w:rsidRPr="001C7B59">
        <w:rPr>
          <w:bCs/>
          <w:lang w:val="fr-FR"/>
        </w:rPr>
        <w:t>A</w:t>
      </w:r>
      <w:r w:rsidR="004432C5" w:rsidRPr="001C7B59">
        <w:rPr>
          <w:bCs/>
          <w:lang w:val="fr-FR"/>
        </w:rPr>
        <w:t>EP</w:t>
      </w:r>
      <w:r w:rsidR="001C7B59" w:rsidRPr="001C7B59">
        <w:rPr>
          <w:bCs/>
          <w:lang w:val="fr-FR"/>
        </w:rPr>
        <w:t xml:space="preserve"> </w:t>
      </w:r>
      <w:r w:rsidRPr="001C7B59">
        <w:rPr>
          <w:bCs/>
          <w:lang w:val="fr-FR"/>
        </w:rPr>
        <w:tab/>
      </w:r>
      <w:r w:rsidRPr="001C7B59">
        <w:rPr>
          <w:bCs/>
          <w:lang w:val="fr-FR"/>
        </w:rPr>
        <w:tab/>
      </w:r>
      <w:r w:rsidRPr="001C7B59">
        <w:rPr>
          <w:bCs/>
          <w:lang w:val="fr-FR"/>
        </w:rPr>
        <w:tab/>
      </w:r>
      <w:r w:rsidR="007B382B">
        <w:rPr>
          <w:bCs/>
          <w:lang w:val="fr-FR"/>
        </w:rPr>
        <w:tab/>
      </w:r>
      <w:r w:rsidR="004432C5" w:rsidRPr="001C7B59">
        <w:rPr>
          <w:bCs/>
          <w:lang w:val="fr-FR"/>
        </w:rPr>
        <w:t>Adduction d</w:t>
      </w:r>
      <w:r w:rsidR="00DB6EAF" w:rsidRPr="001C7B59">
        <w:rPr>
          <w:bCs/>
          <w:lang w:val="fr-FR"/>
        </w:rPr>
        <w:t>’</w:t>
      </w:r>
      <w:r w:rsidR="001C7B59" w:rsidRPr="001C7B59">
        <w:rPr>
          <w:bCs/>
          <w:lang w:val="fr-FR"/>
        </w:rPr>
        <w:t>eau</w:t>
      </w:r>
      <w:r w:rsidR="004432C5" w:rsidRPr="001C7B59">
        <w:rPr>
          <w:bCs/>
          <w:lang w:val="fr-FR"/>
        </w:rPr>
        <w:t xml:space="preserve"> </w:t>
      </w:r>
      <w:r w:rsidR="001C7B59" w:rsidRPr="001C7B59">
        <w:rPr>
          <w:bCs/>
          <w:lang w:val="fr-FR"/>
        </w:rPr>
        <w:t>potable</w:t>
      </w:r>
      <w:r w:rsidR="004432C5" w:rsidRPr="001C7B59">
        <w:rPr>
          <w:bCs/>
          <w:lang w:val="fr-FR"/>
        </w:rPr>
        <w:t> </w:t>
      </w:r>
    </w:p>
    <w:p w:rsidR="004432C5" w:rsidRPr="001C7B59" w:rsidRDefault="004432C5" w:rsidP="00D60176">
      <w:pPr>
        <w:pStyle w:val="SingleTxt"/>
        <w:jc w:val="left"/>
        <w:rPr>
          <w:bCs/>
          <w:iCs/>
          <w:lang w:val="fr-FR"/>
        </w:rPr>
      </w:pPr>
      <w:r w:rsidRPr="001C7B59">
        <w:rPr>
          <w:bCs/>
          <w:iCs/>
          <w:lang w:val="fr-FR"/>
        </w:rPr>
        <w:t>AFETEN</w:t>
      </w:r>
      <w:r w:rsidR="001C7B59" w:rsidRPr="001C7B59">
        <w:rPr>
          <w:bCs/>
          <w:iCs/>
          <w:lang w:val="fr-FR"/>
        </w:rPr>
        <w:t xml:space="preserve"> </w:t>
      </w:r>
      <w:r w:rsidR="00D60176" w:rsidRPr="001C7B59">
        <w:rPr>
          <w:bCs/>
          <w:iCs/>
          <w:lang w:val="fr-FR"/>
        </w:rPr>
        <w:tab/>
      </w:r>
      <w:r w:rsidR="00D60176" w:rsidRPr="001C7B59">
        <w:rPr>
          <w:bCs/>
          <w:iCs/>
          <w:lang w:val="fr-FR"/>
        </w:rPr>
        <w:tab/>
      </w:r>
      <w:r w:rsidR="00D60176" w:rsidRPr="001C7B59">
        <w:rPr>
          <w:bCs/>
          <w:iCs/>
          <w:lang w:val="fr-FR"/>
        </w:rPr>
        <w:tab/>
      </w:r>
      <w:r w:rsidRPr="001C7B59">
        <w:rPr>
          <w:bCs/>
          <w:iCs/>
          <w:lang w:val="fr-FR"/>
        </w:rPr>
        <w:t xml:space="preserve">Action en </w:t>
      </w:r>
      <w:r w:rsidR="001C7B59" w:rsidRPr="001C7B59">
        <w:rPr>
          <w:bCs/>
          <w:iCs/>
          <w:lang w:val="fr-FR"/>
        </w:rPr>
        <w:t>fa</w:t>
      </w:r>
      <w:r w:rsidRPr="001C7B59">
        <w:rPr>
          <w:bCs/>
          <w:iCs/>
          <w:lang w:val="fr-FR"/>
        </w:rPr>
        <w:t>veur de l</w:t>
      </w:r>
      <w:r w:rsidR="00DB6EAF" w:rsidRPr="001C7B59">
        <w:rPr>
          <w:bCs/>
          <w:iCs/>
          <w:lang w:val="fr-FR"/>
        </w:rPr>
        <w:t>’</w:t>
      </w:r>
      <w:r w:rsidR="001C7B59" w:rsidRPr="001C7B59">
        <w:rPr>
          <w:bCs/>
          <w:iCs/>
          <w:lang w:val="fr-FR"/>
        </w:rPr>
        <w:t>é</w:t>
      </w:r>
      <w:r w:rsidRPr="001C7B59">
        <w:rPr>
          <w:bCs/>
          <w:iCs/>
          <w:lang w:val="fr-FR"/>
        </w:rPr>
        <w:t xml:space="preserve">limination du </w:t>
      </w:r>
      <w:r w:rsidR="001C7B59" w:rsidRPr="001C7B59">
        <w:rPr>
          <w:bCs/>
          <w:iCs/>
          <w:lang w:val="fr-FR"/>
        </w:rPr>
        <w:t>t</w:t>
      </w:r>
      <w:r w:rsidRPr="001C7B59">
        <w:rPr>
          <w:bCs/>
          <w:iCs/>
          <w:lang w:val="fr-FR"/>
        </w:rPr>
        <w:t xml:space="preserve">ravail des </w:t>
      </w:r>
      <w:r w:rsidR="001C7B59" w:rsidRPr="001C7B59">
        <w:rPr>
          <w:bCs/>
          <w:iCs/>
          <w:lang w:val="fr-FR"/>
        </w:rPr>
        <w:t>e</w:t>
      </w:r>
      <w:r w:rsidRPr="001C7B59">
        <w:rPr>
          <w:bCs/>
          <w:iCs/>
          <w:lang w:val="fr-FR"/>
        </w:rPr>
        <w:t>nfants </w:t>
      </w:r>
    </w:p>
    <w:p w:rsidR="004432C5" w:rsidRPr="001C7B59" w:rsidRDefault="004432C5" w:rsidP="00D60176">
      <w:pPr>
        <w:pStyle w:val="SingleTxt"/>
        <w:jc w:val="left"/>
        <w:rPr>
          <w:bCs/>
          <w:iCs/>
          <w:lang w:val="fr-FR"/>
        </w:rPr>
      </w:pPr>
      <w:r w:rsidRPr="001C7B59">
        <w:rPr>
          <w:bCs/>
          <w:iCs/>
          <w:lang w:val="fr-FR"/>
        </w:rPr>
        <w:t>AFJN</w:t>
      </w:r>
      <w:r w:rsidR="00D60176" w:rsidRPr="001C7B59">
        <w:rPr>
          <w:bCs/>
          <w:iCs/>
          <w:lang w:val="fr-FR"/>
        </w:rPr>
        <w:t xml:space="preserve"> </w:t>
      </w:r>
      <w:r w:rsidR="00D60176" w:rsidRPr="001C7B59">
        <w:rPr>
          <w:bCs/>
          <w:iCs/>
          <w:lang w:val="fr-FR"/>
        </w:rPr>
        <w:tab/>
      </w:r>
      <w:r w:rsidR="00D60176" w:rsidRPr="001C7B59">
        <w:rPr>
          <w:bCs/>
          <w:iCs/>
          <w:lang w:val="fr-FR"/>
        </w:rPr>
        <w:tab/>
      </w:r>
      <w:r w:rsidR="00D60176" w:rsidRPr="001C7B59">
        <w:rPr>
          <w:bCs/>
          <w:iCs/>
          <w:lang w:val="fr-FR"/>
        </w:rPr>
        <w:tab/>
      </w:r>
      <w:r w:rsidRPr="001C7B59">
        <w:rPr>
          <w:bCs/>
          <w:iCs/>
          <w:lang w:val="fr-FR"/>
        </w:rPr>
        <w:t xml:space="preserve">Association des </w:t>
      </w:r>
      <w:r w:rsidR="001C7B59" w:rsidRPr="001C7B59">
        <w:rPr>
          <w:bCs/>
          <w:iCs/>
          <w:lang w:val="fr-FR"/>
        </w:rPr>
        <w:t>femme</w:t>
      </w:r>
      <w:r w:rsidRPr="001C7B59">
        <w:rPr>
          <w:bCs/>
          <w:iCs/>
          <w:lang w:val="fr-FR"/>
        </w:rPr>
        <w:t xml:space="preserve">s </w:t>
      </w:r>
      <w:r w:rsidR="001C7B59" w:rsidRPr="001C7B59">
        <w:rPr>
          <w:bCs/>
          <w:iCs/>
          <w:lang w:val="fr-FR"/>
        </w:rPr>
        <w:t>juriste</w:t>
      </w:r>
      <w:r w:rsidRPr="001C7B59">
        <w:rPr>
          <w:bCs/>
          <w:iCs/>
          <w:lang w:val="fr-FR"/>
        </w:rPr>
        <w:t>s du Niger </w:t>
      </w:r>
    </w:p>
    <w:p w:rsidR="004432C5" w:rsidRPr="001C7B59" w:rsidRDefault="004432C5" w:rsidP="00D60176">
      <w:pPr>
        <w:pStyle w:val="SingleTxt"/>
        <w:jc w:val="left"/>
        <w:rPr>
          <w:lang w:val="fr-FR"/>
        </w:rPr>
      </w:pPr>
      <w:r w:rsidRPr="001C7B59">
        <w:rPr>
          <w:bCs/>
          <w:lang w:val="fr-FR"/>
        </w:rPr>
        <w:t>AGR</w:t>
      </w:r>
      <w:r w:rsidR="00D60176" w:rsidRPr="001C7B59">
        <w:rPr>
          <w:bCs/>
          <w:lang w:val="fr-FR"/>
        </w:rPr>
        <w:t xml:space="preserve"> </w:t>
      </w:r>
      <w:r w:rsidR="00D60176" w:rsidRPr="001C7B59">
        <w:rPr>
          <w:bCs/>
          <w:lang w:val="fr-FR"/>
        </w:rPr>
        <w:tab/>
      </w:r>
      <w:r w:rsidR="00D60176" w:rsidRPr="001C7B59">
        <w:rPr>
          <w:bCs/>
          <w:lang w:val="fr-FR"/>
        </w:rPr>
        <w:tab/>
      </w:r>
      <w:r w:rsidR="00D60176" w:rsidRPr="001C7B59">
        <w:rPr>
          <w:bCs/>
          <w:lang w:val="fr-FR"/>
        </w:rPr>
        <w:tab/>
      </w:r>
      <w:r w:rsidRPr="001C7B59">
        <w:rPr>
          <w:lang w:val="fr-FR"/>
        </w:rPr>
        <w:t xml:space="preserve">Activités </w:t>
      </w:r>
      <w:r w:rsidR="001C7B59" w:rsidRPr="001C7B59">
        <w:rPr>
          <w:lang w:val="fr-FR"/>
        </w:rPr>
        <w:t>génératrice</w:t>
      </w:r>
      <w:r w:rsidRPr="001C7B59">
        <w:rPr>
          <w:lang w:val="fr-FR"/>
        </w:rPr>
        <w:t xml:space="preserve">s de </w:t>
      </w:r>
      <w:r w:rsidR="001C7B59" w:rsidRPr="001C7B59">
        <w:rPr>
          <w:lang w:val="fr-FR"/>
        </w:rPr>
        <w:t>revenu</w:t>
      </w:r>
      <w:r w:rsidRPr="001C7B59">
        <w:rPr>
          <w:lang w:val="fr-FR"/>
        </w:rPr>
        <w:t>s </w:t>
      </w:r>
    </w:p>
    <w:p w:rsidR="004432C5" w:rsidRPr="001C7B59" w:rsidRDefault="004432C5" w:rsidP="00D60176">
      <w:pPr>
        <w:pStyle w:val="SingleTxt"/>
        <w:jc w:val="left"/>
        <w:rPr>
          <w:lang w:val="fr-FR"/>
        </w:rPr>
      </w:pPr>
      <w:r w:rsidRPr="001C7B59">
        <w:rPr>
          <w:lang w:val="fr-FR"/>
        </w:rPr>
        <w:t>ANDDH</w:t>
      </w:r>
      <w:r w:rsidR="00D60176"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Association </w:t>
      </w:r>
      <w:r w:rsidR="00D60176" w:rsidRPr="001C7B59">
        <w:rPr>
          <w:lang w:val="fr-FR"/>
        </w:rPr>
        <w:t>nigéri</w:t>
      </w:r>
      <w:r w:rsidRPr="001C7B59">
        <w:rPr>
          <w:lang w:val="fr-FR"/>
        </w:rPr>
        <w:t xml:space="preserve">enne de </w:t>
      </w:r>
      <w:r w:rsidR="001C7B59" w:rsidRPr="001C7B59">
        <w:rPr>
          <w:lang w:val="fr-FR"/>
        </w:rPr>
        <w:t>défense</w:t>
      </w:r>
      <w:r w:rsidRPr="001C7B59">
        <w:rPr>
          <w:lang w:val="fr-FR"/>
        </w:rPr>
        <w:t xml:space="preserve"> des </w:t>
      </w:r>
      <w:r w:rsidR="00D60176" w:rsidRPr="001C7B59">
        <w:rPr>
          <w:lang w:val="fr-FR"/>
        </w:rPr>
        <w:t>droits de l’homme</w:t>
      </w:r>
    </w:p>
    <w:p w:rsidR="004432C5" w:rsidRPr="001C7B59" w:rsidRDefault="004432C5" w:rsidP="00D60176">
      <w:pPr>
        <w:pStyle w:val="SingleTxt"/>
        <w:ind w:left="3182" w:hanging="1915"/>
        <w:jc w:val="left"/>
        <w:rPr>
          <w:lang w:val="fr-FR"/>
        </w:rPr>
      </w:pPr>
      <w:r w:rsidRPr="001C7B59">
        <w:rPr>
          <w:lang w:val="fr-FR"/>
        </w:rPr>
        <w:t>ARMFD</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Augmentation des </w:t>
      </w:r>
      <w:r w:rsidR="001C7B59" w:rsidRPr="001C7B59">
        <w:rPr>
          <w:lang w:val="fr-FR"/>
        </w:rPr>
        <w:t>revenu</w:t>
      </w:r>
      <w:r w:rsidRPr="001C7B59">
        <w:rPr>
          <w:lang w:val="fr-FR"/>
        </w:rPr>
        <w:t xml:space="preserve">s </w:t>
      </w:r>
      <w:r w:rsidR="001C7B59" w:rsidRPr="001C7B59">
        <w:rPr>
          <w:lang w:val="fr-FR"/>
        </w:rPr>
        <w:t>monétaire</w:t>
      </w:r>
      <w:r w:rsidRPr="001C7B59">
        <w:rPr>
          <w:lang w:val="fr-FR"/>
        </w:rPr>
        <w:t xml:space="preserve">s des </w:t>
      </w:r>
      <w:r w:rsidR="001C7B59" w:rsidRPr="001C7B59">
        <w:rPr>
          <w:lang w:val="fr-FR"/>
        </w:rPr>
        <w:t>femme</w:t>
      </w:r>
      <w:r w:rsidRPr="001C7B59">
        <w:rPr>
          <w:lang w:val="fr-FR"/>
        </w:rPr>
        <w:t>s de Dosso </w:t>
      </w:r>
    </w:p>
    <w:p w:rsidR="004432C5" w:rsidRPr="001C7B59" w:rsidRDefault="004432C5" w:rsidP="00D60176">
      <w:pPr>
        <w:pStyle w:val="SingleTxt"/>
        <w:jc w:val="left"/>
        <w:rPr>
          <w:lang w:val="fr-FR"/>
        </w:rPr>
      </w:pPr>
      <w:r w:rsidRPr="001C7B59">
        <w:rPr>
          <w:lang w:val="fr-FR"/>
        </w:rPr>
        <w:t>ARV</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Antirétroviraux </w:t>
      </w:r>
    </w:p>
    <w:p w:rsidR="004432C5" w:rsidRPr="001C7B59" w:rsidRDefault="004432C5" w:rsidP="00D60176">
      <w:pPr>
        <w:pStyle w:val="SingleTxt"/>
        <w:ind w:left="3182" w:hanging="1915"/>
        <w:jc w:val="left"/>
        <w:rPr>
          <w:lang w:val="fr-FR"/>
        </w:rPr>
      </w:pPr>
      <w:r w:rsidRPr="001C7B59">
        <w:rPr>
          <w:lang w:val="fr-FR"/>
        </w:rPr>
        <w:t>CARMMA</w:t>
      </w:r>
      <w:r w:rsidR="001C7B59" w:rsidRPr="001C7B59">
        <w:rPr>
          <w:lang w:val="fr-FR"/>
        </w:rPr>
        <w:t xml:space="preserve"> </w:t>
      </w:r>
      <w:r w:rsidR="00D60176" w:rsidRPr="001C7B59">
        <w:rPr>
          <w:lang w:val="fr-FR"/>
        </w:rPr>
        <w:tab/>
      </w:r>
      <w:r w:rsidR="00D60176" w:rsidRPr="001C7B59">
        <w:rPr>
          <w:lang w:val="fr-FR"/>
        </w:rPr>
        <w:tab/>
      </w:r>
      <w:r w:rsidRPr="001C7B59">
        <w:rPr>
          <w:lang w:val="fr-FR"/>
        </w:rPr>
        <w:t>Campagne pour l</w:t>
      </w:r>
      <w:r w:rsidR="00DB6EAF" w:rsidRPr="001C7B59">
        <w:rPr>
          <w:lang w:val="fr-FR"/>
        </w:rPr>
        <w:t>’</w:t>
      </w:r>
      <w:r w:rsidRPr="001C7B59">
        <w:rPr>
          <w:lang w:val="fr-FR"/>
        </w:rPr>
        <w:t xml:space="preserve">accélération de la réduction de la </w:t>
      </w:r>
      <w:r w:rsidR="001C7B59" w:rsidRPr="001C7B59">
        <w:rPr>
          <w:lang w:val="fr-FR"/>
        </w:rPr>
        <w:t>mortalité maternelle</w:t>
      </w:r>
      <w:r w:rsidRPr="001C7B59">
        <w:rPr>
          <w:lang w:val="fr-FR"/>
        </w:rPr>
        <w:t xml:space="preserve"> en Afrique </w:t>
      </w:r>
    </w:p>
    <w:p w:rsidR="004432C5" w:rsidRPr="001C7B59" w:rsidRDefault="004432C5" w:rsidP="00D60176">
      <w:pPr>
        <w:pStyle w:val="SingleTxt"/>
        <w:ind w:left="3182" w:hanging="1915"/>
        <w:jc w:val="left"/>
        <w:rPr>
          <w:lang w:val="fr-FR"/>
        </w:rPr>
      </w:pPr>
      <w:r w:rsidRPr="001C7B59">
        <w:rPr>
          <w:lang w:val="fr-FR"/>
        </w:rPr>
        <w:t>CDE</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Convention </w:t>
      </w:r>
      <w:r w:rsidR="007B382B">
        <w:rPr>
          <w:lang w:val="fr-FR"/>
        </w:rPr>
        <w:t>relati</w:t>
      </w:r>
      <w:r w:rsidRPr="001C7B59">
        <w:rPr>
          <w:lang w:val="fr-FR"/>
        </w:rPr>
        <w:t xml:space="preserve">ve aux </w:t>
      </w:r>
      <w:r w:rsidR="001C7B59" w:rsidRPr="001C7B59">
        <w:rPr>
          <w:lang w:val="fr-FR"/>
        </w:rPr>
        <w:t>droit</w:t>
      </w:r>
      <w:r w:rsidRPr="001C7B59">
        <w:rPr>
          <w:lang w:val="fr-FR"/>
        </w:rPr>
        <w:t>s de l</w:t>
      </w:r>
      <w:r w:rsidR="00DB6EAF" w:rsidRPr="001C7B59">
        <w:rPr>
          <w:lang w:val="fr-FR"/>
        </w:rPr>
        <w:t>’</w:t>
      </w:r>
      <w:r w:rsidR="001C7B59" w:rsidRPr="001C7B59">
        <w:rPr>
          <w:lang w:val="fr-FR"/>
        </w:rPr>
        <w:t>enfant</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CEDEAO</w:t>
      </w:r>
      <w:r w:rsidR="001C7B59" w:rsidRPr="001C7B59">
        <w:rPr>
          <w:lang w:val="fr-FR"/>
        </w:rPr>
        <w:t xml:space="preserve"> </w:t>
      </w:r>
      <w:r w:rsidR="00D60176" w:rsidRPr="001C7B59">
        <w:rPr>
          <w:lang w:val="fr-FR"/>
        </w:rPr>
        <w:tab/>
      </w:r>
      <w:r w:rsidR="007B382B">
        <w:rPr>
          <w:lang w:val="fr-FR"/>
        </w:rPr>
        <w:tab/>
      </w:r>
      <w:r w:rsidR="00D60176" w:rsidRPr="001C7B59">
        <w:rPr>
          <w:lang w:val="fr-FR"/>
        </w:rPr>
        <w:tab/>
      </w:r>
      <w:r w:rsidRPr="001C7B59">
        <w:rPr>
          <w:lang w:val="fr-FR"/>
        </w:rPr>
        <w:t xml:space="preserve">Communauté </w:t>
      </w:r>
      <w:r w:rsidR="007B382B">
        <w:rPr>
          <w:lang w:val="fr-FR"/>
        </w:rPr>
        <w:t>économique</w:t>
      </w:r>
      <w:r w:rsidRPr="001C7B59">
        <w:rPr>
          <w:lang w:val="fr-FR"/>
        </w:rPr>
        <w:t xml:space="preserve"> des </w:t>
      </w:r>
      <w:r w:rsidR="008E5553">
        <w:rPr>
          <w:lang w:val="fr-FR"/>
        </w:rPr>
        <w:t>État</w:t>
      </w:r>
      <w:r w:rsidRPr="001C7B59">
        <w:rPr>
          <w:lang w:val="fr-FR"/>
        </w:rPr>
        <w:t>s de l</w:t>
      </w:r>
      <w:r w:rsidR="00DB6EAF" w:rsidRPr="001C7B59">
        <w:rPr>
          <w:lang w:val="fr-FR"/>
        </w:rPr>
        <w:t>’</w:t>
      </w:r>
      <w:r w:rsidRPr="001C7B59">
        <w:rPr>
          <w:lang w:val="fr-FR"/>
        </w:rPr>
        <w:t>Afrique de l</w:t>
      </w:r>
      <w:r w:rsidR="00DB6EAF" w:rsidRPr="001C7B59">
        <w:rPr>
          <w:lang w:val="fr-FR"/>
        </w:rPr>
        <w:t>’</w:t>
      </w:r>
      <w:r w:rsidRPr="001C7B59">
        <w:rPr>
          <w:lang w:val="fr-FR"/>
        </w:rPr>
        <w:t>Ouest </w:t>
      </w:r>
    </w:p>
    <w:p w:rsidR="004432C5" w:rsidRPr="001C7B59" w:rsidRDefault="004432C5" w:rsidP="00D60176">
      <w:pPr>
        <w:pStyle w:val="SingleTxt"/>
        <w:ind w:left="3182" w:hanging="1915"/>
        <w:jc w:val="left"/>
        <w:rPr>
          <w:lang w:val="fr-FR"/>
        </w:rPr>
      </w:pPr>
      <w:r w:rsidRPr="001C7B59">
        <w:rPr>
          <w:lang w:val="fr-FR"/>
        </w:rPr>
        <w:t>CEDEF</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Convention sur l</w:t>
      </w:r>
      <w:r w:rsidR="00DB6EAF" w:rsidRPr="001C7B59">
        <w:rPr>
          <w:lang w:val="fr-FR"/>
        </w:rPr>
        <w:t>’</w:t>
      </w:r>
      <w:r w:rsidR="007B382B">
        <w:rPr>
          <w:lang w:val="fr-FR"/>
        </w:rPr>
        <w:t>élimination</w:t>
      </w:r>
      <w:r w:rsidRPr="001C7B59">
        <w:rPr>
          <w:lang w:val="fr-FR"/>
        </w:rPr>
        <w:t xml:space="preserve"> de toutes les formes de </w:t>
      </w:r>
      <w:r w:rsidR="001C7B59" w:rsidRPr="001C7B59">
        <w:rPr>
          <w:lang w:val="fr-FR"/>
        </w:rPr>
        <w:t>discrimination</w:t>
      </w:r>
      <w:r w:rsidRPr="001C7B59">
        <w:rPr>
          <w:lang w:val="fr-FR"/>
        </w:rPr>
        <w:t xml:space="preserve"> à l</w:t>
      </w:r>
      <w:r w:rsidR="00DB6EAF" w:rsidRPr="001C7B59">
        <w:rPr>
          <w:lang w:val="fr-FR"/>
        </w:rPr>
        <w:t>’</w:t>
      </w:r>
      <w:r w:rsidRPr="001C7B59">
        <w:rPr>
          <w:lang w:val="fr-FR"/>
        </w:rPr>
        <w:t>égard des</w:t>
      </w:r>
      <w:r w:rsidR="00D60176" w:rsidRPr="001C7B59">
        <w:rPr>
          <w:lang w:val="fr-FR"/>
        </w:rPr>
        <w:t xml:space="preserve"> </w:t>
      </w:r>
      <w:r w:rsidR="001C7B59" w:rsidRPr="001C7B59">
        <w:rPr>
          <w:lang w:val="fr-FR"/>
        </w:rPr>
        <w:t>femme</w:t>
      </w:r>
      <w:r w:rsidRPr="001C7B59">
        <w:rPr>
          <w:lang w:val="fr-FR"/>
        </w:rPr>
        <w:t>s </w:t>
      </w:r>
    </w:p>
    <w:p w:rsidR="004432C5" w:rsidRPr="001C7B59" w:rsidRDefault="004432C5" w:rsidP="00D60176">
      <w:pPr>
        <w:pStyle w:val="SingleTxt"/>
        <w:ind w:left="3182" w:hanging="1915"/>
        <w:jc w:val="left"/>
        <w:rPr>
          <w:lang w:val="fr-FR"/>
        </w:rPr>
      </w:pPr>
      <w:r w:rsidRPr="001C7B59">
        <w:rPr>
          <w:lang w:val="fr-FR"/>
        </w:rPr>
        <w:t>CODDHD</w:t>
      </w:r>
      <w:r w:rsidR="001C7B59" w:rsidRPr="001C7B59">
        <w:rPr>
          <w:lang w:val="fr-FR"/>
        </w:rPr>
        <w:t xml:space="preserve"> </w:t>
      </w:r>
      <w:r w:rsidR="00D60176" w:rsidRPr="001C7B59">
        <w:rPr>
          <w:lang w:val="fr-FR"/>
        </w:rPr>
        <w:tab/>
      </w:r>
      <w:r w:rsidR="00D60176" w:rsidRPr="001C7B59">
        <w:rPr>
          <w:lang w:val="fr-FR"/>
        </w:rPr>
        <w:tab/>
      </w:r>
      <w:r w:rsidRPr="001C7B59">
        <w:rPr>
          <w:lang w:val="fr-FR"/>
        </w:rPr>
        <w:t xml:space="preserve">Collectif des </w:t>
      </w:r>
      <w:r w:rsidR="007B382B">
        <w:rPr>
          <w:lang w:val="fr-FR"/>
        </w:rPr>
        <w:t>organisation</w:t>
      </w:r>
      <w:r w:rsidRPr="001C7B59">
        <w:rPr>
          <w:lang w:val="fr-FR"/>
        </w:rPr>
        <w:t xml:space="preserve">s de </w:t>
      </w:r>
      <w:r w:rsidR="001C7B59" w:rsidRPr="001C7B59">
        <w:rPr>
          <w:lang w:val="fr-FR"/>
        </w:rPr>
        <w:t>défense</w:t>
      </w:r>
      <w:r w:rsidRPr="001C7B59">
        <w:rPr>
          <w:lang w:val="fr-FR"/>
        </w:rPr>
        <w:t xml:space="preserve"> des </w:t>
      </w:r>
      <w:r w:rsidR="00D60176" w:rsidRPr="001C7B59">
        <w:rPr>
          <w:lang w:val="fr-FR"/>
        </w:rPr>
        <w:t>droits de l’homme</w:t>
      </w:r>
      <w:r w:rsidRPr="001C7B59">
        <w:rPr>
          <w:lang w:val="fr-FR"/>
        </w:rPr>
        <w:t xml:space="preserve"> et de la </w:t>
      </w:r>
      <w:r w:rsidR="00D60176" w:rsidRPr="001C7B59">
        <w:rPr>
          <w:lang w:val="fr-FR"/>
        </w:rPr>
        <w:t>démocratie</w:t>
      </w:r>
    </w:p>
    <w:p w:rsidR="004432C5" w:rsidRPr="001C7B59" w:rsidRDefault="004432C5" w:rsidP="00D60176">
      <w:pPr>
        <w:pStyle w:val="SingleTxt"/>
        <w:ind w:left="3182" w:hanging="1915"/>
        <w:jc w:val="left"/>
        <w:rPr>
          <w:lang w:val="fr-FR"/>
        </w:rPr>
      </w:pPr>
      <w:r w:rsidRPr="001C7B59">
        <w:rPr>
          <w:lang w:val="fr-FR"/>
        </w:rPr>
        <w:t>CONGAFEN</w:t>
      </w:r>
      <w:r w:rsidR="001C7B59" w:rsidRPr="001C7B59">
        <w:rPr>
          <w:lang w:val="fr-FR"/>
        </w:rPr>
        <w:t xml:space="preserve"> </w:t>
      </w:r>
      <w:r w:rsidR="00D60176" w:rsidRPr="001C7B59">
        <w:rPr>
          <w:lang w:val="fr-FR"/>
        </w:rPr>
        <w:tab/>
      </w:r>
      <w:r w:rsidR="00D60176" w:rsidRPr="001C7B59">
        <w:rPr>
          <w:lang w:val="fr-FR"/>
        </w:rPr>
        <w:tab/>
      </w:r>
      <w:r w:rsidRPr="001C7B59">
        <w:rPr>
          <w:lang w:val="fr-FR"/>
        </w:rPr>
        <w:t xml:space="preserve">Coordination des ONG et </w:t>
      </w:r>
      <w:r w:rsidR="007B382B">
        <w:rPr>
          <w:lang w:val="fr-FR"/>
        </w:rPr>
        <w:t>a</w:t>
      </w:r>
      <w:r w:rsidRPr="001C7B59">
        <w:rPr>
          <w:lang w:val="fr-FR"/>
        </w:rPr>
        <w:t xml:space="preserve">ssociations </w:t>
      </w:r>
      <w:r w:rsidR="007B382B">
        <w:rPr>
          <w:lang w:val="fr-FR"/>
        </w:rPr>
        <w:t>f</w:t>
      </w:r>
      <w:r w:rsidRPr="001C7B59">
        <w:rPr>
          <w:lang w:val="fr-FR"/>
        </w:rPr>
        <w:t>éminines du Niger </w:t>
      </w:r>
    </w:p>
    <w:p w:rsidR="004432C5" w:rsidRPr="001C7B59" w:rsidRDefault="004432C5" w:rsidP="00D60176">
      <w:pPr>
        <w:pStyle w:val="SingleTxt"/>
        <w:ind w:left="3182" w:hanging="1915"/>
        <w:jc w:val="left"/>
        <w:rPr>
          <w:lang w:val="fr-FR"/>
        </w:rPr>
      </w:pPr>
      <w:r w:rsidRPr="001C7B59">
        <w:rPr>
          <w:lang w:val="fr-FR"/>
        </w:rPr>
        <w:t>CONIPRAT</w:t>
      </w:r>
      <w:r w:rsidR="001C7B59" w:rsidRPr="001C7B59">
        <w:rPr>
          <w:lang w:val="fr-FR"/>
        </w:rPr>
        <w:t xml:space="preserve"> </w:t>
      </w:r>
      <w:r w:rsidR="00D60176" w:rsidRPr="001C7B59">
        <w:rPr>
          <w:lang w:val="fr-FR"/>
        </w:rPr>
        <w:tab/>
      </w:r>
      <w:r w:rsidR="00D60176" w:rsidRPr="001C7B59">
        <w:rPr>
          <w:lang w:val="fr-FR"/>
        </w:rPr>
        <w:tab/>
      </w:r>
      <w:r w:rsidRPr="001C7B59">
        <w:rPr>
          <w:lang w:val="fr-FR"/>
        </w:rPr>
        <w:t xml:space="preserve">Comité </w:t>
      </w:r>
      <w:r w:rsidR="00D60176" w:rsidRPr="001C7B59">
        <w:rPr>
          <w:lang w:val="fr-FR"/>
        </w:rPr>
        <w:t>nigéri</w:t>
      </w:r>
      <w:r w:rsidRPr="001C7B59">
        <w:rPr>
          <w:lang w:val="fr-FR"/>
        </w:rPr>
        <w:t xml:space="preserve">en sur les </w:t>
      </w:r>
      <w:r w:rsidR="007B382B">
        <w:rPr>
          <w:lang w:val="fr-FR"/>
        </w:rPr>
        <w:t>p</w:t>
      </w:r>
      <w:r w:rsidRPr="001C7B59">
        <w:rPr>
          <w:lang w:val="fr-FR"/>
        </w:rPr>
        <w:t xml:space="preserve">ratiques </w:t>
      </w:r>
      <w:r w:rsidR="007B382B">
        <w:rPr>
          <w:lang w:val="fr-FR"/>
        </w:rPr>
        <w:t>t</w:t>
      </w:r>
      <w:r w:rsidRPr="001C7B59">
        <w:rPr>
          <w:lang w:val="fr-FR"/>
        </w:rPr>
        <w:t>raditionnelles</w:t>
      </w:r>
      <w:r w:rsidR="001C7B59"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CPON</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Consultation </w:t>
      </w:r>
      <w:r w:rsidR="007B382B">
        <w:rPr>
          <w:lang w:val="fr-FR"/>
        </w:rPr>
        <w:t>p</w:t>
      </w:r>
      <w:r w:rsidRPr="001C7B59">
        <w:rPr>
          <w:lang w:val="fr-FR"/>
        </w:rPr>
        <w:t xml:space="preserve">ostnatale </w:t>
      </w:r>
    </w:p>
    <w:p w:rsidR="004432C5" w:rsidRPr="001C7B59" w:rsidRDefault="004432C5" w:rsidP="00D60176">
      <w:pPr>
        <w:pStyle w:val="SingleTxt"/>
        <w:ind w:left="3182" w:hanging="1915"/>
        <w:jc w:val="left"/>
        <w:rPr>
          <w:lang w:val="fr-FR"/>
        </w:rPr>
      </w:pPr>
      <w:r w:rsidRPr="001C7B59">
        <w:rPr>
          <w:lang w:val="fr-FR"/>
        </w:rPr>
        <w:t>CSI</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00D60176" w:rsidRPr="001C7B59">
        <w:rPr>
          <w:lang w:val="fr-FR"/>
        </w:rPr>
        <w:tab/>
      </w:r>
      <w:r w:rsidRPr="001C7B59">
        <w:rPr>
          <w:lang w:val="fr-FR"/>
        </w:rPr>
        <w:t xml:space="preserve">Centre de </w:t>
      </w:r>
      <w:r w:rsidR="00D60176" w:rsidRPr="001C7B59">
        <w:rPr>
          <w:lang w:val="fr-FR"/>
        </w:rPr>
        <w:t>santé</w:t>
      </w:r>
      <w:r w:rsidRPr="001C7B59">
        <w:rPr>
          <w:lang w:val="fr-FR"/>
        </w:rPr>
        <w:t xml:space="preserve"> Intégré</w:t>
      </w:r>
    </w:p>
    <w:p w:rsidR="004432C5" w:rsidRPr="001C7B59" w:rsidRDefault="004432C5" w:rsidP="00D60176">
      <w:pPr>
        <w:pStyle w:val="SingleTxt"/>
        <w:ind w:left="3182" w:hanging="1915"/>
        <w:jc w:val="left"/>
        <w:rPr>
          <w:lang w:val="fr-FR"/>
        </w:rPr>
      </w:pPr>
      <w:r w:rsidRPr="001C7B59">
        <w:rPr>
          <w:lang w:val="fr-FR"/>
        </w:rPr>
        <w:t>DBC</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Distribution à </w:t>
      </w:r>
      <w:r w:rsidR="007B382B">
        <w:rPr>
          <w:lang w:val="fr-FR"/>
        </w:rPr>
        <w:t>b</w:t>
      </w:r>
      <w:r w:rsidRPr="001C7B59">
        <w:rPr>
          <w:lang w:val="fr-FR"/>
        </w:rPr>
        <w:t xml:space="preserve">ase </w:t>
      </w:r>
      <w:r w:rsidR="007B382B">
        <w:rPr>
          <w:lang w:val="fr-FR"/>
        </w:rPr>
        <w:t>c</w:t>
      </w:r>
      <w:r w:rsidRPr="001C7B59">
        <w:rPr>
          <w:lang w:val="fr-FR"/>
        </w:rPr>
        <w:t xml:space="preserve">ommunautaire </w:t>
      </w:r>
    </w:p>
    <w:p w:rsidR="004432C5" w:rsidRPr="001C7B59" w:rsidRDefault="004432C5" w:rsidP="00D60176">
      <w:pPr>
        <w:pStyle w:val="SingleTxt"/>
        <w:ind w:left="3182" w:hanging="1915"/>
        <w:jc w:val="left"/>
        <w:rPr>
          <w:lang w:val="fr-FR"/>
        </w:rPr>
      </w:pPr>
      <w:r w:rsidRPr="001C7B59">
        <w:rPr>
          <w:lang w:val="fr-FR"/>
        </w:rPr>
        <w:t>DPF</w:t>
      </w:r>
      <w:r w:rsidR="001C7B59" w:rsidRPr="001C7B59">
        <w:rPr>
          <w:lang w:val="fr-FR"/>
        </w:rPr>
        <w:t xml:space="preserve"> </w:t>
      </w:r>
      <w:r w:rsidR="00D60176" w:rsidRPr="001C7B59">
        <w:rPr>
          <w:lang w:val="fr-FR"/>
        </w:rPr>
        <w:tab/>
      </w:r>
      <w:r w:rsidR="00D60176" w:rsidRPr="001C7B59">
        <w:rPr>
          <w:lang w:val="fr-FR"/>
        </w:rPr>
        <w:tab/>
      </w:r>
      <w:r w:rsidR="007B382B">
        <w:rPr>
          <w:lang w:val="fr-FR"/>
        </w:rPr>
        <w:tab/>
      </w:r>
      <w:r w:rsidR="00D60176" w:rsidRPr="001C7B59">
        <w:rPr>
          <w:lang w:val="fr-FR"/>
        </w:rPr>
        <w:tab/>
      </w:r>
      <w:r w:rsidRPr="001C7B59">
        <w:rPr>
          <w:lang w:val="fr-FR"/>
        </w:rPr>
        <w:t xml:space="preserve">Direction de la </w:t>
      </w:r>
      <w:r w:rsidR="007B382B">
        <w:rPr>
          <w:lang w:val="fr-FR"/>
        </w:rPr>
        <w:t>promotion</w:t>
      </w:r>
      <w:r w:rsidRPr="001C7B59">
        <w:rPr>
          <w:lang w:val="fr-FR"/>
        </w:rPr>
        <w:t xml:space="preserve"> de la </w:t>
      </w:r>
      <w:r w:rsidR="001C7B59" w:rsidRPr="001C7B59">
        <w:rPr>
          <w:lang w:val="fr-FR"/>
        </w:rPr>
        <w:t>femme</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EDSN</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Enquête </w:t>
      </w:r>
      <w:r w:rsidR="00DE024F">
        <w:rPr>
          <w:lang w:val="fr-FR"/>
        </w:rPr>
        <w:t>démographique</w:t>
      </w:r>
      <w:r w:rsidRPr="001C7B59">
        <w:rPr>
          <w:lang w:val="fr-FR"/>
        </w:rPr>
        <w:t xml:space="preserve"> et de </w:t>
      </w:r>
      <w:r w:rsidR="00D60176" w:rsidRPr="001C7B59">
        <w:rPr>
          <w:lang w:val="fr-FR"/>
        </w:rPr>
        <w:t>santé</w:t>
      </w:r>
      <w:r w:rsidRPr="001C7B59">
        <w:rPr>
          <w:lang w:val="fr-FR"/>
        </w:rPr>
        <w:t xml:space="preserve"> et à </w:t>
      </w:r>
      <w:r w:rsidR="007B382B">
        <w:rPr>
          <w:lang w:val="fr-FR"/>
        </w:rPr>
        <w:t>indicateurs multiples</w:t>
      </w:r>
    </w:p>
    <w:p w:rsidR="004432C5" w:rsidRPr="001C7B59" w:rsidRDefault="004432C5" w:rsidP="00D60176">
      <w:pPr>
        <w:pStyle w:val="SingleTxt"/>
        <w:ind w:left="3182" w:hanging="1915"/>
        <w:jc w:val="left"/>
        <w:rPr>
          <w:lang w:val="fr-FR"/>
        </w:rPr>
      </w:pPr>
      <w:r w:rsidRPr="001C7B59">
        <w:rPr>
          <w:lang w:val="fr-FR"/>
        </w:rPr>
        <w:t>EDSN-MICS</w:t>
      </w:r>
      <w:r w:rsidR="001C7B59" w:rsidRPr="001C7B59">
        <w:rPr>
          <w:lang w:val="fr-FR"/>
        </w:rPr>
        <w:t xml:space="preserve"> </w:t>
      </w:r>
      <w:r w:rsidR="00D60176" w:rsidRPr="001C7B59">
        <w:rPr>
          <w:lang w:val="fr-FR"/>
        </w:rPr>
        <w:tab/>
      </w:r>
      <w:r w:rsidR="00D60176" w:rsidRPr="001C7B59">
        <w:rPr>
          <w:lang w:val="fr-FR"/>
        </w:rPr>
        <w:tab/>
      </w:r>
      <w:r w:rsidRPr="001C7B59">
        <w:rPr>
          <w:lang w:val="fr-FR"/>
        </w:rPr>
        <w:t xml:space="preserve">Enquête </w:t>
      </w:r>
      <w:r w:rsidR="00DE024F">
        <w:rPr>
          <w:lang w:val="fr-FR"/>
        </w:rPr>
        <w:t>démographique</w:t>
      </w:r>
      <w:r w:rsidRPr="001C7B59">
        <w:rPr>
          <w:lang w:val="fr-FR"/>
        </w:rPr>
        <w:t xml:space="preserve"> et de </w:t>
      </w:r>
      <w:r w:rsidR="00D60176" w:rsidRPr="001C7B59">
        <w:rPr>
          <w:lang w:val="fr-FR"/>
        </w:rPr>
        <w:t>santé</w:t>
      </w:r>
      <w:r w:rsidRPr="001C7B59">
        <w:rPr>
          <w:lang w:val="fr-FR"/>
        </w:rPr>
        <w:t xml:space="preserve"> à </w:t>
      </w:r>
      <w:r w:rsidR="007B382B">
        <w:rPr>
          <w:lang w:val="fr-FR"/>
        </w:rPr>
        <w:t>indicateurs multiples</w:t>
      </w:r>
    </w:p>
    <w:p w:rsidR="004432C5" w:rsidRPr="001C7B59" w:rsidRDefault="004432C5" w:rsidP="00D60176">
      <w:pPr>
        <w:pStyle w:val="SingleTxt"/>
        <w:ind w:left="3182" w:hanging="1915"/>
        <w:jc w:val="left"/>
        <w:rPr>
          <w:lang w:val="fr-FR"/>
        </w:rPr>
      </w:pPr>
      <w:r w:rsidRPr="001C7B59">
        <w:rPr>
          <w:lang w:val="fr-FR"/>
        </w:rPr>
        <w:t>ENSP</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00E15F6D" w:rsidRPr="001C7B59">
        <w:rPr>
          <w:lang w:val="fr-FR"/>
        </w:rPr>
        <w:t>École</w:t>
      </w:r>
      <w:r w:rsidRPr="001C7B59">
        <w:rPr>
          <w:lang w:val="fr-FR"/>
        </w:rPr>
        <w:t xml:space="preserve"> </w:t>
      </w:r>
      <w:r w:rsidR="00D60176" w:rsidRPr="001C7B59">
        <w:rPr>
          <w:lang w:val="fr-FR"/>
        </w:rPr>
        <w:t>national</w:t>
      </w:r>
      <w:r w:rsidRPr="001C7B59">
        <w:rPr>
          <w:lang w:val="fr-FR"/>
        </w:rPr>
        <w:t xml:space="preserve">e de </w:t>
      </w:r>
      <w:r w:rsidR="00D60176" w:rsidRPr="001C7B59">
        <w:rPr>
          <w:lang w:val="fr-FR"/>
        </w:rPr>
        <w:t>santé</w:t>
      </w:r>
      <w:r w:rsidRPr="001C7B59">
        <w:rPr>
          <w:lang w:val="fr-FR"/>
        </w:rPr>
        <w:t xml:space="preserve"> </w:t>
      </w:r>
      <w:r w:rsidR="00D60176" w:rsidRPr="001C7B59">
        <w:rPr>
          <w:lang w:val="fr-FR"/>
        </w:rPr>
        <w:t>publi</w:t>
      </w:r>
      <w:r w:rsidRPr="001C7B59">
        <w:rPr>
          <w:lang w:val="fr-FR"/>
        </w:rPr>
        <w:t>que</w:t>
      </w:r>
    </w:p>
    <w:p w:rsidR="004432C5" w:rsidRPr="001C7B59" w:rsidRDefault="004432C5" w:rsidP="00D60176">
      <w:pPr>
        <w:pStyle w:val="SingleTxt"/>
        <w:ind w:left="3182" w:hanging="1915"/>
        <w:jc w:val="left"/>
        <w:rPr>
          <w:lang w:val="fr-FR"/>
        </w:rPr>
      </w:pPr>
      <w:r w:rsidRPr="001C7B59">
        <w:rPr>
          <w:lang w:val="fr-FR"/>
        </w:rPr>
        <w:t>FAD</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007B382B">
        <w:rPr>
          <w:lang w:val="fr-FR"/>
        </w:rPr>
        <w:tab/>
      </w:r>
      <w:r w:rsidRPr="001C7B59">
        <w:rPr>
          <w:lang w:val="fr-FR"/>
        </w:rPr>
        <w:t xml:space="preserve">Fonds </w:t>
      </w:r>
      <w:r w:rsidR="007B382B">
        <w:rPr>
          <w:lang w:val="fr-FR"/>
        </w:rPr>
        <w:t>africain</w:t>
      </w:r>
      <w:r w:rsidRPr="001C7B59">
        <w:rPr>
          <w:lang w:val="fr-FR"/>
        </w:rPr>
        <w:t xml:space="preserve"> de </w:t>
      </w:r>
      <w:r w:rsidR="00D60176" w:rsidRPr="001C7B59">
        <w:rPr>
          <w:lang w:val="fr-FR"/>
        </w:rPr>
        <w:t>développement</w:t>
      </w:r>
    </w:p>
    <w:p w:rsidR="004432C5" w:rsidRPr="001C7B59" w:rsidRDefault="004432C5" w:rsidP="00D60176">
      <w:pPr>
        <w:pStyle w:val="SingleTxt"/>
        <w:ind w:left="3182" w:hanging="1915"/>
        <w:jc w:val="left"/>
        <w:rPr>
          <w:lang w:val="fr-FR"/>
        </w:rPr>
      </w:pPr>
      <w:r w:rsidRPr="001C7B59">
        <w:rPr>
          <w:lang w:val="fr-FR"/>
        </w:rPr>
        <w:t>HCDH</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Pr="001C7B59">
        <w:rPr>
          <w:lang w:val="fr-FR"/>
        </w:rPr>
        <w:t xml:space="preserve">Haut-commissariat aux </w:t>
      </w:r>
      <w:r w:rsidR="00D60176" w:rsidRPr="001C7B59">
        <w:rPr>
          <w:lang w:val="fr-FR"/>
        </w:rPr>
        <w:t>droits de l’homme</w:t>
      </w:r>
      <w:r w:rsidRPr="001C7B59">
        <w:rPr>
          <w:lang w:val="fr-FR"/>
        </w:rPr>
        <w:t xml:space="preserve"> des Nations Unies</w:t>
      </w:r>
    </w:p>
    <w:p w:rsidR="004432C5" w:rsidRPr="001C7B59" w:rsidRDefault="004432C5" w:rsidP="00D60176">
      <w:pPr>
        <w:pStyle w:val="SingleTxt"/>
        <w:ind w:left="3182" w:hanging="1915"/>
        <w:jc w:val="left"/>
        <w:rPr>
          <w:lang w:val="fr-FR"/>
        </w:rPr>
      </w:pPr>
      <w:r w:rsidRPr="001C7B59">
        <w:rPr>
          <w:lang w:val="fr-FR"/>
        </w:rPr>
        <w:t>IEC</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00D60176" w:rsidRPr="001C7B59">
        <w:rPr>
          <w:lang w:val="fr-FR"/>
        </w:rPr>
        <w:tab/>
      </w:r>
      <w:r w:rsidR="007B382B">
        <w:rPr>
          <w:lang w:val="fr-FR"/>
        </w:rPr>
        <w:t>I</w:t>
      </w:r>
      <w:r w:rsidR="00D60176" w:rsidRPr="001C7B59">
        <w:rPr>
          <w:lang w:val="fr-FR"/>
        </w:rPr>
        <w:t>nformation</w:t>
      </w:r>
      <w:r w:rsidRPr="001C7B59">
        <w:rPr>
          <w:lang w:val="fr-FR"/>
        </w:rPr>
        <w:t xml:space="preserve">, </w:t>
      </w:r>
      <w:r w:rsidR="00D60176" w:rsidRPr="001C7B59">
        <w:rPr>
          <w:lang w:val="fr-FR"/>
        </w:rPr>
        <w:t>éducation</w:t>
      </w:r>
      <w:r w:rsidRPr="001C7B59">
        <w:rPr>
          <w:lang w:val="fr-FR"/>
        </w:rPr>
        <w:t xml:space="preserve"> et </w:t>
      </w:r>
      <w:r w:rsidR="00D60176" w:rsidRPr="001C7B59">
        <w:rPr>
          <w:lang w:val="fr-FR"/>
        </w:rPr>
        <w:t>communication</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IFTIC</w:t>
      </w:r>
      <w:r w:rsidR="001C7B59" w:rsidRPr="001C7B59">
        <w:rPr>
          <w:lang w:val="fr-FR"/>
        </w:rPr>
        <w:t xml:space="preserve"> </w:t>
      </w:r>
      <w:r w:rsidR="00D60176" w:rsidRPr="001C7B59">
        <w:rPr>
          <w:lang w:val="fr-FR"/>
        </w:rPr>
        <w:tab/>
      </w:r>
      <w:r w:rsidR="00D60176" w:rsidRPr="001C7B59">
        <w:rPr>
          <w:lang w:val="fr-FR"/>
        </w:rPr>
        <w:tab/>
      </w:r>
      <w:r w:rsidR="00D60176" w:rsidRPr="001C7B59">
        <w:rPr>
          <w:lang w:val="fr-FR"/>
        </w:rPr>
        <w:tab/>
      </w:r>
      <w:r w:rsidR="007B382B">
        <w:rPr>
          <w:lang w:val="fr-FR"/>
        </w:rPr>
        <w:t xml:space="preserve">Institut </w:t>
      </w:r>
      <w:r w:rsidRPr="001C7B59">
        <w:rPr>
          <w:lang w:val="fr-FR"/>
        </w:rPr>
        <w:t xml:space="preserve">de </w:t>
      </w:r>
      <w:r w:rsidR="00D60176" w:rsidRPr="001C7B59">
        <w:rPr>
          <w:lang w:val="fr-FR"/>
        </w:rPr>
        <w:t>formation</w:t>
      </w:r>
      <w:r w:rsidRPr="001C7B59">
        <w:rPr>
          <w:lang w:val="fr-FR"/>
        </w:rPr>
        <w:t xml:space="preserve"> aux </w:t>
      </w:r>
      <w:r w:rsidR="00D60176" w:rsidRPr="001C7B59">
        <w:rPr>
          <w:lang w:val="fr-FR"/>
        </w:rPr>
        <w:t>technique</w:t>
      </w:r>
      <w:r w:rsidRPr="001C7B59">
        <w:rPr>
          <w:lang w:val="fr-FR"/>
        </w:rPr>
        <w:t>s de l</w:t>
      </w:r>
      <w:r w:rsidR="00DB6EAF" w:rsidRPr="001C7B59">
        <w:rPr>
          <w:lang w:val="fr-FR"/>
        </w:rPr>
        <w:t>’</w:t>
      </w:r>
      <w:r w:rsidR="00D60176" w:rsidRPr="001C7B59">
        <w:rPr>
          <w:lang w:val="fr-FR"/>
        </w:rPr>
        <w:t>information</w:t>
      </w:r>
      <w:r w:rsidRPr="001C7B59">
        <w:rPr>
          <w:lang w:val="fr-FR"/>
        </w:rPr>
        <w:t xml:space="preserve"> et de la </w:t>
      </w:r>
      <w:r w:rsidR="00D60176" w:rsidRPr="001C7B59">
        <w:rPr>
          <w:lang w:val="fr-FR"/>
        </w:rPr>
        <w:t>communication</w:t>
      </w:r>
    </w:p>
    <w:p w:rsidR="004432C5" w:rsidRPr="001C7B59" w:rsidRDefault="004432C5" w:rsidP="00D60176">
      <w:pPr>
        <w:pStyle w:val="SingleTxt"/>
        <w:ind w:left="3182" w:hanging="1915"/>
        <w:jc w:val="left"/>
        <w:rPr>
          <w:lang w:val="fr-FR"/>
        </w:rPr>
      </w:pPr>
      <w:r w:rsidRPr="001C7B59">
        <w:rPr>
          <w:lang w:val="fr-FR"/>
        </w:rPr>
        <w:t>IGN</w:t>
      </w:r>
      <w:r w:rsidR="001C7B59" w:rsidRPr="001C7B59">
        <w:rPr>
          <w:lang w:val="fr-FR"/>
        </w:rPr>
        <w:t xml:space="preserve"> </w:t>
      </w:r>
      <w:r w:rsidR="007B382B">
        <w:rPr>
          <w:lang w:val="fr-FR"/>
        </w:rPr>
        <w:tab/>
      </w:r>
      <w:r w:rsidR="007B382B">
        <w:rPr>
          <w:lang w:val="fr-FR"/>
        </w:rPr>
        <w:tab/>
      </w:r>
      <w:r w:rsidR="007B382B">
        <w:rPr>
          <w:lang w:val="fr-FR"/>
        </w:rPr>
        <w:tab/>
      </w:r>
      <w:r w:rsidR="007B382B">
        <w:rPr>
          <w:lang w:val="fr-FR"/>
        </w:rPr>
        <w:tab/>
      </w:r>
      <w:r w:rsidRPr="001C7B59">
        <w:rPr>
          <w:lang w:val="fr-FR"/>
        </w:rPr>
        <w:t xml:space="preserve">Initiative </w:t>
      </w:r>
      <w:r w:rsidR="001C7B59" w:rsidRPr="001C7B59">
        <w:rPr>
          <w:lang w:val="fr-FR"/>
        </w:rPr>
        <w:t>genre</w:t>
      </w:r>
      <w:r w:rsidRPr="001C7B59">
        <w:rPr>
          <w:lang w:val="fr-FR"/>
        </w:rPr>
        <w:t xml:space="preserve"> du Niger</w:t>
      </w:r>
    </w:p>
    <w:p w:rsidR="004432C5" w:rsidRPr="001C7B59" w:rsidRDefault="004432C5" w:rsidP="00D60176">
      <w:pPr>
        <w:pStyle w:val="SingleTxt"/>
        <w:ind w:left="3182" w:hanging="1915"/>
        <w:jc w:val="left"/>
        <w:rPr>
          <w:lang w:val="fr-FR"/>
        </w:rPr>
      </w:pPr>
      <w:r w:rsidRPr="001C7B59">
        <w:rPr>
          <w:lang w:val="fr-FR"/>
        </w:rPr>
        <w:t>INS</w:t>
      </w:r>
      <w:r w:rsidR="001C7B59" w:rsidRPr="001C7B59">
        <w:rPr>
          <w:lang w:val="fr-FR"/>
        </w:rPr>
        <w:t xml:space="preserve"> </w:t>
      </w:r>
      <w:r w:rsidR="007B382B">
        <w:rPr>
          <w:lang w:val="fr-FR"/>
        </w:rPr>
        <w:tab/>
      </w:r>
      <w:r w:rsidR="007B382B">
        <w:rPr>
          <w:lang w:val="fr-FR"/>
        </w:rPr>
        <w:tab/>
      </w:r>
      <w:r w:rsidR="007B382B">
        <w:rPr>
          <w:lang w:val="fr-FR"/>
        </w:rPr>
        <w:tab/>
      </w:r>
      <w:r w:rsidR="007B382B">
        <w:rPr>
          <w:lang w:val="fr-FR"/>
        </w:rPr>
        <w:tab/>
      </w:r>
      <w:r w:rsidRPr="001C7B59">
        <w:rPr>
          <w:lang w:val="fr-FR"/>
        </w:rPr>
        <w:t xml:space="preserve">Institut </w:t>
      </w:r>
      <w:r w:rsidR="00D60176" w:rsidRPr="001C7B59">
        <w:rPr>
          <w:lang w:val="fr-FR"/>
        </w:rPr>
        <w:t>national</w:t>
      </w:r>
      <w:r w:rsidRPr="001C7B59">
        <w:rPr>
          <w:lang w:val="fr-FR"/>
        </w:rPr>
        <w:t xml:space="preserve"> de la </w:t>
      </w:r>
      <w:r w:rsidR="007B382B">
        <w:rPr>
          <w:lang w:val="fr-FR"/>
        </w:rPr>
        <w:t>statistique</w:t>
      </w:r>
      <w:r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IST</w:t>
      </w:r>
      <w:r w:rsidR="001C7B59" w:rsidRPr="001C7B59">
        <w:rPr>
          <w:lang w:val="fr-FR"/>
        </w:rPr>
        <w:t xml:space="preserve"> </w:t>
      </w:r>
      <w:r w:rsidR="007B382B">
        <w:rPr>
          <w:lang w:val="fr-FR"/>
        </w:rPr>
        <w:tab/>
      </w:r>
      <w:r w:rsidR="007B382B">
        <w:rPr>
          <w:lang w:val="fr-FR"/>
        </w:rPr>
        <w:tab/>
      </w:r>
      <w:r w:rsidR="007B382B">
        <w:rPr>
          <w:lang w:val="fr-FR"/>
        </w:rPr>
        <w:tab/>
      </w:r>
      <w:r w:rsidR="007B382B">
        <w:rPr>
          <w:lang w:val="fr-FR"/>
        </w:rPr>
        <w:tab/>
      </w:r>
      <w:r w:rsidRPr="001C7B59">
        <w:rPr>
          <w:lang w:val="fr-FR"/>
        </w:rPr>
        <w:t xml:space="preserve">Infection </w:t>
      </w:r>
      <w:r w:rsidR="007B382B">
        <w:rPr>
          <w:lang w:val="fr-FR"/>
        </w:rPr>
        <w:t>s</w:t>
      </w:r>
      <w:r w:rsidRPr="001C7B59">
        <w:rPr>
          <w:lang w:val="fr-FR"/>
        </w:rPr>
        <w:t xml:space="preserve">exuellement </w:t>
      </w:r>
      <w:r w:rsidR="007B382B">
        <w:rPr>
          <w:lang w:val="fr-FR"/>
        </w:rPr>
        <w:t>t</w:t>
      </w:r>
      <w:r w:rsidRPr="001C7B59">
        <w:rPr>
          <w:lang w:val="fr-FR"/>
        </w:rPr>
        <w:t>ransmissible </w:t>
      </w:r>
    </w:p>
    <w:p w:rsidR="004432C5" w:rsidRPr="001C7B59" w:rsidRDefault="004432C5" w:rsidP="00D60176">
      <w:pPr>
        <w:pStyle w:val="SingleTxt"/>
        <w:ind w:left="3182" w:hanging="1915"/>
        <w:jc w:val="left"/>
        <w:rPr>
          <w:lang w:val="fr-FR"/>
        </w:rPr>
      </w:pPr>
      <w:r w:rsidRPr="001C7B59">
        <w:rPr>
          <w:lang w:val="fr-FR"/>
        </w:rPr>
        <w:t>LOSEN</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Loi d</w:t>
      </w:r>
      <w:r w:rsidR="00DB6EAF" w:rsidRPr="001C7B59">
        <w:rPr>
          <w:lang w:val="fr-FR"/>
        </w:rPr>
        <w:t>’</w:t>
      </w:r>
      <w:r w:rsidR="001C7B59" w:rsidRPr="001C7B59">
        <w:rPr>
          <w:lang w:val="fr-FR"/>
        </w:rPr>
        <w:t>orientation</w:t>
      </w:r>
      <w:r w:rsidRPr="001C7B59">
        <w:rPr>
          <w:lang w:val="fr-FR"/>
        </w:rPr>
        <w:t xml:space="preserve"> du </w:t>
      </w:r>
      <w:r w:rsidR="00D60176" w:rsidRPr="001C7B59">
        <w:rPr>
          <w:lang w:val="fr-FR"/>
        </w:rPr>
        <w:t>système</w:t>
      </w:r>
      <w:r w:rsidRPr="001C7B59">
        <w:rPr>
          <w:lang w:val="fr-FR"/>
        </w:rPr>
        <w:t xml:space="preserve"> </w:t>
      </w:r>
      <w:r w:rsidR="00D60176" w:rsidRPr="001C7B59">
        <w:rPr>
          <w:lang w:val="fr-FR"/>
        </w:rPr>
        <w:t>éducatif</w:t>
      </w:r>
      <w:r w:rsidR="001C7B59" w:rsidRPr="001C7B59">
        <w:rPr>
          <w:lang w:val="fr-FR"/>
        </w:rPr>
        <w:t xml:space="preserve"> </w:t>
      </w:r>
      <w:r w:rsidR="00D60176" w:rsidRPr="001C7B59">
        <w:rPr>
          <w:lang w:val="fr-FR"/>
        </w:rPr>
        <w:t>nigéri</w:t>
      </w:r>
      <w:r w:rsidRPr="001C7B59">
        <w:rPr>
          <w:lang w:val="fr-FR"/>
        </w:rPr>
        <w:t>en</w:t>
      </w:r>
    </w:p>
    <w:p w:rsidR="004432C5" w:rsidRPr="001C7B59" w:rsidRDefault="004432C5" w:rsidP="00D60176">
      <w:pPr>
        <w:pStyle w:val="SingleTxt"/>
        <w:ind w:left="3182" w:hanging="1915"/>
        <w:jc w:val="left"/>
        <w:rPr>
          <w:lang w:val="fr-FR"/>
        </w:rPr>
      </w:pPr>
      <w:r w:rsidRPr="001C7B59">
        <w:rPr>
          <w:lang w:val="fr-FR"/>
        </w:rPr>
        <w:t>MCC</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Millenium Challenge Corporation</w:t>
      </w:r>
      <w:r w:rsidR="001C7B59"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MESS/RT</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Ministère des </w:t>
      </w:r>
      <w:r w:rsidR="00D60176" w:rsidRPr="001C7B59">
        <w:rPr>
          <w:lang w:val="fr-FR"/>
        </w:rPr>
        <w:t>enseignement</w:t>
      </w:r>
      <w:r w:rsidRPr="001C7B59">
        <w:rPr>
          <w:lang w:val="fr-FR"/>
        </w:rPr>
        <w:t xml:space="preserve">s </w:t>
      </w:r>
      <w:r w:rsidR="00D60176" w:rsidRPr="001C7B59">
        <w:rPr>
          <w:lang w:val="fr-FR"/>
        </w:rPr>
        <w:t>secondaire</w:t>
      </w:r>
      <w:r w:rsidRPr="001C7B59">
        <w:rPr>
          <w:lang w:val="fr-FR"/>
        </w:rPr>
        <w:t xml:space="preserve"> et </w:t>
      </w:r>
      <w:r w:rsidR="00D60176" w:rsidRPr="001C7B59">
        <w:rPr>
          <w:lang w:val="fr-FR"/>
        </w:rPr>
        <w:t>supérieur</w:t>
      </w:r>
      <w:r w:rsidRPr="001C7B59">
        <w:rPr>
          <w:lang w:val="fr-FR"/>
        </w:rPr>
        <w:t xml:space="preserve"> et de la </w:t>
      </w:r>
      <w:r w:rsidR="00D60176" w:rsidRPr="001C7B59">
        <w:rPr>
          <w:lang w:val="fr-FR"/>
        </w:rPr>
        <w:t>recherche</w:t>
      </w:r>
      <w:r w:rsidRPr="001C7B59">
        <w:rPr>
          <w:lang w:val="fr-FR"/>
        </w:rPr>
        <w:t xml:space="preserve"> </w:t>
      </w:r>
      <w:r w:rsidR="007B382B">
        <w:rPr>
          <w:lang w:val="fr-FR"/>
        </w:rPr>
        <w:t>technolog</w:t>
      </w:r>
      <w:r w:rsidRPr="001C7B59">
        <w:rPr>
          <w:lang w:val="fr-FR"/>
        </w:rPr>
        <w:t>ique</w:t>
      </w:r>
      <w:r w:rsidR="001C7B59"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MGV</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Mutilations </w:t>
      </w:r>
      <w:r w:rsidR="007B382B">
        <w:rPr>
          <w:lang w:val="fr-FR"/>
        </w:rPr>
        <w:t>g</w:t>
      </w:r>
      <w:r w:rsidRPr="001C7B59">
        <w:rPr>
          <w:lang w:val="fr-FR"/>
        </w:rPr>
        <w:t xml:space="preserve">énitales </w:t>
      </w:r>
      <w:r w:rsidR="007B382B">
        <w:rPr>
          <w:lang w:val="fr-FR"/>
        </w:rPr>
        <w:t>f</w:t>
      </w:r>
      <w:r w:rsidRPr="001C7B59">
        <w:rPr>
          <w:lang w:val="fr-FR"/>
        </w:rPr>
        <w:t>éminines</w:t>
      </w:r>
    </w:p>
    <w:p w:rsidR="004432C5" w:rsidRPr="001C7B59" w:rsidRDefault="004432C5" w:rsidP="00D60176">
      <w:pPr>
        <w:pStyle w:val="SingleTxt"/>
        <w:ind w:left="3182" w:hanging="1915"/>
        <w:jc w:val="left"/>
        <w:rPr>
          <w:lang w:val="fr-FR"/>
        </w:rPr>
      </w:pPr>
      <w:r w:rsidRPr="001C7B59">
        <w:rPr>
          <w:lang w:val="fr-FR"/>
        </w:rPr>
        <w:t>MESS/RT</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Ministère des </w:t>
      </w:r>
      <w:r w:rsidR="00D60176" w:rsidRPr="001C7B59">
        <w:rPr>
          <w:lang w:val="fr-FR"/>
        </w:rPr>
        <w:t>enseignement</w:t>
      </w:r>
      <w:r w:rsidRPr="001C7B59">
        <w:rPr>
          <w:lang w:val="fr-FR"/>
        </w:rPr>
        <w:t xml:space="preserve">s </w:t>
      </w:r>
      <w:r w:rsidR="00D60176" w:rsidRPr="001C7B59">
        <w:rPr>
          <w:lang w:val="fr-FR"/>
        </w:rPr>
        <w:t>secondaire</w:t>
      </w:r>
      <w:r w:rsidRPr="001C7B59">
        <w:rPr>
          <w:lang w:val="fr-FR"/>
        </w:rPr>
        <w:t xml:space="preserve"> et </w:t>
      </w:r>
      <w:r w:rsidR="00D60176" w:rsidRPr="001C7B59">
        <w:rPr>
          <w:lang w:val="fr-FR"/>
        </w:rPr>
        <w:t>supérieur</w:t>
      </w:r>
      <w:r w:rsidRPr="001C7B59">
        <w:rPr>
          <w:lang w:val="fr-FR"/>
        </w:rPr>
        <w:t xml:space="preserve"> et de la </w:t>
      </w:r>
      <w:r w:rsidR="00D60176" w:rsidRPr="001C7B59">
        <w:rPr>
          <w:lang w:val="fr-FR"/>
        </w:rPr>
        <w:t>recherche</w:t>
      </w:r>
      <w:r w:rsidRPr="001C7B59">
        <w:rPr>
          <w:lang w:val="fr-FR"/>
        </w:rPr>
        <w:t xml:space="preserve"> </w:t>
      </w:r>
      <w:r w:rsidR="007B382B">
        <w:rPr>
          <w:lang w:val="fr-FR"/>
        </w:rPr>
        <w:t>technolog</w:t>
      </w:r>
      <w:r w:rsidRPr="001C7B59">
        <w:rPr>
          <w:lang w:val="fr-FR"/>
        </w:rPr>
        <w:t>ique</w:t>
      </w:r>
    </w:p>
    <w:p w:rsidR="004432C5" w:rsidRPr="001C7B59" w:rsidRDefault="004432C5" w:rsidP="00D60176">
      <w:pPr>
        <w:pStyle w:val="SingleTxt"/>
        <w:ind w:left="3182" w:hanging="1915"/>
        <w:jc w:val="left"/>
        <w:rPr>
          <w:lang w:val="fr-FR"/>
        </w:rPr>
      </w:pPr>
      <w:r w:rsidRPr="001C7B59">
        <w:rPr>
          <w:lang w:val="fr-FR"/>
        </w:rPr>
        <w:t>MICS</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Enquête à </w:t>
      </w:r>
      <w:r w:rsidR="007B382B">
        <w:rPr>
          <w:lang w:val="fr-FR"/>
        </w:rPr>
        <w:t>indicateurs multiples</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MP/PF/PE</w:t>
      </w:r>
      <w:r w:rsidR="001C7B59" w:rsidRPr="001C7B59">
        <w:rPr>
          <w:lang w:val="fr-FR"/>
        </w:rPr>
        <w:t xml:space="preserve"> </w:t>
      </w:r>
      <w:r w:rsidR="007B382B">
        <w:rPr>
          <w:lang w:val="fr-FR"/>
        </w:rPr>
        <w:tab/>
      </w:r>
      <w:r w:rsidR="007B382B">
        <w:rPr>
          <w:lang w:val="fr-FR"/>
        </w:rPr>
        <w:tab/>
      </w:r>
      <w:r w:rsidRPr="001C7B59">
        <w:rPr>
          <w:lang w:val="fr-FR"/>
        </w:rPr>
        <w:t xml:space="preserve">Ministère de la </w:t>
      </w:r>
      <w:r w:rsidR="00D60176" w:rsidRPr="001C7B59">
        <w:rPr>
          <w:lang w:val="fr-FR"/>
        </w:rPr>
        <w:t>population</w:t>
      </w:r>
      <w:r w:rsidRPr="001C7B59">
        <w:rPr>
          <w:lang w:val="fr-FR"/>
        </w:rPr>
        <w:t xml:space="preserve">, de la </w:t>
      </w:r>
      <w:r w:rsidR="007B382B">
        <w:rPr>
          <w:lang w:val="fr-FR"/>
        </w:rPr>
        <w:t>promotion</w:t>
      </w:r>
      <w:r w:rsidRPr="001C7B59">
        <w:rPr>
          <w:lang w:val="fr-FR"/>
        </w:rPr>
        <w:t xml:space="preserve"> de la </w:t>
      </w:r>
      <w:r w:rsidR="001C7B59" w:rsidRPr="001C7B59">
        <w:rPr>
          <w:lang w:val="fr-FR"/>
        </w:rPr>
        <w:t>femme</w:t>
      </w:r>
      <w:r w:rsidRPr="001C7B59">
        <w:rPr>
          <w:lang w:val="fr-FR"/>
        </w:rPr>
        <w:t xml:space="preserve"> et de la </w:t>
      </w:r>
      <w:r w:rsidR="001C7B59" w:rsidRPr="001C7B59">
        <w:rPr>
          <w:lang w:val="fr-FR"/>
        </w:rPr>
        <w:t>protection</w:t>
      </w:r>
      <w:r w:rsidRPr="001C7B59">
        <w:rPr>
          <w:lang w:val="fr-FR"/>
        </w:rPr>
        <w:t xml:space="preserve"> de l</w:t>
      </w:r>
      <w:r w:rsidR="00DB6EAF" w:rsidRPr="001C7B59">
        <w:rPr>
          <w:lang w:val="fr-FR"/>
        </w:rPr>
        <w:t>’</w:t>
      </w:r>
      <w:r w:rsidR="001C7B59" w:rsidRPr="001C7B59">
        <w:rPr>
          <w:lang w:val="fr-FR"/>
        </w:rPr>
        <w:t>enfant</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OMD</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Objectifs du Millénaire pour le </w:t>
      </w:r>
      <w:r w:rsidR="00D60176" w:rsidRPr="001C7B59">
        <w:rPr>
          <w:lang w:val="fr-FR"/>
        </w:rPr>
        <w:t>développement</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ONG</w:t>
      </w:r>
      <w:r w:rsidR="001C7B59" w:rsidRPr="001C7B59">
        <w:rPr>
          <w:lang w:val="fr-FR"/>
        </w:rPr>
        <w:t xml:space="preserve"> </w:t>
      </w:r>
      <w:r w:rsidR="007B382B">
        <w:rPr>
          <w:lang w:val="fr-FR"/>
        </w:rPr>
        <w:tab/>
      </w:r>
      <w:r w:rsidR="007B382B">
        <w:rPr>
          <w:lang w:val="fr-FR"/>
        </w:rPr>
        <w:tab/>
      </w:r>
      <w:r w:rsidR="007B382B">
        <w:rPr>
          <w:lang w:val="fr-FR"/>
        </w:rPr>
        <w:tab/>
      </w:r>
      <w:r w:rsidRPr="001C7B59">
        <w:rPr>
          <w:lang w:val="fr-FR"/>
        </w:rPr>
        <w:t xml:space="preserve">Organisation </w:t>
      </w:r>
      <w:r w:rsidR="007B382B">
        <w:rPr>
          <w:lang w:val="fr-FR"/>
        </w:rPr>
        <w:t>non g</w:t>
      </w:r>
      <w:r w:rsidRPr="001C7B59">
        <w:rPr>
          <w:lang w:val="fr-FR"/>
        </w:rPr>
        <w:t>ouvernementale </w:t>
      </w:r>
    </w:p>
    <w:p w:rsidR="004432C5" w:rsidRPr="001C7B59" w:rsidRDefault="00DE024F" w:rsidP="00D60176">
      <w:pPr>
        <w:pStyle w:val="SingleTxt"/>
        <w:ind w:left="3182" w:hanging="1915"/>
        <w:jc w:val="left"/>
        <w:rPr>
          <w:lang w:val="fr-FR"/>
        </w:rPr>
      </w:pPr>
      <w:r>
        <w:rPr>
          <w:lang w:val="fr-FR"/>
        </w:rPr>
        <w:t>ONU-</w:t>
      </w:r>
      <w:r w:rsidR="004432C5" w:rsidRPr="001C7B59">
        <w:rPr>
          <w:lang w:val="fr-FR"/>
        </w:rPr>
        <w:t>FEMMES</w:t>
      </w:r>
      <w:r w:rsidR="001C7B59" w:rsidRPr="001C7B59">
        <w:rPr>
          <w:lang w:val="fr-FR"/>
        </w:rPr>
        <w:t xml:space="preserve"> </w:t>
      </w:r>
      <w:r w:rsidR="007B382B">
        <w:rPr>
          <w:lang w:val="fr-FR"/>
        </w:rPr>
        <w:tab/>
      </w:r>
      <w:r w:rsidR="004432C5" w:rsidRPr="001C7B59">
        <w:rPr>
          <w:lang w:val="fr-FR"/>
        </w:rPr>
        <w:t>Entité des Nations Unies pour l</w:t>
      </w:r>
      <w:r w:rsidR="00DB6EAF" w:rsidRPr="001C7B59">
        <w:rPr>
          <w:lang w:val="fr-FR"/>
        </w:rPr>
        <w:t>’</w:t>
      </w:r>
      <w:r w:rsidR="004432C5" w:rsidRPr="001C7B59">
        <w:rPr>
          <w:lang w:val="fr-FR"/>
        </w:rPr>
        <w:t>égalité des sexes et l</w:t>
      </w:r>
      <w:r w:rsidR="00DB6EAF" w:rsidRPr="001C7B59">
        <w:rPr>
          <w:lang w:val="fr-FR"/>
        </w:rPr>
        <w:t>’</w:t>
      </w:r>
      <w:r w:rsidR="004432C5" w:rsidRPr="001C7B59">
        <w:rPr>
          <w:lang w:val="fr-FR"/>
        </w:rPr>
        <w:t>autonomisation des femmes</w:t>
      </w:r>
    </w:p>
    <w:p w:rsidR="004432C5" w:rsidRPr="001C7B59" w:rsidRDefault="004432C5" w:rsidP="00D60176">
      <w:pPr>
        <w:pStyle w:val="SingleTxt"/>
        <w:ind w:left="3182" w:hanging="1915"/>
        <w:jc w:val="left"/>
        <w:rPr>
          <w:lang w:val="fr-FR"/>
        </w:rPr>
      </w:pPr>
      <w:r w:rsidRPr="001C7B59">
        <w:rPr>
          <w:lang w:val="fr-FR"/>
        </w:rPr>
        <w:t>OPJ</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Officier de </w:t>
      </w:r>
      <w:r w:rsidR="00DE024F">
        <w:rPr>
          <w:lang w:val="fr-FR"/>
        </w:rPr>
        <w:t>police</w:t>
      </w:r>
      <w:r w:rsidRPr="001C7B59">
        <w:rPr>
          <w:lang w:val="fr-FR"/>
        </w:rPr>
        <w:t xml:space="preserve"> </w:t>
      </w:r>
      <w:r w:rsidR="00DE024F">
        <w:rPr>
          <w:lang w:val="fr-FR"/>
        </w:rPr>
        <w:t>judiciaire</w:t>
      </w:r>
    </w:p>
    <w:p w:rsidR="004432C5" w:rsidRPr="001C7B59" w:rsidRDefault="004432C5" w:rsidP="00D60176">
      <w:pPr>
        <w:pStyle w:val="SingleTxt"/>
        <w:ind w:left="3182" w:hanging="1915"/>
        <w:jc w:val="left"/>
        <w:rPr>
          <w:lang w:val="fr-FR"/>
        </w:rPr>
      </w:pPr>
      <w:r w:rsidRPr="001C7B59">
        <w:rPr>
          <w:lang w:val="fr-FR"/>
        </w:rPr>
        <w:t>OSC</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Organisation de la </w:t>
      </w:r>
      <w:r w:rsidR="007B382B">
        <w:rPr>
          <w:lang w:val="fr-FR"/>
        </w:rPr>
        <w:t>société civile</w:t>
      </w:r>
    </w:p>
    <w:p w:rsidR="004432C5" w:rsidRPr="001C7B59" w:rsidRDefault="004432C5" w:rsidP="00D60176">
      <w:pPr>
        <w:pStyle w:val="SingleTxt"/>
        <w:ind w:left="3182" w:hanging="1915"/>
        <w:jc w:val="left"/>
        <w:rPr>
          <w:lang w:val="fr-FR"/>
        </w:rPr>
      </w:pPr>
      <w:r w:rsidRPr="001C7B59">
        <w:rPr>
          <w:lang w:val="fr-FR"/>
        </w:rPr>
        <w:t>PAJED</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Programme d</w:t>
      </w:r>
      <w:r w:rsidR="00DB6EAF" w:rsidRPr="001C7B59">
        <w:rPr>
          <w:lang w:val="fr-FR"/>
        </w:rPr>
        <w:t>’</w:t>
      </w:r>
      <w:r w:rsidR="007B382B">
        <w:rPr>
          <w:lang w:val="fr-FR"/>
        </w:rPr>
        <w:t>appui</w:t>
      </w:r>
      <w:r w:rsidRPr="001C7B59">
        <w:rPr>
          <w:lang w:val="fr-FR"/>
        </w:rPr>
        <w:t xml:space="preserve"> à la </w:t>
      </w:r>
      <w:r w:rsidR="007B382B">
        <w:rPr>
          <w:lang w:val="fr-FR"/>
        </w:rPr>
        <w:t>justice</w:t>
      </w:r>
      <w:r w:rsidRPr="001C7B59">
        <w:rPr>
          <w:lang w:val="fr-FR"/>
        </w:rPr>
        <w:t xml:space="preserve"> et à l</w:t>
      </w:r>
      <w:r w:rsidR="00DB6EAF" w:rsidRPr="001C7B59">
        <w:rPr>
          <w:lang w:val="fr-FR"/>
        </w:rPr>
        <w:t>’</w:t>
      </w:r>
      <w:r w:rsidR="007B382B">
        <w:rPr>
          <w:lang w:val="fr-FR"/>
        </w:rPr>
        <w:t>état de droit</w:t>
      </w:r>
    </w:p>
    <w:p w:rsidR="004432C5" w:rsidRPr="001C7B59" w:rsidRDefault="004432C5" w:rsidP="00D60176">
      <w:pPr>
        <w:pStyle w:val="SingleTxt"/>
        <w:ind w:left="3182" w:hanging="1915"/>
        <w:jc w:val="left"/>
        <w:rPr>
          <w:lang w:val="fr-FR"/>
        </w:rPr>
      </w:pPr>
      <w:r w:rsidRPr="001C7B59">
        <w:rPr>
          <w:lang w:val="fr-FR"/>
        </w:rPr>
        <w:t>PDDE</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Programme </w:t>
      </w:r>
      <w:r w:rsidR="00D60176" w:rsidRPr="001C7B59">
        <w:rPr>
          <w:lang w:val="fr-FR"/>
        </w:rPr>
        <w:t>décennal</w:t>
      </w:r>
      <w:r w:rsidRPr="001C7B59">
        <w:rPr>
          <w:lang w:val="fr-FR"/>
        </w:rPr>
        <w:t xml:space="preserve"> de </w:t>
      </w:r>
      <w:r w:rsidR="00D60176" w:rsidRPr="001C7B59">
        <w:rPr>
          <w:lang w:val="fr-FR"/>
        </w:rPr>
        <w:t>développement</w:t>
      </w:r>
      <w:r w:rsidRPr="001C7B59">
        <w:rPr>
          <w:lang w:val="fr-FR"/>
        </w:rPr>
        <w:t xml:space="preserve"> de l</w:t>
      </w:r>
      <w:r w:rsidR="00DB6EAF" w:rsidRPr="001C7B59">
        <w:rPr>
          <w:lang w:val="fr-FR"/>
        </w:rPr>
        <w:t>’</w:t>
      </w:r>
      <w:r w:rsidR="00D60176" w:rsidRPr="001C7B59">
        <w:rPr>
          <w:lang w:val="fr-FR"/>
        </w:rPr>
        <w:t>éducation</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PDS</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Plan de </w:t>
      </w:r>
      <w:r w:rsidR="00D60176" w:rsidRPr="001C7B59">
        <w:rPr>
          <w:lang w:val="fr-FR"/>
        </w:rPr>
        <w:t>développement</w:t>
      </w:r>
      <w:r w:rsidRPr="001C7B59">
        <w:rPr>
          <w:lang w:val="fr-FR"/>
        </w:rPr>
        <w:t xml:space="preserve"> </w:t>
      </w:r>
      <w:r w:rsidR="00D60176" w:rsidRPr="001C7B59">
        <w:rPr>
          <w:lang w:val="fr-FR"/>
        </w:rPr>
        <w:t>sanitaire</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PDES</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Programme de </w:t>
      </w:r>
      <w:r w:rsidR="00D60176" w:rsidRPr="001C7B59">
        <w:rPr>
          <w:lang w:val="fr-FR"/>
        </w:rPr>
        <w:t>développement</w:t>
      </w:r>
      <w:r w:rsidRPr="001C7B59">
        <w:rPr>
          <w:lang w:val="fr-FR"/>
        </w:rPr>
        <w:t xml:space="preserve"> </w:t>
      </w:r>
      <w:r w:rsidR="007B382B">
        <w:rPr>
          <w:lang w:val="fr-FR"/>
        </w:rPr>
        <w:t>économique</w:t>
      </w:r>
      <w:r w:rsidRPr="001C7B59">
        <w:rPr>
          <w:lang w:val="fr-FR"/>
        </w:rPr>
        <w:t xml:space="preserve"> et </w:t>
      </w:r>
      <w:r w:rsidR="007B382B">
        <w:rPr>
          <w:lang w:val="fr-FR"/>
        </w:rPr>
        <w:t>social</w:t>
      </w:r>
    </w:p>
    <w:p w:rsidR="004432C5" w:rsidRPr="001C7B59" w:rsidRDefault="004432C5" w:rsidP="00D60176">
      <w:pPr>
        <w:pStyle w:val="SingleTxt"/>
        <w:ind w:left="3182" w:hanging="1915"/>
        <w:jc w:val="left"/>
        <w:rPr>
          <w:lang w:val="fr-FR"/>
        </w:rPr>
      </w:pPr>
      <w:r w:rsidRPr="001C7B59">
        <w:rPr>
          <w:lang w:val="fr-FR"/>
        </w:rPr>
        <w:t>PF</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t>Planification</w:t>
      </w:r>
      <w:r w:rsidRPr="001C7B59">
        <w:rPr>
          <w:lang w:val="fr-FR"/>
        </w:rPr>
        <w:t xml:space="preserve"> </w:t>
      </w:r>
      <w:r w:rsidR="00DE024F">
        <w:rPr>
          <w:lang w:val="fr-FR"/>
        </w:rPr>
        <w:t>familial</w:t>
      </w:r>
      <w:r w:rsidRPr="001C7B59">
        <w:rPr>
          <w:lang w:val="fr-FR"/>
        </w:rPr>
        <w:t xml:space="preserve">e </w:t>
      </w:r>
    </w:p>
    <w:p w:rsidR="004432C5" w:rsidRPr="001C7B59" w:rsidRDefault="004432C5" w:rsidP="00D60176">
      <w:pPr>
        <w:pStyle w:val="SingleTxt"/>
        <w:ind w:left="3182" w:hanging="1915"/>
        <w:jc w:val="left"/>
        <w:rPr>
          <w:lang w:val="fr-FR"/>
        </w:rPr>
      </w:pPr>
      <w:r w:rsidRPr="001C7B59">
        <w:rPr>
          <w:lang w:val="fr-FR"/>
        </w:rPr>
        <w:t>PNUD</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Programme des Nations Unies pour le </w:t>
      </w:r>
      <w:r w:rsidR="00D60176" w:rsidRPr="001C7B59">
        <w:rPr>
          <w:lang w:val="fr-FR"/>
        </w:rPr>
        <w:t>développement</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PREG</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Projet de </w:t>
      </w:r>
      <w:r w:rsidR="00DE024F">
        <w:rPr>
          <w:lang w:val="fr-FR"/>
        </w:rPr>
        <w:t>renforcement</w:t>
      </w:r>
      <w:r w:rsidRPr="001C7B59">
        <w:rPr>
          <w:lang w:val="fr-FR"/>
        </w:rPr>
        <w:t xml:space="preserve"> des capacités pour l</w:t>
      </w:r>
      <w:r w:rsidR="00DB6EAF" w:rsidRPr="001C7B59">
        <w:rPr>
          <w:lang w:val="fr-FR"/>
        </w:rPr>
        <w:t>’</w:t>
      </w:r>
      <w:r w:rsidR="00DE024F">
        <w:rPr>
          <w:lang w:val="fr-FR"/>
        </w:rPr>
        <w:t>équité</w:t>
      </w:r>
      <w:r w:rsidRPr="001C7B59">
        <w:rPr>
          <w:lang w:val="fr-FR"/>
        </w:rPr>
        <w:t xml:space="preserve"> du </w:t>
      </w:r>
      <w:r w:rsidR="001C7B59" w:rsidRPr="001C7B59">
        <w:rPr>
          <w:lang w:val="fr-FR"/>
        </w:rPr>
        <w:t>genre</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PRODEM</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Projet </w:t>
      </w:r>
      <w:r w:rsidR="00DE024F">
        <w:rPr>
          <w:lang w:val="fr-FR"/>
        </w:rPr>
        <w:t>démographique</w:t>
      </w:r>
      <w:r w:rsidRPr="001C7B59">
        <w:rPr>
          <w:lang w:val="fr-FR"/>
        </w:rPr>
        <w:t xml:space="preserve"> </w:t>
      </w:r>
      <w:r w:rsidR="00DE024F">
        <w:rPr>
          <w:lang w:val="fr-FR"/>
        </w:rPr>
        <w:t>multisectoriel</w:t>
      </w:r>
      <w:r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PTF</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Partenaires </w:t>
      </w:r>
      <w:r w:rsidR="00D60176" w:rsidRPr="001C7B59">
        <w:rPr>
          <w:lang w:val="fr-FR"/>
        </w:rPr>
        <w:t>technique</w:t>
      </w:r>
      <w:r w:rsidRPr="001C7B59">
        <w:rPr>
          <w:lang w:val="fr-FR"/>
        </w:rPr>
        <w:t xml:space="preserve">s et </w:t>
      </w:r>
      <w:r w:rsidR="00D60176" w:rsidRPr="001C7B59">
        <w:rPr>
          <w:lang w:val="fr-FR"/>
        </w:rPr>
        <w:t>financier</w:t>
      </w:r>
      <w:r w:rsidRPr="001C7B59">
        <w:rPr>
          <w:lang w:val="fr-FR"/>
        </w:rPr>
        <w:t>s</w:t>
      </w:r>
    </w:p>
    <w:p w:rsidR="004432C5" w:rsidRPr="001C7B59" w:rsidRDefault="004432C5" w:rsidP="00D60176">
      <w:pPr>
        <w:pStyle w:val="SingleTxt"/>
        <w:ind w:left="3182" w:hanging="1915"/>
        <w:jc w:val="left"/>
        <w:rPr>
          <w:lang w:val="fr-FR"/>
        </w:rPr>
      </w:pPr>
      <w:r w:rsidRPr="001C7B59">
        <w:rPr>
          <w:lang w:val="fr-FR"/>
        </w:rPr>
        <w:t>PTME</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Protection de la </w:t>
      </w:r>
      <w:r w:rsidR="001C7B59" w:rsidRPr="001C7B59">
        <w:rPr>
          <w:lang w:val="fr-FR"/>
        </w:rPr>
        <w:t>transmission</w:t>
      </w:r>
      <w:r w:rsidRPr="001C7B59">
        <w:rPr>
          <w:lang w:val="fr-FR"/>
        </w:rPr>
        <w:t xml:space="preserve"> du virus du </w:t>
      </w:r>
      <w:r w:rsidR="001C7B59" w:rsidRPr="001C7B59">
        <w:rPr>
          <w:lang w:val="fr-FR"/>
        </w:rPr>
        <w:t>sida</w:t>
      </w:r>
      <w:r w:rsidRPr="001C7B59">
        <w:rPr>
          <w:lang w:val="fr-FR"/>
        </w:rPr>
        <w:t xml:space="preserve"> de la </w:t>
      </w:r>
      <w:r w:rsidR="001C7B59" w:rsidRPr="001C7B59">
        <w:rPr>
          <w:lang w:val="fr-FR"/>
        </w:rPr>
        <w:t>mère</w:t>
      </w:r>
      <w:r w:rsidRPr="001C7B59">
        <w:rPr>
          <w:lang w:val="fr-FR"/>
        </w:rPr>
        <w:t xml:space="preserve"> à l</w:t>
      </w:r>
      <w:r w:rsidR="00DB6EAF" w:rsidRPr="001C7B59">
        <w:rPr>
          <w:lang w:val="fr-FR"/>
        </w:rPr>
        <w:t>’</w:t>
      </w:r>
      <w:r w:rsidR="001C7B59" w:rsidRPr="001C7B59">
        <w:rPr>
          <w:lang w:val="fr-FR"/>
        </w:rPr>
        <w:t>enfant</w:t>
      </w:r>
    </w:p>
    <w:p w:rsidR="004432C5" w:rsidRPr="001C7B59" w:rsidRDefault="004432C5" w:rsidP="00D60176">
      <w:pPr>
        <w:pStyle w:val="SingleTxt"/>
        <w:ind w:left="3182" w:hanging="1915"/>
        <w:jc w:val="left"/>
        <w:rPr>
          <w:lang w:val="fr-FR"/>
        </w:rPr>
      </w:pPr>
      <w:r w:rsidRPr="001C7B59">
        <w:rPr>
          <w:lang w:val="fr-FR"/>
        </w:rPr>
        <w:t>REF</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Réseau d</w:t>
      </w:r>
      <w:r w:rsidR="00DB6EAF" w:rsidRPr="001C7B59">
        <w:rPr>
          <w:lang w:val="fr-FR"/>
        </w:rPr>
        <w:t>’</w:t>
      </w:r>
      <w:r w:rsidR="00DE024F">
        <w:rPr>
          <w:lang w:val="fr-FR"/>
        </w:rPr>
        <w:t>é</w:t>
      </w:r>
      <w:r w:rsidRPr="001C7B59">
        <w:rPr>
          <w:lang w:val="fr-FR"/>
        </w:rPr>
        <w:t xml:space="preserve">radication de la </w:t>
      </w:r>
      <w:r w:rsidR="00DE024F">
        <w:rPr>
          <w:lang w:val="fr-FR"/>
        </w:rPr>
        <w:t>f</w:t>
      </w:r>
      <w:r w:rsidRPr="001C7B59">
        <w:rPr>
          <w:lang w:val="fr-FR"/>
        </w:rPr>
        <w:t xml:space="preserve">istule </w:t>
      </w:r>
    </w:p>
    <w:p w:rsidR="004432C5" w:rsidRPr="001C7B59" w:rsidRDefault="004432C5" w:rsidP="00D60176">
      <w:pPr>
        <w:pStyle w:val="SingleTxt"/>
        <w:ind w:left="3182" w:hanging="1915"/>
        <w:jc w:val="left"/>
        <w:rPr>
          <w:lang w:val="fr-FR"/>
        </w:rPr>
      </w:pPr>
      <w:r w:rsidRPr="001C7B59">
        <w:rPr>
          <w:lang w:val="fr-FR"/>
        </w:rPr>
        <w:t>SDRP</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Stratégie de </w:t>
      </w:r>
      <w:r w:rsidR="00D60176" w:rsidRPr="001C7B59">
        <w:rPr>
          <w:lang w:val="fr-FR"/>
        </w:rPr>
        <w:t>développement</w:t>
      </w:r>
      <w:r w:rsidRPr="001C7B59">
        <w:rPr>
          <w:lang w:val="fr-FR"/>
        </w:rPr>
        <w:t xml:space="preserve"> </w:t>
      </w:r>
      <w:r w:rsidR="00D60176" w:rsidRPr="001C7B59">
        <w:rPr>
          <w:lang w:val="fr-FR"/>
        </w:rPr>
        <w:t>accéléré</w:t>
      </w:r>
      <w:r w:rsidRPr="001C7B59">
        <w:rPr>
          <w:lang w:val="fr-FR"/>
        </w:rPr>
        <w:t xml:space="preserve"> et de </w:t>
      </w:r>
      <w:r w:rsidR="00D60176" w:rsidRPr="001C7B59">
        <w:rPr>
          <w:lang w:val="fr-FR"/>
        </w:rPr>
        <w:t>réduction de la pauvreté</w:t>
      </w:r>
      <w:r w:rsidRPr="001C7B59">
        <w:rPr>
          <w:lang w:val="fr-FR"/>
        </w:rPr>
        <w:t> </w:t>
      </w:r>
    </w:p>
    <w:p w:rsidR="004432C5" w:rsidRPr="001C7B59" w:rsidRDefault="00DE024F" w:rsidP="00D60176">
      <w:pPr>
        <w:pStyle w:val="SingleTxt"/>
        <w:ind w:left="3182" w:hanging="1915"/>
        <w:jc w:val="left"/>
        <w:rPr>
          <w:lang w:val="fr-FR"/>
        </w:rPr>
      </w:pPr>
      <w:r>
        <w:rPr>
          <w:lang w:val="fr-FR"/>
        </w:rPr>
        <w:t>Sida</w:t>
      </w:r>
      <w:r>
        <w:rPr>
          <w:lang w:val="fr-FR"/>
        </w:rPr>
        <w:tab/>
      </w:r>
      <w:r>
        <w:rPr>
          <w:lang w:val="fr-FR"/>
        </w:rPr>
        <w:tab/>
      </w:r>
      <w:r>
        <w:rPr>
          <w:lang w:val="fr-FR"/>
        </w:rPr>
        <w:tab/>
      </w:r>
      <w:r>
        <w:rPr>
          <w:lang w:val="fr-FR"/>
        </w:rPr>
        <w:tab/>
      </w:r>
      <w:r w:rsidR="004432C5" w:rsidRPr="001C7B59">
        <w:rPr>
          <w:lang w:val="fr-FR"/>
        </w:rPr>
        <w:t>Syndrome de l</w:t>
      </w:r>
      <w:r w:rsidR="00DB6EAF" w:rsidRPr="001C7B59">
        <w:rPr>
          <w:lang w:val="fr-FR"/>
        </w:rPr>
        <w:t>’</w:t>
      </w:r>
      <w:r>
        <w:rPr>
          <w:lang w:val="fr-FR"/>
        </w:rPr>
        <w:t>i</w:t>
      </w:r>
      <w:r w:rsidR="004432C5" w:rsidRPr="001C7B59">
        <w:rPr>
          <w:lang w:val="fr-FR"/>
        </w:rPr>
        <w:t xml:space="preserve">mmunodéficience </w:t>
      </w:r>
      <w:r>
        <w:rPr>
          <w:lang w:val="fr-FR"/>
        </w:rPr>
        <w:t>a</w:t>
      </w:r>
      <w:r w:rsidR="004432C5" w:rsidRPr="001C7B59">
        <w:rPr>
          <w:lang w:val="fr-FR"/>
        </w:rPr>
        <w:t>cquise</w:t>
      </w:r>
    </w:p>
    <w:p w:rsidR="004432C5" w:rsidRPr="001C7B59" w:rsidRDefault="004432C5" w:rsidP="00D60176">
      <w:pPr>
        <w:pStyle w:val="SingleTxt"/>
        <w:ind w:left="3182" w:hanging="1915"/>
        <w:jc w:val="left"/>
        <w:rPr>
          <w:lang w:val="fr-FR"/>
        </w:rPr>
      </w:pPr>
      <w:r w:rsidRPr="001C7B59">
        <w:rPr>
          <w:lang w:val="fr-FR"/>
        </w:rPr>
        <w:t>SNIS</w:t>
      </w:r>
      <w:r w:rsidR="001C7B59" w:rsidRPr="001C7B59">
        <w:rPr>
          <w:lang w:val="fr-FR"/>
        </w:rPr>
        <w:t xml:space="preserve"> </w:t>
      </w:r>
      <w:r w:rsidR="00DE024F">
        <w:rPr>
          <w:lang w:val="fr-FR"/>
        </w:rPr>
        <w:tab/>
      </w:r>
      <w:r w:rsidR="00DE024F">
        <w:rPr>
          <w:lang w:val="fr-FR"/>
        </w:rPr>
        <w:tab/>
      </w:r>
      <w:r w:rsidR="00DE024F">
        <w:rPr>
          <w:lang w:val="fr-FR"/>
        </w:rPr>
        <w:tab/>
      </w:r>
      <w:r w:rsidR="00D60176" w:rsidRPr="001C7B59">
        <w:rPr>
          <w:lang w:val="fr-FR"/>
        </w:rPr>
        <w:t>Système</w:t>
      </w:r>
      <w:r w:rsidRPr="001C7B59">
        <w:rPr>
          <w:lang w:val="fr-FR"/>
        </w:rPr>
        <w:t xml:space="preserve"> </w:t>
      </w:r>
      <w:r w:rsidR="00D60176" w:rsidRPr="001C7B59">
        <w:rPr>
          <w:lang w:val="fr-FR"/>
        </w:rPr>
        <w:t>national</w:t>
      </w:r>
      <w:r w:rsidRPr="001C7B59">
        <w:rPr>
          <w:lang w:val="fr-FR"/>
        </w:rPr>
        <w:t>e d</w:t>
      </w:r>
      <w:r w:rsidR="00DB6EAF" w:rsidRPr="001C7B59">
        <w:rPr>
          <w:lang w:val="fr-FR"/>
        </w:rPr>
        <w:t>’</w:t>
      </w:r>
      <w:r w:rsidR="00D60176" w:rsidRPr="001C7B59">
        <w:rPr>
          <w:lang w:val="fr-FR"/>
        </w:rPr>
        <w:t>information</w:t>
      </w:r>
      <w:r w:rsidRPr="001C7B59">
        <w:rPr>
          <w:lang w:val="fr-FR"/>
        </w:rPr>
        <w:t xml:space="preserve"> </w:t>
      </w:r>
      <w:r w:rsidR="00D60176" w:rsidRPr="001C7B59">
        <w:rPr>
          <w:lang w:val="fr-FR"/>
        </w:rPr>
        <w:t>sanitaire</w:t>
      </w:r>
    </w:p>
    <w:p w:rsidR="004432C5" w:rsidRPr="001C7B59" w:rsidRDefault="004432C5" w:rsidP="00D60176">
      <w:pPr>
        <w:pStyle w:val="SingleTxt"/>
        <w:ind w:left="3182" w:hanging="1915"/>
        <w:jc w:val="left"/>
        <w:rPr>
          <w:lang w:val="fr-FR"/>
        </w:rPr>
      </w:pPr>
      <w:r w:rsidRPr="001C7B59">
        <w:rPr>
          <w:lang w:val="fr-FR"/>
        </w:rPr>
        <w:t>SNU</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Système des Nations Unies </w:t>
      </w:r>
    </w:p>
    <w:p w:rsidR="004432C5" w:rsidRPr="001C7B59" w:rsidRDefault="004432C5" w:rsidP="00D60176">
      <w:pPr>
        <w:pStyle w:val="SingleTxt"/>
        <w:ind w:left="3182" w:hanging="1915"/>
        <w:jc w:val="left"/>
        <w:rPr>
          <w:lang w:val="fr-FR"/>
        </w:rPr>
      </w:pPr>
      <w:r w:rsidRPr="001C7B59">
        <w:rPr>
          <w:lang w:val="fr-FR"/>
        </w:rPr>
        <w:t>SR</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Santé de la </w:t>
      </w:r>
      <w:r w:rsidR="001C7B59" w:rsidRPr="001C7B59">
        <w:rPr>
          <w:lang w:val="fr-FR"/>
        </w:rPr>
        <w:t>reproduction</w:t>
      </w:r>
    </w:p>
    <w:p w:rsidR="004432C5" w:rsidRPr="001C7B59" w:rsidRDefault="004432C5" w:rsidP="00D60176">
      <w:pPr>
        <w:pStyle w:val="SingleTxt"/>
        <w:ind w:left="3182" w:hanging="1915"/>
        <w:jc w:val="left"/>
        <w:rPr>
          <w:lang w:val="fr-FR"/>
        </w:rPr>
      </w:pPr>
      <w:r w:rsidRPr="001C7B59">
        <w:rPr>
          <w:lang w:val="fr-FR"/>
        </w:rPr>
        <w:t>SRMSR DIMOL</w:t>
      </w:r>
      <w:r w:rsidR="001C7B59" w:rsidRPr="001C7B59">
        <w:rPr>
          <w:lang w:val="fr-FR"/>
        </w:rPr>
        <w:t xml:space="preserve"> </w:t>
      </w:r>
      <w:r w:rsidR="00DE024F">
        <w:rPr>
          <w:lang w:val="fr-FR"/>
        </w:rPr>
        <w:tab/>
      </w:r>
      <w:r w:rsidRPr="001C7B59">
        <w:rPr>
          <w:lang w:val="fr-FR"/>
        </w:rPr>
        <w:t xml:space="preserve">Santé de la </w:t>
      </w:r>
      <w:r w:rsidR="00D60176" w:rsidRPr="001C7B59">
        <w:rPr>
          <w:lang w:val="fr-FR"/>
        </w:rPr>
        <w:t>reproduction pour une maternité sans risque</w:t>
      </w:r>
      <w:r w:rsidRPr="001C7B59">
        <w:rPr>
          <w:lang w:val="fr-FR"/>
        </w:rPr>
        <w:t xml:space="preserve"> DIMOL </w:t>
      </w:r>
    </w:p>
    <w:p w:rsidR="004432C5" w:rsidRPr="001C7B59" w:rsidRDefault="004432C5" w:rsidP="00D60176">
      <w:pPr>
        <w:pStyle w:val="SingleTxt"/>
        <w:ind w:left="3182" w:hanging="1915"/>
        <w:jc w:val="left"/>
        <w:rPr>
          <w:lang w:val="fr-FR"/>
        </w:rPr>
      </w:pPr>
      <w:r w:rsidRPr="001C7B59">
        <w:rPr>
          <w:lang w:val="fr-FR"/>
        </w:rPr>
        <w:t>SRP</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Stratégie de </w:t>
      </w:r>
      <w:r w:rsidR="00D60176" w:rsidRPr="001C7B59">
        <w:rPr>
          <w:lang w:val="fr-FR"/>
        </w:rPr>
        <w:t>réduction de la pauvreté</w:t>
      </w:r>
      <w:r w:rsidRPr="001C7B59">
        <w:rPr>
          <w:lang w:val="fr-FR"/>
        </w:rPr>
        <w:t> </w:t>
      </w:r>
    </w:p>
    <w:p w:rsidR="004432C5" w:rsidRPr="001C7B59" w:rsidRDefault="004432C5" w:rsidP="00D60176">
      <w:pPr>
        <w:pStyle w:val="SingleTxt"/>
        <w:ind w:left="3182" w:hanging="1915"/>
        <w:jc w:val="left"/>
        <w:rPr>
          <w:lang w:val="fr-FR"/>
        </w:rPr>
      </w:pPr>
      <w:r w:rsidRPr="001C7B59">
        <w:rPr>
          <w:lang w:val="fr-FR"/>
        </w:rPr>
        <w:t>TBS</w:t>
      </w:r>
      <w:r w:rsidR="001C7B59" w:rsidRPr="001C7B59">
        <w:rPr>
          <w:lang w:val="fr-FR"/>
        </w:rPr>
        <w:t xml:space="preserve"> </w:t>
      </w:r>
      <w:r w:rsidR="00DE024F">
        <w:rPr>
          <w:lang w:val="fr-FR"/>
        </w:rPr>
        <w:tab/>
      </w:r>
      <w:r w:rsidR="00DE024F">
        <w:rPr>
          <w:lang w:val="fr-FR"/>
        </w:rPr>
        <w:tab/>
      </w:r>
      <w:r w:rsidR="00DE024F">
        <w:rPr>
          <w:lang w:val="fr-FR"/>
        </w:rPr>
        <w:tab/>
      </w:r>
      <w:r w:rsidR="00DE024F">
        <w:rPr>
          <w:lang w:val="fr-FR"/>
        </w:rPr>
        <w:tab/>
      </w:r>
      <w:r w:rsidRPr="001C7B59">
        <w:rPr>
          <w:lang w:val="fr-FR"/>
        </w:rPr>
        <w:t xml:space="preserve">Taux </w:t>
      </w:r>
      <w:r w:rsidR="00D60176" w:rsidRPr="001C7B59">
        <w:rPr>
          <w:lang w:val="fr-FR"/>
        </w:rPr>
        <w:t>brut de scolarisation</w:t>
      </w:r>
      <w:r w:rsidR="001C7B59" w:rsidRPr="001C7B59">
        <w:rPr>
          <w:lang w:val="fr-FR"/>
        </w:rPr>
        <w:t xml:space="preserve"> </w:t>
      </w:r>
    </w:p>
    <w:p w:rsidR="004432C5" w:rsidRPr="001C7B59" w:rsidRDefault="004432C5" w:rsidP="00D60176">
      <w:pPr>
        <w:pStyle w:val="SingleTxt"/>
        <w:ind w:left="3182" w:hanging="1915"/>
        <w:jc w:val="left"/>
        <w:rPr>
          <w:lang w:val="fr-FR"/>
        </w:rPr>
      </w:pPr>
      <w:r w:rsidRPr="001C7B59">
        <w:rPr>
          <w:lang w:val="fr-FR"/>
        </w:rPr>
        <w:t>UNFPA</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Fonds des Nations Unies pour la </w:t>
      </w:r>
      <w:r w:rsidR="00D60176" w:rsidRPr="001C7B59">
        <w:rPr>
          <w:lang w:val="fr-FR"/>
        </w:rPr>
        <w:t>population</w:t>
      </w:r>
      <w:r w:rsidRPr="001C7B59">
        <w:rPr>
          <w:lang w:val="fr-FR"/>
        </w:rPr>
        <w:t> </w:t>
      </w:r>
      <w:bookmarkStart w:id="2" w:name="_Toc149360179"/>
      <w:bookmarkStart w:id="3" w:name="_Toc150045765"/>
      <w:bookmarkStart w:id="4" w:name="_Toc152638464"/>
    </w:p>
    <w:p w:rsidR="004432C5" w:rsidRPr="001C7B59" w:rsidRDefault="004432C5" w:rsidP="00D60176">
      <w:pPr>
        <w:pStyle w:val="SingleTxt"/>
        <w:ind w:left="3182" w:hanging="1915"/>
        <w:jc w:val="left"/>
        <w:rPr>
          <w:lang w:val="fr-FR"/>
        </w:rPr>
      </w:pPr>
      <w:r w:rsidRPr="001C7B59">
        <w:rPr>
          <w:lang w:val="fr-FR"/>
        </w:rPr>
        <w:t>UNICEF</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Fonds des Nations Unies pour l</w:t>
      </w:r>
      <w:r w:rsidR="00DB6EAF" w:rsidRPr="001C7B59">
        <w:rPr>
          <w:lang w:val="fr-FR"/>
        </w:rPr>
        <w:t>’</w:t>
      </w:r>
      <w:r w:rsidR="00D60176" w:rsidRPr="001C7B59">
        <w:rPr>
          <w:lang w:val="fr-FR"/>
        </w:rPr>
        <w:t>enfance</w:t>
      </w:r>
      <w:bookmarkEnd w:id="2"/>
      <w:bookmarkEnd w:id="3"/>
      <w:bookmarkEnd w:id="4"/>
      <w:r w:rsidRPr="001C7B59">
        <w:rPr>
          <w:lang w:val="fr-FR"/>
        </w:rPr>
        <w:t> </w:t>
      </w:r>
    </w:p>
    <w:p w:rsidR="004432C5" w:rsidRPr="001C7B59" w:rsidRDefault="004432C5" w:rsidP="00D60176">
      <w:pPr>
        <w:pStyle w:val="SingleTxt"/>
        <w:ind w:left="3182" w:hanging="1915"/>
        <w:jc w:val="left"/>
        <w:rPr>
          <w:lang w:val="fr-FR"/>
        </w:rPr>
      </w:pPr>
      <w:r w:rsidRPr="001C7B59">
        <w:rPr>
          <w:lang w:val="fr-FR"/>
        </w:rPr>
        <w:t>VBG</w:t>
      </w:r>
      <w:r w:rsidR="001C7B59" w:rsidRPr="001C7B59">
        <w:rPr>
          <w:lang w:val="fr-FR"/>
        </w:rPr>
        <w:t xml:space="preserve"> </w:t>
      </w:r>
      <w:r w:rsidR="00DE024F">
        <w:rPr>
          <w:lang w:val="fr-FR"/>
        </w:rPr>
        <w:tab/>
      </w:r>
      <w:r w:rsidR="00DE024F">
        <w:rPr>
          <w:lang w:val="fr-FR"/>
        </w:rPr>
        <w:tab/>
      </w:r>
      <w:r w:rsidR="00DE024F">
        <w:rPr>
          <w:lang w:val="fr-FR"/>
        </w:rPr>
        <w:tab/>
      </w:r>
      <w:r w:rsidRPr="001C7B59">
        <w:rPr>
          <w:lang w:val="fr-FR"/>
        </w:rPr>
        <w:t xml:space="preserve">Violences </w:t>
      </w:r>
      <w:r w:rsidR="00DE024F">
        <w:rPr>
          <w:lang w:val="fr-FR"/>
        </w:rPr>
        <w:t>b</w:t>
      </w:r>
      <w:r w:rsidRPr="001C7B59">
        <w:rPr>
          <w:lang w:val="fr-FR"/>
        </w:rPr>
        <w:t xml:space="preserve">asées sur le </w:t>
      </w:r>
      <w:r w:rsidR="001C7B59" w:rsidRPr="001C7B59">
        <w:rPr>
          <w:lang w:val="fr-FR"/>
        </w:rPr>
        <w:t>genre</w:t>
      </w:r>
    </w:p>
    <w:p w:rsidR="004432C5" w:rsidRPr="001C7B59" w:rsidRDefault="004432C5" w:rsidP="004432C5">
      <w:pPr>
        <w:pStyle w:val="SingleTxt"/>
        <w:rPr>
          <w:b/>
          <w:bCs/>
          <w:lang w:val="fr-FR"/>
        </w:rPr>
      </w:pPr>
      <w:r w:rsidRPr="001C7B59">
        <w:rPr>
          <w:b/>
          <w:lang w:val="fr-FR"/>
        </w:rPr>
        <w:br w:type="page"/>
      </w:r>
    </w:p>
    <w:p w:rsidR="004432C5" w:rsidRDefault="008E5553" w:rsidP="008E55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Introduction</w:t>
      </w:r>
    </w:p>
    <w:p w:rsidR="008E5553" w:rsidRPr="008E5553" w:rsidRDefault="008E5553" w:rsidP="008E5553">
      <w:pPr>
        <w:pStyle w:val="SingleTxt"/>
        <w:spacing w:after="0" w:line="120" w:lineRule="exact"/>
        <w:rPr>
          <w:sz w:val="10"/>
          <w:lang w:val="fr-FR"/>
        </w:rPr>
      </w:pPr>
    </w:p>
    <w:p w:rsidR="008E5553" w:rsidRPr="008E5553" w:rsidRDefault="008E5553" w:rsidP="008E5553">
      <w:pPr>
        <w:pStyle w:val="SingleTxt"/>
        <w:spacing w:after="0" w:line="120" w:lineRule="exact"/>
        <w:rPr>
          <w:sz w:val="10"/>
          <w:lang w:val="fr-FR"/>
        </w:rPr>
      </w:pPr>
    </w:p>
    <w:p w:rsidR="004432C5" w:rsidRPr="008E5553" w:rsidRDefault="004432C5" w:rsidP="008E5553">
      <w:pPr>
        <w:pStyle w:val="SingleTxt"/>
        <w:numPr>
          <w:ilvl w:val="0"/>
          <w:numId w:val="9"/>
        </w:numPr>
        <w:tabs>
          <w:tab w:val="clear" w:pos="475"/>
          <w:tab w:val="num" w:pos="1742"/>
        </w:tabs>
        <w:ind w:left="1267"/>
        <w:rPr>
          <w:lang w:val="fr-FR"/>
        </w:rPr>
      </w:pPr>
      <w:r w:rsidRPr="008E5553">
        <w:rPr>
          <w:lang w:val="fr-FR"/>
        </w:rPr>
        <w:t>Le présent rapport est soumis en vertu de l</w:t>
      </w:r>
      <w:r w:rsidR="00DB6EAF" w:rsidRPr="008E5553">
        <w:rPr>
          <w:lang w:val="fr-FR"/>
        </w:rPr>
        <w:t>’</w:t>
      </w:r>
      <w:r w:rsidRPr="008E5553">
        <w:rPr>
          <w:lang w:val="fr-FR"/>
        </w:rPr>
        <w:t>article 18 de la Convention sur l</w:t>
      </w:r>
      <w:r w:rsidR="00DB6EAF" w:rsidRPr="008E5553">
        <w:rPr>
          <w:lang w:val="fr-FR"/>
        </w:rPr>
        <w:t>’</w:t>
      </w:r>
      <w:r w:rsidR="007B382B" w:rsidRPr="008E5553">
        <w:rPr>
          <w:lang w:val="fr-FR"/>
        </w:rPr>
        <w:t>élimination</w:t>
      </w:r>
      <w:r w:rsidRPr="008E5553">
        <w:rPr>
          <w:lang w:val="fr-FR"/>
        </w:rPr>
        <w:t xml:space="preserve"> de toutes les formes de </w:t>
      </w:r>
      <w:r w:rsidR="001C7B59" w:rsidRPr="008E5553">
        <w:rPr>
          <w:lang w:val="fr-FR"/>
        </w:rPr>
        <w:t>discrimination</w:t>
      </w:r>
      <w:r w:rsidRPr="008E5553">
        <w:rPr>
          <w:lang w:val="fr-FR"/>
        </w:rPr>
        <w:t xml:space="preserve"> à l</w:t>
      </w:r>
      <w:r w:rsidR="00DB6EAF" w:rsidRPr="008E5553">
        <w:rPr>
          <w:lang w:val="fr-FR"/>
        </w:rPr>
        <w:t>’</w:t>
      </w:r>
      <w:r w:rsidR="001C7B59" w:rsidRPr="008E5553">
        <w:rPr>
          <w:lang w:val="fr-FR"/>
        </w:rPr>
        <w:t>égard</w:t>
      </w:r>
      <w:r w:rsidRPr="008E5553">
        <w:rPr>
          <w:lang w:val="fr-FR"/>
        </w:rPr>
        <w:t xml:space="preserve"> des </w:t>
      </w:r>
      <w:r w:rsidR="001C7B59" w:rsidRPr="008E5553">
        <w:rPr>
          <w:lang w:val="fr-FR"/>
        </w:rPr>
        <w:t>femme</w:t>
      </w:r>
      <w:r w:rsidRPr="008E5553">
        <w:rPr>
          <w:lang w:val="fr-FR"/>
        </w:rPr>
        <w:t>s (CEDEF) ratifiée par le Niger le 8 octobre 1999. On rappellera que le rapport unique valant rapport initial et deuxième rapport périodique a été soumis au Comité pour l</w:t>
      </w:r>
      <w:r w:rsidR="00DB6EAF" w:rsidRPr="008E5553">
        <w:rPr>
          <w:lang w:val="fr-FR"/>
        </w:rPr>
        <w:t>’</w:t>
      </w:r>
      <w:r w:rsidRPr="008E5553">
        <w:rPr>
          <w:lang w:val="fr-FR"/>
        </w:rPr>
        <w:t>élimination des discriminations à l</w:t>
      </w:r>
      <w:r w:rsidR="00DB6EAF" w:rsidRPr="008E5553">
        <w:rPr>
          <w:lang w:val="fr-FR"/>
        </w:rPr>
        <w:t>’</w:t>
      </w:r>
      <w:r w:rsidRPr="008E5553">
        <w:rPr>
          <w:lang w:val="fr-FR"/>
        </w:rPr>
        <w:t xml:space="preserve">égard des femmes en 2004. Ce rapport a été examiné lors de la </w:t>
      </w:r>
      <w:r w:rsidR="00586FD4">
        <w:rPr>
          <w:lang w:val="fr-FR"/>
        </w:rPr>
        <w:t>trente-huitième</w:t>
      </w:r>
      <w:r w:rsidRPr="008E5553">
        <w:rPr>
          <w:lang w:val="fr-FR"/>
        </w:rPr>
        <w:t xml:space="preserve"> session dudit Comité en mai 2007. Ce dernier a apprécié les efforts du Niger mais a émis un certain nombre de préoccupations et formulé des recommandations en vue de rendre plus effective la mise en œuvre de la Convention.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Mais depuis la soumission de son rapport unique sur la CEDEF, le Niger n</w:t>
      </w:r>
      <w:r w:rsidR="00DB6EAF" w:rsidRPr="001C7B59">
        <w:rPr>
          <w:lang w:val="fr-FR"/>
        </w:rPr>
        <w:t>’</w:t>
      </w:r>
      <w:r w:rsidRPr="001C7B59">
        <w:rPr>
          <w:lang w:val="fr-FR"/>
        </w:rPr>
        <w:t>a</w:t>
      </w:r>
      <w:r w:rsidR="001C7B59" w:rsidRPr="001C7B59">
        <w:rPr>
          <w:lang w:val="fr-FR"/>
        </w:rPr>
        <w:t xml:space="preserve"> </w:t>
      </w:r>
      <w:r w:rsidRPr="001C7B59">
        <w:rPr>
          <w:lang w:val="fr-FR"/>
        </w:rPr>
        <w:t>pas pu présenter un autre rapport. Ce qui le rend</w:t>
      </w:r>
      <w:r w:rsidR="001C7B59" w:rsidRPr="001C7B59">
        <w:rPr>
          <w:lang w:val="fr-FR"/>
        </w:rPr>
        <w:t xml:space="preserve"> </w:t>
      </w:r>
      <w:r w:rsidRPr="001C7B59">
        <w:rPr>
          <w:lang w:val="fr-FR"/>
        </w:rPr>
        <w:t xml:space="preserve">redevable de deux rapports périodiques. Afin de respecter ses obligations internationales, le Niger soumet le présent rapport périodique combiné relatif à la mise en œuvre de la CEDEF, qui couvre la période allant de 2005 à 2012. Il vaut troisième et quatrième rapports périodiques.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Ce rapport rend compte des progrès réalisés en matière de droits de la femme au cours de la période couverte, en indiquant les mesures par lesquelles les autorités politiques et administratives ont donné effet aux droits et libertés fondamentales énoncés dans la CEDEF. Il apporte également des éléments de réponse aux préoccupations et recommandations du Comité pour l</w:t>
      </w:r>
      <w:r w:rsidR="00DB6EAF" w:rsidRPr="001C7B59">
        <w:rPr>
          <w:lang w:val="fr-FR"/>
        </w:rPr>
        <w:t>’</w:t>
      </w:r>
      <w:r w:rsidRPr="001C7B59">
        <w:rPr>
          <w:lang w:val="fr-FR"/>
        </w:rPr>
        <w:t>élimination des discriminations à l</w:t>
      </w:r>
      <w:r w:rsidR="00DB6EAF" w:rsidRPr="001C7B59">
        <w:rPr>
          <w:lang w:val="fr-FR"/>
        </w:rPr>
        <w:t>’</w:t>
      </w:r>
      <w:r w:rsidRPr="001C7B59">
        <w:rPr>
          <w:lang w:val="fr-FR"/>
        </w:rPr>
        <w:t xml:space="preserve">égard des femmes adressées au </w:t>
      </w:r>
      <w:r w:rsidR="006E6940">
        <w:rPr>
          <w:lang w:val="fr-FR"/>
        </w:rPr>
        <w:t>Gouvernement</w:t>
      </w:r>
      <w:r w:rsidRPr="001C7B59">
        <w:rPr>
          <w:lang w:val="fr-FR"/>
        </w:rPr>
        <w:t xml:space="preserve"> suite à la présentation de son rapport unique. Ce rapport fait donc état des efforts fournis par le Niger pour mettre en œuvre les recommandations du Comité sur un certain nombre de questions dont</w:t>
      </w:r>
      <w:r w:rsidR="00DB6EAF" w:rsidRPr="001C7B59">
        <w:rPr>
          <w:lang w:val="fr-FR"/>
        </w:rPr>
        <w:t> :</w:t>
      </w:r>
      <w:r w:rsidRPr="001C7B59">
        <w:rPr>
          <w:lang w:val="fr-FR"/>
        </w:rPr>
        <w:t xml:space="preserve"> les réserves formulées par le Niger (les alinéas d et f de l</w:t>
      </w:r>
      <w:r w:rsidR="00DB6EAF" w:rsidRPr="001C7B59">
        <w:rPr>
          <w:lang w:val="fr-FR"/>
        </w:rPr>
        <w:t>’</w:t>
      </w:r>
      <w:r w:rsidRPr="001C7B59">
        <w:rPr>
          <w:lang w:val="fr-FR"/>
        </w:rPr>
        <w:t>article 2, l</w:t>
      </w:r>
      <w:r w:rsidR="00DB6EAF" w:rsidRPr="001C7B59">
        <w:rPr>
          <w:lang w:val="fr-FR"/>
        </w:rPr>
        <w:t>’</w:t>
      </w:r>
      <w:r w:rsidRPr="001C7B59">
        <w:rPr>
          <w:lang w:val="fr-FR"/>
        </w:rPr>
        <w:t>alinéa a de l</w:t>
      </w:r>
      <w:r w:rsidR="00DB6EAF" w:rsidRPr="001C7B59">
        <w:rPr>
          <w:lang w:val="fr-FR"/>
        </w:rPr>
        <w:t>’</w:t>
      </w:r>
      <w:r w:rsidRPr="001C7B59">
        <w:rPr>
          <w:lang w:val="fr-FR"/>
        </w:rPr>
        <w:t>article 5, le paragraphe 4 de l</w:t>
      </w:r>
      <w:r w:rsidR="00DB6EAF" w:rsidRPr="001C7B59">
        <w:rPr>
          <w:lang w:val="fr-FR"/>
        </w:rPr>
        <w:t>’</w:t>
      </w:r>
      <w:r w:rsidRPr="001C7B59">
        <w:rPr>
          <w:lang w:val="fr-FR"/>
        </w:rPr>
        <w:t>article 15 et les alinéas c, e et g du paragraphe 1 de l</w:t>
      </w:r>
      <w:r w:rsidR="00DB6EAF" w:rsidRPr="001C7B59">
        <w:rPr>
          <w:lang w:val="fr-FR"/>
        </w:rPr>
        <w:t>’</w:t>
      </w:r>
      <w:r w:rsidRPr="001C7B59">
        <w:rPr>
          <w:lang w:val="fr-FR"/>
        </w:rPr>
        <w:t>article 16),</w:t>
      </w:r>
      <w:r w:rsidR="001C7B59" w:rsidRPr="001C7B59">
        <w:rPr>
          <w:lang w:val="fr-FR"/>
        </w:rPr>
        <w:t xml:space="preserve"> </w:t>
      </w:r>
      <w:r w:rsidRPr="001C7B59">
        <w:rPr>
          <w:lang w:val="fr-FR"/>
        </w:rPr>
        <w:t>la ratification de certains instruments de protection des droits de l</w:t>
      </w:r>
      <w:r w:rsidR="00DB6EAF" w:rsidRPr="001C7B59">
        <w:rPr>
          <w:lang w:val="fr-FR"/>
        </w:rPr>
        <w:t>’</w:t>
      </w:r>
      <w:r w:rsidR="00B22D00">
        <w:rPr>
          <w:lang w:val="fr-FR"/>
        </w:rPr>
        <w:t>homme</w:t>
      </w:r>
      <w:r w:rsidRPr="001C7B59">
        <w:rPr>
          <w:lang w:val="fr-FR"/>
        </w:rPr>
        <w:t>, la sensibilisation et la formation sur la CEDEF des professionnels du droit et du grand public, la révision de certains textes, le renforcement des mécanismes existants, les insuffisances des données statistiques sur les discriminations, l</w:t>
      </w:r>
      <w:r w:rsidR="00DB6EAF" w:rsidRPr="001C7B59">
        <w:rPr>
          <w:lang w:val="fr-FR"/>
        </w:rPr>
        <w:t>’</w:t>
      </w:r>
      <w:r w:rsidRPr="001C7B59">
        <w:rPr>
          <w:lang w:val="fr-FR"/>
        </w:rPr>
        <w:t>emploi et les violences à l</w:t>
      </w:r>
      <w:r w:rsidR="00DB6EAF" w:rsidRPr="001C7B59">
        <w:rPr>
          <w:lang w:val="fr-FR"/>
        </w:rPr>
        <w:t>’</w:t>
      </w:r>
      <w:r w:rsidRPr="001C7B59">
        <w:rPr>
          <w:lang w:val="fr-FR"/>
        </w:rPr>
        <w:t>égard des femmes et une meilleure application des dispositions de la CEDEF.</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présent rapport a été rédigé et validé avant la création du Comité interministériel chargé de la rédaction des rapports initiaux et périodiques aux organes des traités. Il a été</w:t>
      </w:r>
      <w:r w:rsidR="001C7B59" w:rsidRPr="001C7B59">
        <w:rPr>
          <w:lang w:val="fr-FR"/>
        </w:rPr>
        <w:t xml:space="preserve"> </w:t>
      </w:r>
      <w:r w:rsidRPr="001C7B59">
        <w:rPr>
          <w:lang w:val="fr-FR"/>
        </w:rPr>
        <w:t>soumis ensuite au Comité interministériel pour contrôle de conformité aux directives et son enrichissement avec des données et des informations plus actuelles.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présent rapport s</w:t>
      </w:r>
      <w:r w:rsidR="00DB6EAF" w:rsidRPr="001C7B59">
        <w:rPr>
          <w:lang w:val="fr-FR"/>
        </w:rPr>
        <w:t>’</w:t>
      </w:r>
      <w:r w:rsidRPr="001C7B59">
        <w:rPr>
          <w:lang w:val="fr-FR"/>
        </w:rPr>
        <w:t>articule autour de deux parties</w:t>
      </w:r>
      <w:r w:rsidR="00DB6EAF" w:rsidRPr="001C7B59">
        <w:rPr>
          <w:lang w:val="fr-FR"/>
        </w:rPr>
        <w:t> :</w:t>
      </w:r>
      <w:r w:rsidRPr="001C7B59">
        <w:rPr>
          <w:lang w:val="fr-FR"/>
        </w:rPr>
        <w:t xml:space="preserve">la première contient des informations générales sur le cadre juridique et institutionnel de promotion et de protection des droits </w:t>
      </w:r>
      <w:r w:rsidR="00E15F6D" w:rsidRPr="001C7B59">
        <w:rPr>
          <w:lang w:val="fr-FR"/>
        </w:rPr>
        <w:t>humains; la</w:t>
      </w:r>
      <w:r w:rsidRPr="001C7B59">
        <w:rPr>
          <w:lang w:val="fr-FR"/>
        </w:rPr>
        <w:t xml:space="preserve"> deuxième dresse le bilan des progrès réalisés, de 2005 à 2012, par le Niger dans l</w:t>
      </w:r>
      <w:r w:rsidR="00DB6EAF" w:rsidRPr="001C7B59">
        <w:rPr>
          <w:lang w:val="fr-FR"/>
        </w:rPr>
        <w:t>’</w:t>
      </w:r>
      <w:r w:rsidRPr="001C7B59">
        <w:rPr>
          <w:lang w:val="fr-FR"/>
        </w:rPr>
        <w:t>application des dispositions de</w:t>
      </w:r>
      <w:r w:rsidR="001C7B59" w:rsidRPr="001C7B59">
        <w:rPr>
          <w:lang w:val="fr-FR"/>
        </w:rPr>
        <w:t xml:space="preserve"> </w:t>
      </w:r>
      <w:r w:rsidRPr="001C7B59">
        <w:rPr>
          <w:lang w:val="fr-FR"/>
        </w:rPr>
        <w:t>la Convention en fournissant des informations détaillées sur la mise en œuvre des articles allant du premier au 30, selon un découpage en quatre sous-parties.</w:t>
      </w:r>
      <w:bookmarkStart w:id="5" w:name="_Toc218145966"/>
      <w:bookmarkStart w:id="6" w:name="_Toc121566085"/>
      <w:bookmarkStart w:id="7" w:name="_Toc215477440"/>
    </w:p>
    <w:bookmarkEnd w:id="5"/>
    <w:bookmarkEnd w:id="6"/>
    <w:bookmarkEnd w:id="7"/>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Ce rapport est consacrée à l</w:t>
      </w:r>
      <w:r w:rsidR="00DB6EAF" w:rsidRPr="001C7B59">
        <w:rPr>
          <w:lang w:val="fr-FR"/>
        </w:rPr>
        <w:t>’</w:t>
      </w:r>
      <w:r w:rsidRPr="001C7B59">
        <w:rPr>
          <w:lang w:val="fr-FR"/>
        </w:rPr>
        <w:t>analyse des</w:t>
      </w:r>
      <w:r w:rsidR="001C7B59" w:rsidRPr="001C7B59">
        <w:rPr>
          <w:lang w:val="fr-FR"/>
        </w:rPr>
        <w:t xml:space="preserve"> </w:t>
      </w:r>
      <w:r w:rsidRPr="001C7B59">
        <w:rPr>
          <w:lang w:val="fr-FR"/>
        </w:rPr>
        <w:t>progrès enregistrés dans la mise en œuvre des dispositions de la CEDEF pendant la période 2005-2012 et les mesures prises pour traduire en actes les recommandations du Comité pour l</w:t>
      </w:r>
      <w:r w:rsidR="00DB6EAF" w:rsidRPr="001C7B59">
        <w:rPr>
          <w:lang w:val="fr-FR"/>
        </w:rPr>
        <w:t>’</w:t>
      </w:r>
      <w:r w:rsidRPr="001C7B59">
        <w:rPr>
          <w:lang w:val="fr-FR"/>
        </w:rPr>
        <w:t>élimination des discriminations à l</w:t>
      </w:r>
      <w:r w:rsidR="00DB6EAF" w:rsidRPr="001C7B59">
        <w:rPr>
          <w:lang w:val="fr-FR"/>
        </w:rPr>
        <w:t>’</w:t>
      </w:r>
      <w:r w:rsidRPr="001C7B59">
        <w:rPr>
          <w:lang w:val="fr-FR"/>
        </w:rPr>
        <w:t xml:space="preserve">égard des femmes. </w:t>
      </w:r>
    </w:p>
    <w:p w:rsidR="004432C5" w:rsidRDefault="004432C5" w:rsidP="00B22D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t>I.</w:t>
      </w:r>
      <w:r w:rsidRPr="001C7B59">
        <w:rPr>
          <w:lang w:val="fr-FR"/>
        </w:rPr>
        <w:tab/>
        <w:t>Articles 1 à 6</w:t>
      </w:r>
    </w:p>
    <w:p w:rsidR="00B22D00" w:rsidRPr="00B22D00" w:rsidRDefault="00B22D00" w:rsidP="00B22D00">
      <w:pPr>
        <w:pStyle w:val="SingleTxt"/>
        <w:spacing w:after="0" w:line="120" w:lineRule="exact"/>
        <w:rPr>
          <w:sz w:val="10"/>
          <w:lang w:val="fr-FR"/>
        </w:rPr>
      </w:pPr>
    </w:p>
    <w:p w:rsidR="004432C5" w:rsidRDefault="00B22D00" w:rsidP="00B22D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Mesures de lutte contre les discriminations (art</w:t>
      </w:r>
      <w:r>
        <w:rPr>
          <w:lang w:val="fr-FR"/>
        </w:rPr>
        <w:t xml:space="preserve">. </w:t>
      </w:r>
      <w:r w:rsidR="004432C5" w:rsidRPr="001C7B59">
        <w:rPr>
          <w:lang w:val="fr-FR"/>
        </w:rPr>
        <w:t>1 à 3)</w:t>
      </w:r>
    </w:p>
    <w:p w:rsidR="00B22D00" w:rsidRPr="00B22D00" w:rsidRDefault="00B22D00" w:rsidP="00B22D0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Depuis la présentation du précédent rapport, la notion de discrimination en droit nigérien a connu une évolution notable qui résulte de l</w:t>
      </w:r>
      <w:r w:rsidR="00DB6EAF" w:rsidRPr="001C7B59">
        <w:rPr>
          <w:lang w:val="fr-FR"/>
        </w:rPr>
        <w:t>’</w:t>
      </w:r>
      <w:r w:rsidRPr="001C7B59">
        <w:rPr>
          <w:lang w:val="fr-FR"/>
        </w:rPr>
        <w:t>article 22 de la Constitution du 25 novembre 2010 aux termes duquel « l</w:t>
      </w:r>
      <w:r w:rsidR="00DB6EAF" w:rsidRPr="001C7B59">
        <w:rPr>
          <w:lang w:val="fr-FR"/>
        </w:rPr>
        <w:t>’</w:t>
      </w:r>
      <w:r w:rsidR="008E5553">
        <w:rPr>
          <w:lang w:val="fr-FR"/>
        </w:rPr>
        <w:t>État</w:t>
      </w:r>
      <w:r w:rsidRPr="001C7B59">
        <w:rPr>
          <w:lang w:val="fr-FR"/>
        </w:rPr>
        <w:t xml:space="preserve"> veille à l</w:t>
      </w:r>
      <w:r w:rsidR="00DB6EAF" w:rsidRPr="001C7B59">
        <w:rPr>
          <w:lang w:val="fr-FR"/>
        </w:rPr>
        <w:t>’</w:t>
      </w:r>
      <w:r w:rsidRPr="001C7B59">
        <w:rPr>
          <w:lang w:val="fr-FR"/>
        </w:rPr>
        <w:t>élimination de toute forme de discrimination à l</w:t>
      </w:r>
      <w:r w:rsidR="00DB6EAF" w:rsidRPr="001C7B59">
        <w:rPr>
          <w:lang w:val="fr-FR"/>
        </w:rPr>
        <w:t>’</w:t>
      </w:r>
      <w:r w:rsidRPr="001C7B59">
        <w:rPr>
          <w:lang w:val="fr-FR"/>
        </w:rPr>
        <w:t xml:space="preserve">égard de la femme, de la jeune fille et des personnes handicapées. Les politiques publiques dans tous les domaines assurent leur plein épanouissement et leur participation au développement national ».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Dans le souci de lutter contre la discrimination, le Gouvernement a initié un projet de loi modifiant la loi</w:t>
      </w:r>
      <w:r w:rsidR="001C7B59" w:rsidRPr="001C7B59">
        <w:rPr>
          <w:lang w:val="fr-FR"/>
        </w:rPr>
        <w:t xml:space="preserve"> </w:t>
      </w:r>
      <w:r w:rsidRPr="001C7B59">
        <w:rPr>
          <w:lang w:val="fr-FR"/>
        </w:rPr>
        <w:t>n° 2000-008 instituant le système de quota dans les fonctions électives (10</w:t>
      </w:r>
      <w:r w:rsidR="007B382B">
        <w:rPr>
          <w:lang w:val="fr-FR"/>
        </w:rPr>
        <w:t> %</w:t>
      </w:r>
      <w:r w:rsidRPr="001C7B59">
        <w:rPr>
          <w:lang w:val="fr-FR"/>
        </w:rPr>
        <w:t>) et nominatives (25</w:t>
      </w:r>
      <w:r w:rsidR="007B382B">
        <w:rPr>
          <w:lang w:val="fr-FR"/>
        </w:rPr>
        <w:t> %</w:t>
      </w:r>
      <w:r w:rsidRPr="001C7B59">
        <w:rPr>
          <w:lang w:val="fr-FR"/>
        </w:rPr>
        <w:t>) qui prévoit de rehausser ledit quota.</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Malgré ces mesures, les textes nigériens qui comportent des dispositions discriminatoires à l</w:t>
      </w:r>
      <w:r w:rsidR="00DB6EAF" w:rsidRPr="001C7B59">
        <w:rPr>
          <w:lang w:val="fr-FR"/>
        </w:rPr>
        <w:t>’</w:t>
      </w:r>
      <w:r w:rsidRPr="001C7B59">
        <w:rPr>
          <w:lang w:val="fr-FR"/>
        </w:rPr>
        <w:t>égard des femmes et qui ont été exposés dans le précédent rapport demeurent encore en vigueur. Cette situation est essentiellement due aux pesanteurs socioculturelles.</w:t>
      </w:r>
      <w:r w:rsidR="001C7B59" w:rsidRPr="001C7B59">
        <w:rPr>
          <w:lang w:val="fr-FR"/>
        </w:rPr>
        <w:t xml:space="preserve"> </w:t>
      </w:r>
    </w:p>
    <w:p w:rsidR="00B22D00" w:rsidRPr="00B22D00" w:rsidRDefault="00B22D00" w:rsidP="00B22D00">
      <w:pPr>
        <w:pStyle w:val="SingleTxt"/>
        <w:spacing w:after="0" w:line="120" w:lineRule="exact"/>
        <w:rPr>
          <w:sz w:val="10"/>
          <w:lang w:val="fr-FR"/>
        </w:rPr>
      </w:pPr>
    </w:p>
    <w:p w:rsidR="004432C5" w:rsidRDefault="00B22D00" w:rsidP="00B22D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w:t>
      </w:r>
      <w:r w:rsidR="00DB6EAF" w:rsidRPr="001C7B59">
        <w:rPr>
          <w:lang w:val="fr-FR"/>
        </w:rPr>
        <w:t>’</w:t>
      </w:r>
      <w:r w:rsidR="004432C5" w:rsidRPr="001C7B59">
        <w:rPr>
          <w:lang w:val="fr-FR"/>
        </w:rPr>
        <w:t>organisation des formations sur la CEDEF et le genre </w:t>
      </w:r>
    </w:p>
    <w:p w:rsidR="00B22D00" w:rsidRPr="00B22D00" w:rsidRDefault="00B22D00" w:rsidP="00B22D0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De nombreuses activités de formations destinées à assurer une meilleure connaissance des dispositions de la CEDEF ont été réalisées par le Ministère de la </w:t>
      </w:r>
      <w:r w:rsidR="00D60176" w:rsidRPr="001C7B59">
        <w:rPr>
          <w:lang w:val="fr-FR"/>
        </w:rPr>
        <w:t>population</w:t>
      </w:r>
      <w:r w:rsidRPr="001C7B59">
        <w:rPr>
          <w:lang w:val="fr-FR"/>
        </w:rPr>
        <w:t xml:space="preserve">, de la </w:t>
      </w:r>
      <w:r w:rsidR="007B382B">
        <w:rPr>
          <w:lang w:val="fr-FR"/>
        </w:rPr>
        <w:t>promotion</w:t>
      </w:r>
      <w:r w:rsidRPr="001C7B59">
        <w:rPr>
          <w:lang w:val="fr-FR"/>
        </w:rPr>
        <w:t xml:space="preserve"> de la </w:t>
      </w:r>
      <w:r w:rsidR="001C7B59" w:rsidRPr="001C7B59">
        <w:rPr>
          <w:lang w:val="fr-FR"/>
        </w:rPr>
        <w:t>femme</w:t>
      </w:r>
      <w:r w:rsidRPr="001C7B59">
        <w:rPr>
          <w:lang w:val="fr-FR"/>
        </w:rPr>
        <w:t xml:space="preserve"> et de la </w:t>
      </w:r>
      <w:r w:rsidR="001C7B59" w:rsidRPr="001C7B59">
        <w:rPr>
          <w:lang w:val="fr-FR"/>
        </w:rPr>
        <w:t>protection</w:t>
      </w:r>
      <w:r w:rsidRPr="001C7B59">
        <w:rPr>
          <w:lang w:val="fr-FR"/>
        </w:rPr>
        <w:t xml:space="preserve"> de l</w:t>
      </w:r>
      <w:r w:rsidR="00DB6EAF" w:rsidRPr="001C7B59">
        <w:rPr>
          <w:lang w:val="fr-FR"/>
        </w:rPr>
        <w:t>’</w:t>
      </w:r>
      <w:r w:rsidR="001C7B59" w:rsidRPr="001C7B59">
        <w:rPr>
          <w:lang w:val="fr-FR"/>
        </w:rPr>
        <w:t>enfant</w:t>
      </w:r>
      <w:r w:rsidRPr="001C7B59">
        <w:rPr>
          <w:lang w:val="fr-FR"/>
        </w:rPr>
        <w:t xml:space="preserve"> (MP/PF/PE) et les </w:t>
      </w:r>
      <w:r w:rsidR="007B382B">
        <w:rPr>
          <w:lang w:val="fr-FR"/>
        </w:rPr>
        <w:t>organisation</w:t>
      </w:r>
      <w:r w:rsidRPr="001C7B59">
        <w:rPr>
          <w:lang w:val="fr-FR"/>
        </w:rPr>
        <w:t xml:space="preserve">s de la </w:t>
      </w:r>
      <w:r w:rsidR="007B382B">
        <w:rPr>
          <w:lang w:val="fr-FR"/>
        </w:rPr>
        <w:t>société civile</w:t>
      </w:r>
      <w:r w:rsidRPr="001C7B59">
        <w:rPr>
          <w:lang w:val="fr-FR"/>
        </w:rPr>
        <w:t xml:space="preserve"> (OSC) avec l</w:t>
      </w:r>
      <w:r w:rsidR="00DB6EAF" w:rsidRPr="001C7B59">
        <w:rPr>
          <w:lang w:val="fr-FR"/>
        </w:rPr>
        <w:t>’</w:t>
      </w:r>
      <w:r w:rsidRPr="001C7B59">
        <w:rPr>
          <w:lang w:val="fr-FR"/>
        </w:rPr>
        <w:t xml:space="preserve">appui de plusieurs Partenaires </w:t>
      </w:r>
      <w:r w:rsidR="00D60176" w:rsidRPr="001C7B59">
        <w:rPr>
          <w:lang w:val="fr-FR"/>
        </w:rPr>
        <w:t>technique</w:t>
      </w:r>
      <w:r w:rsidRPr="001C7B59">
        <w:rPr>
          <w:lang w:val="fr-FR"/>
        </w:rPr>
        <w:t xml:space="preserve">s et </w:t>
      </w:r>
      <w:r w:rsidR="00D60176" w:rsidRPr="001C7B59">
        <w:rPr>
          <w:lang w:val="fr-FR"/>
        </w:rPr>
        <w:t>financier</w:t>
      </w:r>
      <w:r w:rsidRPr="001C7B59">
        <w:rPr>
          <w:lang w:val="fr-FR"/>
        </w:rPr>
        <w:t>s (PTF). En plus des activités menées par l</w:t>
      </w:r>
      <w:r w:rsidR="00DB6EAF" w:rsidRPr="001C7B59">
        <w:rPr>
          <w:lang w:val="fr-FR"/>
        </w:rPr>
        <w:t>’</w:t>
      </w:r>
      <w:r w:rsidR="008E5553">
        <w:rPr>
          <w:lang w:val="fr-FR"/>
        </w:rPr>
        <w:t>État</w:t>
      </w:r>
      <w:r w:rsidRPr="001C7B59">
        <w:rPr>
          <w:lang w:val="fr-FR"/>
        </w:rPr>
        <w:t xml:space="preserve">, la société civile a contribué au renforcement des capacités des magistrats, des avocats, des agents de </w:t>
      </w:r>
      <w:r w:rsidR="00DE024F">
        <w:rPr>
          <w:lang w:val="fr-FR"/>
        </w:rPr>
        <w:t>police</w:t>
      </w:r>
      <w:r w:rsidRPr="001C7B59">
        <w:rPr>
          <w:lang w:val="fr-FR"/>
        </w:rPr>
        <w:t xml:space="preserve"> </w:t>
      </w:r>
      <w:r w:rsidR="00DE024F">
        <w:rPr>
          <w:lang w:val="fr-FR"/>
        </w:rPr>
        <w:t>judiciaire</w:t>
      </w:r>
      <w:r w:rsidRPr="001C7B59">
        <w:rPr>
          <w:lang w:val="fr-FR"/>
        </w:rPr>
        <w:t xml:space="preserve">, des Forces de </w:t>
      </w:r>
      <w:r w:rsidR="001C7B59" w:rsidRPr="001C7B59">
        <w:rPr>
          <w:lang w:val="fr-FR"/>
        </w:rPr>
        <w:t>défense</w:t>
      </w:r>
      <w:r w:rsidRPr="001C7B59">
        <w:rPr>
          <w:lang w:val="fr-FR"/>
        </w:rPr>
        <w:t xml:space="preserve"> et de Sécurité (FDS), des autorités coutumières, des leaders religieux et des leaders politiques en 2010 et 2011.</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Dans le souci de lutter contre les discriminations, l</w:t>
      </w:r>
      <w:r w:rsidR="00DB6EAF" w:rsidRPr="001C7B59">
        <w:rPr>
          <w:lang w:val="fr-FR"/>
        </w:rPr>
        <w:t>’</w:t>
      </w:r>
      <w:r w:rsidR="008E5553">
        <w:rPr>
          <w:lang w:val="fr-FR"/>
        </w:rPr>
        <w:t>État</w:t>
      </w:r>
      <w:r w:rsidRPr="001C7B59">
        <w:rPr>
          <w:lang w:val="fr-FR"/>
        </w:rPr>
        <w:t xml:space="preserve"> a procédé à la vulgarisation de la CEDEF et de son Protocole. Cette vulgarisation a été menée par les OSC notamment l</w:t>
      </w:r>
      <w:r w:rsidR="00DB6EAF" w:rsidRPr="001C7B59">
        <w:rPr>
          <w:lang w:val="fr-FR"/>
        </w:rPr>
        <w:t>’</w:t>
      </w:r>
      <w:r w:rsidRPr="001C7B59">
        <w:rPr>
          <w:lang w:val="fr-FR"/>
        </w:rPr>
        <w:t xml:space="preserve">Association </w:t>
      </w:r>
      <w:r w:rsidR="00D60176" w:rsidRPr="001C7B59">
        <w:rPr>
          <w:lang w:val="fr-FR"/>
        </w:rPr>
        <w:t>nigéri</w:t>
      </w:r>
      <w:r w:rsidRPr="001C7B59">
        <w:rPr>
          <w:lang w:val="fr-FR"/>
        </w:rPr>
        <w:t xml:space="preserve">enne de </w:t>
      </w:r>
      <w:r w:rsidR="001C7B59" w:rsidRPr="001C7B59">
        <w:rPr>
          <w:lang w:val="fr-FR"/>
        </w:rPr>
        <w:t>défense</w:t>
      </w:r>
      <w:r w:rsidRPr="001C7B59">
        <w:rPr>
          <w:lang w:val="fr-FR"/>
        </w:rPr>
        <w:t xml:space="preserve"> des </w:t>
      </w:r>
      <w:r w:rsidR="00D60176" w:rsidRPr="001C7B59">
        <w:rPr>
          <w:lang w:val="fr-FR"/>
        </w:rPr>
        <w:t>droits de l’homme</w:t>
      </w:r>
      <w:r w:rsidRPr="001C7B59">
        <w:rPr>
          <w:lang w:val="fr-FR"/>
        </w:rPr>
        <w:t xml:space="preserve"> (ANDDH), l</w:t>
      </w:r>
      <w:r w:rsidR="00DB6EAF" w:rsidRPr="001C7B59">
        <w:rPr>
          <w:lang w:val="fr-FR"/>
        </w:rPr>
        <w:t>’</w:t>
      </w:r>
      <w:r w:rsidRPr="001C7B59">
        <w:rPr>
          <w:lang w:val="fr-FR"/>
        </w:rPr>
        <w:t xml:space="preserve">Association des </w:t>
      </w:r>
      <w:r w:rsidR="001C7B59" w:rsidRPr="001C7B59">
        <w:rPr>
          <w:lang w:val="fr-FR"/>
        </w:rPr>
        <w:t>femme</w:t>
      </w:r>
      <w:r w:rsidRPr="001C7B59">
        <w:rPr>
          <w:lang w:val="fr-FR"/>
        </w:rPr>
        <w:t xml:space="preserve">s </w:t>
      </w:r>
      <w:r w:rsidR="001C7B59" w:rsidRPr="001C7B59">
        <w:rPr>
          <w:lang w:val="fr-FR"/>
        </w:rPr>
        <w:t>juriste</w:t>
      </w:r>
      <w:r w:rsidRPr="001C7B59">
        <w:rPr>
          <w:lang w:val="fr-FR"/>
        </w:rPr>
        <w:t>s du Niger (AFJN), l</w:t>
      </w:r>
      <w:r w:rsidR="00DB6EAF" w:rsidRPr="001C7B59">
        <w:rPr>
          <w:lang w:val="fr-FR"/>
        </w:rPr>
        <w:t>’</w:t>
      </w:r>
      <w:r w:rsidRPr="001C7B59">
        <w:rPr>
          <w:lang w:val="fr-FR"/>
        </w:rPr>
        <w:t xml:space="preserve">ONG DIMOL, le Collectif des </w:t>
      </w:r>
      <w:r w:rsidR="007B382B">
        <w:rPr>
          <w:lang w:val="fr-FR"/>
        </w:rPr>
        <w:t>organisation</w:t>
      </w:r>
      <w:r w:rsidRPr="001C7B59">
        <w:rPr>
          <w:lang w:val="fr-FR"/>
        </w:rPr>
        <w:t xml:space="preserve">s de </w:t>
      </w:r>
      <w:r w:rsidR="001C7B59" w:rsidRPr="001C7B59">
        <w:rPr>
          <w:lang w:val="fr-FR"/>
        </w:rPr>
        <w:t>défense</w:t>
      </w:r>
      <w:r w:rsidRPr="001C7B59">
        <w:rPr>
          <w:lang w:val="fr-FR"/>
        </w:rPr>
        <w:t xml:space="preserve"> des </w:t>
      </w:r>
      <w:r w:rsidR="00D60176" w:rsidRPr="001C7B59">
        <w:rPr>
          <w:lang w:val="fr-FR"/>
        </w:rPr>
        <w:t>droits de l’homme</w:t>
      </w:r>
      <w:r w:rsidRPr="001C7B59">
        <w:rPr>
          <w:lang w:val="fr-FR"/>
        </w:rPr>
        <w:t xml:space="preserve"> et de la </w:t>
      </w:r>
      <w:r w:rsidR="00D60176" w:rsidRPr="001C7B59">
        <w:rPr>
          <w:lang w:val="fr-FR"/>
        </w:rPr>
        <w:t>démocratie</w:t>
      </w:r>
      <w:r w:rsidRPr="001C7B59">
        <w:rPr>
          <w:lang w:val="fr-FR"/>
        </w:rPr>
        <w:t xml:space="preserve"> (CODDHD), le cadre de concertation pour la mise </w:t>
      </w:r>
      <w:r w:rsidR="006E6940">
        <w:rPr>
          <w:lang w:val="fr-FR"/>
        </w:rPr>
        <w:t xml:space="preserve">en œuvre de la CEDEF dans les huit </w:t>
      </w:r>
      <w:r w:rsidRPr="001C7B59">
        <w:rPr>
          <w:lang w:val="fr-FR"/>
        </w:rPr>
        <w:t>régions du pays. Cette campagne de sensibilisation a permis de toucher près de 20</w:t>
      </w:r>
      <w:r w:rsidR="007B382B">
        <w:rPr>
          <w:lang w:val="fr-FR"/>
        </w:rPr>
        <w:t> %</w:t>
      </w:r>
      <w:r w:rsidRPr="001C7B59">
        <w:rPr>
          <w:lang w:val="fr-FR"/>
        </w:rPr>
        <w:t xml:space="preserve"> de la population.</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Plusieurs formations ont été organisées à l</w:t>
      </w:r>
      <w:r w:rsidR="00DB6EAF" w:rsidRPr="001C7B59">
        <w:rPr>
          <w:lang w:val="fr-FR"/>
        </w:rPr>
        <w:t>’</w:t>
      </w:r>
      <w:r w:rsidRPr="001C7B59">
        <w:rPr>
          <w:lang w:val="fr-FR"/>
        </w:rPr>
        <w:t xml:space="preserve">intention des magistrats, des </w:t>
      </w:r>
      <w:r w:rsidR="00DE024F">
        <w:rPr>
          <w:lang w:val="fr-FR"/>
        </w:rPr>
        <w:t>officier</w:t>
      </w:r>
      <w:r w:rsidRPr="001C7B59">
        <w:rPr>
          <w:lang w:val="fr-FR"/>
        </w:rPr>
        <w:t xml:space="preserve">s de </w:t>
      </w:r>
      <w:r w:rsidR="00DE024F">
        <w:rPr>
          <w:lang w:val="fr-FR"/>
        </w:rPr>
        <w:t>police</w:t>
      </w:r>
      <w:r w:rsidRPr="001C7B59">
        <w:rPr>
          <w:lang w:val="fr-FR"/>
        </w:rPr>
        <w:t xml:space="preserve"> </w:t>
      </w:r>
      <w:r w:rsidR="00DE024F">
        <w:rPr>
          <w:lang w:val="fr-FR"/>
        </w:rPr>
        <w:t>judiciaire</w:t>
      </w:r>
      <w:r w:rsidRPr="001C7B59">
        <w:rPr>
          <w:lang w:val="fr-FR"/>
        </w:rPr>
        <w:t xml:space="preserve">s (OPJ), de la société civile sur le contenu de la CEDEF et le genre par divers formateurs ayant développé des approches différentes relativement à ces thématiques. Le MP/PF/PE à travers le projet Initiative </w:t>
      </w:r>
      <w:r w:rsidR="001C7B59" w:rsidRPr="001C7B59">
        <w:rPr>
          <w:lang w:val="fr-FR"/>
        </w:rPr>
        <w:t>genre</w:t>
      </w:r>
      <w:r w:rsidRPr="001C7B59">
        <w:rPr>
          <w:lang w:val="fr-FR"/>
        </w:rPr>
        <w:t xml:space="preserve"> au Niger (IGN), soutenu par le FNUAP, a élaboré un manuel de formation en genre et mis en place un noyau de formateurs aux niveaux central et des autres régions du pays. Dans le cadre du même projet, un argumentaire « genre et islam » sur la levée des réserves, ainsi qu</w:t>
      </w:r>
      <w:r w:rsidR="00DB6EAF" w:rsidRPr="001C7B59">
        <w:rPr>
          <w:lang w:val="fr-FR"/>
        </w:rPr>
        <w:t>’</w:t>
      </w:r>
      <w:r w:rsidRPr="001C7B59">
        <w:rPr>
          <w:lang w:val="fr-FR"/>
        </w:rPr>
        <w:t>un glossaire des concepts genre en Arabe, Hausa et Djerma ont été produits et vulgarisés.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Mais la réserve formulée au point f) de l</w:t>
      </w:r>
      <w:r w:rsidR="00DB6EAF" w:rsidRPr="001C7B59">
        <w:rPr>
          <w:lang w:val="fr-FR"/>
        </w:rPr>
        <w:t>’</w:t>
      </w:r>
      <w:r w:rsidRPr="001C7B59">
        <w:rPr>
          <w:lang w:val="fr-FR"/>
        </w:rPr>
        <w:t>article 2 relatif à l</w:t>
      </w:r>
      <w:r w:rsidR="00DB6EAF" w:rsidRPr="001C7B59">
        <w:rPr>
          <w:lang w:val="fr-FR"/>
        </w:rPr>
        <w:t>’</w:t>
      </w:r>
      <w:r w:rsidRPr="001C7B59">
        <w:rPr>
          <w:lang w:val="fr-FR"/>
        </w:rPr>
        <w:t>abrogation de toute loi, disposition réglementaire, coutume ou pratique discriminatoire à l</w:t>
      </w:r>
      <w:r w:rsidR="00DB6EAF" w:rsidRPr="001C7B59">
        <w:rPr>
          <w:lang w:val="fr-FR"/>
        </w:rPr>
        <w:t>’</w:t>
      </w:r>
      <w:r w:rsidRPr="001C7B59">
        <w:rPr>
          <w:lang w:val="fr-FR"/>
        </w:rPr>
        <w:t>égard des femmes reste encore en vigueur, malgré les efforts fournis par l</w:t>
      </w:r>
      <w:r w:rsidR="00DB6EAF" w:rsidRPr="001C7B59">
        <w:rPr>
          <w:lang w:val="fr-FR"/>
        </w:rPr>
        <w:t>’</w:t>
      </w:r>
      <w:r w:rsidR="008E5553">
        <w:rPr>
          <w:lang w:val="fr-FR"/>
        </w:rPr>
        <w:t>État</w:t>
      </w:r>
      <w:r w:rsidRPr="001C7B59">
        <w:rPr>
          <w:lang w:val="fr-FR"/>
        </w:rPr>
        <w:t xml:space="preserve"> dans ce domaine. Cette situation est due à la persistance des pesanteurs socioculturelles. </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w:t>
      </w:r>
      <w:r w:rsidR="00DB6EAF" w:rsidRPr="001C7B59">
        <w:rPr>
          <w:lang w:val="fr-FR"/>
        </w:rPr>
        <w:t>’</w:t>
      </w:r>
      <w:r w:rsidR="004432C5" w:rsidRPr="001C7B59">
        <w:rPr>
          <w:lang w:val="fr-FR"/>
        </w:rPr>
        <w:t>instauration d</w:t>
      </w:r>
      <w:r w:rsidR="00DB6EAF" w:rsidRPr="001C7B59">
        <w:rPr>
          <w:lang w:val="fr-FR"/>
        </w:rPr>
        <w:t>’</w:t>
      </w:r>
      <w:r w:rsidR="004432C5" w:rsidRPr="001C7B59">
        <w:rPr>
          <w:lang w:val="fr-FR"/>
        </w:rPr>
        <w:t>une culture juridique favorable à l</w:t>
      </w:r>
      <w:r w:rsidR="00DB6EAF" w:rsidRPr="001C7B59">
        <w:rPr>
          <w:lang w:val="fr-FR"/>
        </w:rPr>
        <w:t>’</w:t>
      </w:r>
      <w:r w:rsidR="004432C5" w:rsidRPr="001C7B59">
        <w:rPr>
          <w:lang w:val="fr-FR"/>
        </w:rPr>
        <w:t>égalité des sexes</w:t>
      </w:r>
    </w:p>
    <w:p w:rsidR="006E6940" w:rsidRPr="006E6940" w:rsidRDefault="006E6940" w:rsidP="006E694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iCs/>
          <w:lang w:val="fr-FR"/>
        </w:rPr>
        <w:t>Un processus d</w:t>
      </w:r>
      <w:r w:rsidR="00DB6EAF" w:rsidRPr="001C7B59">
        <w:rPr>
          <w:iCs/>
          <w:lang w:val="fr-FR"/>
        </w:rPr>
        <w:t>’</w:t>
      </w:r>
      <w:r w:rsidRPr="001C7B59">
        <w:rPr>
          <w:iCs/>
          <w:lang w:val="fr-FR"/>
        </w:rPr>
        <w:t>élaboration d</w:t>
      </w:r>
      <w:r w:rsidR="00DB6EAF" w:rsidRPr="001C7B59">
        <w:rPr>
          <w:iCs/>
          <w:lang w:val="fr-FR"/>
        </w:rPr>
        <w:t>’</w:t>
      </w:r>
      <w:r w:rsidRPr="001C7B59">
        <w:rPr>
          <w:iCs/>
          <w:lang w:val="fr-FR"/>
        </w:rPr>
        <w:t xml:space="preserve">un projet de statut personnel a été lancé depuis 2005. </w:t>
      </w:r>
      <w:r w:rsidRPr="001C7B59">
        <w:rPr>
          <w:lang w:val="fr-FR"/>
        </w:rPr>
        <w:t>Ce projet de texte vise à mettre fin au pluralisme juridique et à réglementer les rapports familiaux. Il constitue un pas important vers l</w:t>
      </w:r>
      <w:r w:rsidR="00DB6EAF" w:rsidRPr="001C7B59">
        <w:rPr>
          <w:lang w:val="fr-FR"/>
        </w:rPr>
        <w:t>’</w:t>
      </w:r>
      <w:r w:rsidRPr="001C7B59">
        <w:rPr>
          <w:lang w:val="fr-FR"/>
        </w:rPr>
        <w:t>instauration d</w:t>
      </w:r>
      <w:r w:rsidR="00DB6EAF" w:rsidRPr="001C7B59">
        <w:rPr>
          <w:lang w:val="fr-FR"/>
        </w:rPr>
        <w:t>’</w:t>
      </w:r>
      <w:r w:rsidRPr="001C7B59">
        <w:rPr>
          <w:lang w:val="fr-FR"/>
        </w:rPr>
        <w:t>une culture juridique favorable à l</w:t>
      </w:r>
      <w:r w:rsidR="00DB6EAF" w:rsidRPr="001C7B59">
        <w:rPr>
          <w:lang w:val="fr-FR"/>
        </w:rPr>
        <w:t>’</w:t>
      </w:r>
      <w:r w:rsidRPr="001C7B59">
        <w:rPr>
          <w:lang w:val="fr-FR"/>
        </w:rPr>
        <w:t xml:space="preserve">égalité des sexes.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2010, le projet de Statut Personnel a été élaboré de manière participative en prenant en compte les dispositions des coutumes, du droit musulman et des conventions internationales ratifiées par le Niger. Cependant, malgré sa validation technique, le document n</w:t>
      </w:r>
      <w:r w:rsidR="00DB6EAF" w:rsidRPr="001C7B59">
        <w:rPr>
          <w:lang w:val="fr-FR"/>
        </w:rPr>
        <w:t>’</w:t>
      </w:r>
      <w:r w:rsidRPr="001C7B59">
        <w:rPr>
          <w:lang w:val="fr-FR"/>
        </w:rPr>
        <w:t>a pas été adopté en raison de l</w:t>
      </w:r>
      <w:r w:rsidR="00DB6EAF" w:rsidRPr="001C7B59">
        <w:rPr>
          <w:lang w:val="fr-FR"/>
        </w:rPr>
        <w:t>’</w:t>
      </w:r>
      <w:r w:rsidRPr="001C7B59">
        <w:rPr>
          <w:lang w:val="fr-FR"/>
        </w:rPr>
        <w:t>hostilité de certains groupes sociaux.</w:t>
      </w:r>
    </w:p>
    <w:p w:rsidR="006E6940" w:rsidRPr="006E6940" w:rsidRDefault="006E6940" w:rsidP="006E6940">
      <w:pPr>
        <w:pStyle w:val="SingleTxt"/>
        <w:spacing w:after="0" w:line="120" w:lineRule="exact"/>
        <w:rPr>
          <w:sz w:val="10"/>
          <w:lang w:val="fr-FR"/>
        </w:rPr>
      </w:pPr>
    </w:p>
    <w:p w:rsidR="004432C5" w:rsidRPr="001C7B59"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Mesures temporaires en vue d</w:t>
      </w:r>
      <w:r w:rsidR="00DB6EAF" w:rsidRPr="001C7B59">
        <w:rPr>
          <w:lang w:val="fr-FR"/>
        </w:rPr>
        <w:t>’</w:t>
      </w:r>
      <w:r w:rsidR="004432C5" w:rsidRPr="001C7B59">
        <w:rPr>
          <w:lang w:val="fr-FR"/>
        </w:rPr>
        <w:t>accélérer l</w:t>
      </w:r>
      <w:r w:rsidR="00DB6EAF" w:rsidRPr="001C7B59">
        <w:rPr>
          <w:lang w:val="fr-FR"/>
        </w:rPr>
        <w:t>’</w:t>
      </w:r>
      <w:r w:rsidR="004432C5" w:rsidRPr="001C7B59">
        <w:rPr>
          <w:lang w:val="fr-FR"/>
        </w:rPr>
        <w:t xml:space="preserve">égalité entre les hommes </w:t>
      </w:r>
      <w:r>
        <w:rPr>
          <w:lang w:val="fr-FR"/>
        </w:rPr>
        <w:br/>
      </w:r>
      <w:r w:rsidR="004432C5" w:rsidRPr="001C7B59">
        <w:rPr>
          <w:lang w:val="fr-FR"/>
        </w:rPr>
        <w:t xml:space="preserve">et les femmes </w:t>
      </w:r>
      <w:r w:rsidR="00B22D00">
        <w:rPr>
          <w:lang w:val="fr-FR"/>
        </w:rPr>
        <w:t>(art.</w:t>
      </w:r>
      <w:r w:rsidR="004432C5" w:rsidRPr="001C7B59">
        <w:rPr>
          <w:lang w:val="fr-FR"/>
        </w:rPr>
        <w:t xml:space="preserve"> 4)</w:t>
      </w:r>
    </w:p>
    <w:p w:rsidR="006E6940" w:rsidRPr="006E6940" w:rsidRDefault="006E6940" w:rsidP="006E6940">
      <w:pPr>
        <w:pStyle w:val="SingleTxt"/>
        <w:spacing w:after="0" w:line="120" w:lineRule="exact"/>
        <w:rPr>
          <w:sz w:val="10"/>
          <w:lang w:val="fr-FR"/>
        </w:rPr>
      </w:pPr>
    </w:p>
    <w:p w:rsidR="004432C5" w:rsidRDefault="006E6940" w:rsidP="006E69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E5553">
        <w:rPr>
          <w:lang w:val="fr-FR"/>
        </w:rPr>
        <w:t>État</w:t>
      </w:r>
      <w:r w:rsidR="004432C5" w:rsidRPr="001C7B59">
        <w:rPr>
          <w:lang w:val="fr-FR"/>
        </w:rPr>
        <w:t xml:space="preserve"> de mise en œuvre de la loi sur le quota</w:t>
      </w:r>
    </w:p>
    <w:p w:rsidR="006E6940" w:rsidRPr="006E6940" w:rsidRDefault="006E6940" w:rsidP="006E6940">
      <w:pPr>
        <w:pStyle w:val="SingleTxt"/>
        <w:spacing w:after="0" w:line="120" w:lineRule="exact"/>
        <w:rPr>
          <w:sz w:val="10"/>
          <w:lang w:val="fr-FR"/>
        </w:rPr>
      </w:pPr>
    </w:p>
    <w:p w:rsidR="004432C5" w:rsidRPr="001C7B59" w:rsidRDefault="006E6940" w:rsidP="008E5553">
      <w:pPr>
        <w:pStyle w:val="SingleTxt"/>
        <w:numPr>
          <w:ilvl w:val="0"/>
          <w:numId w:val="9"/>
        </w:numPr>
        <w:tabs>
          <w:tab w:val="clear" w:pos="475"/>
          <w:tab w:val="num" w:pos="1742"/>
        </w:tabs>
        <w:ind w:left="1267"/>
        <w:rPr>
          <w:lang w:val="fr-FR"/>
        </w:rPr>
      </w:pPr>
      <w:r>
        <w:rPr>
          <w:lang w:val="fr-FR"/>
        </w:rPr>
        <w:t>La loi n° 2000-</w:t>
      </w:r>
      <w:r w:rsidR="004432C5" w:rsidRPr="001C7B59">
        <w:rPr>
          <w:lang w:val="fr-FR"/>
        </w:rPr>
        <w:t xml:space="preserve">008 du 7 </w:t>
      </w:r>
      <w:r>
        <w:rPr>
          <w:lang w:val="fr-FR"/>
        </w:rPr>
        <w:t>j</w:t>
      </w:r>
      <w:r w:rsidR="004432C5" w:rsidRPr="001C7B59">
        <w:rPr>
          <w:lang w:val="fr-FR"/>
        </w:rPr>
        <w:t>uin 2000 instituant un système de quota dans les fonctions électives, au Gouvernement et dans l</w:t>
      </w:r>
      <w:r w:rsidR="00DB6EAF" w:rsidRPr="001C7B59">
        <w:rPr>
          <w:lang w:val="fr-FR"/>
        </w:rPr>
        <w:t>’</w:t>
      </w:r>
      <w:r w:rsidR="004432C5" w:rsidRPr="001C7B59">
        <w:rPr>
          <w:lang w:val="fr-FR"/>
        </w:rPr>
        <w:t>Administration de l</w:t>
      </w:r>
      <w:r w:rsidR="00DB6EAF" w:rsidRPr="001C7B59">
        <w:rPr>
          <w:lang w:val="fr-FR"/>
        </w:rPr>
        <w:t>’</w:t>
      </w:r>
      <w:r w:rsidR="008E5553">
        <w:rPr>
          <w:lang w:val="fr-FR"/>
        </w:rPr>
        <w:t>État</w:t>
      </w:r>
      <w:r w:rsidR="00DB6EAF" w:rsidRPr="001C7B59">
        <w:rPr>
          <w:lang w:val="fr-FR"/>
        </w:rPr>
        <w:t> :</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DB6EAF" w:rsidRPr="001C7B59">
        <w:rPr>
          <w:lang w:val="fr-FR"/>
        </w:rPr>
        <w:t>’</w:t>
      </w:r>
      <w:r w:rsidR="004432C5" w:rsidRPr="001C7B59">
        <w:rPr>
          <w:lang w:val="fr-FR"/>
        </w:rPr>
        <w:t>article 3 porte sur les quotas précisément en matière d</w:t>
      </w:r>
      <w:r w:rsidR="00DB6EAF" w:rsidRPr="001C7B59">
        <w:rPr>
          <w:lang w:val="fr-FR"/>
        </w:rPr>
        <w:t>’</w:t>
      </w:r>
      <w:r w:rsidR="004432C5" w:rsidRPr="001C7B59">
        <w:rPr>
          <w:lang w:val="fr-FR"/>
        </w:rPr>
        <w:t>élections législatives et locales. L</w:t>
      </w:r>
      <w:r w:rsidR="00DB6EAF" w:rsidRPr="001C7B59">
        <w:rPr>
          <w:lang w:val="fr-FR"/>
        </w:rPr>
        <w:t>’</w:t>
      </w:r>
      <w:r w:rsidR="004432C5" w:rsidRPr="001C7B59">
        <w:rPr>
          <w:lang w:val="fr-FR"/>
        </w:rPr>
        <w:t>alinéa 2 apporte la précision qu</w:t>
      </w:r>
      <w:r w:rsidR="00DB6EAF" w:rsidRPr="001C7B59">
        <w:rPr>
          <w:lang w:val="fr-FR"/>
        </w:rPr>
        <w:t>’</w:t>
      </w:r>
      <w:r w:rsidR="004432C5" w:rsidRPr="001C7B59">
        <w:rPr>
          <w:lang w:val="fr-FR"/>
        </w:rPr>
        <w:t>au résultat final la proportion des candidats élus doit être supérieure ou égal à 10</w:t>
      </w:r>
      <w:r w:rsidR="007B382B">
        <w:rPr>
          <w:lang w:val="fr-FR"/>
        </w:rPr>
        <w:t> %</w:t>
      </w:r>
      <w:r w:rsidR="004432C5"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DB6EAF" w:rsidRPr="001C7B59">
        <w:rPr>
          <w:lang w:val="fr-FR"/>
        </w:rPr>
        <w:t>’</w:t>
      </w:r>
      <w:r w:rsidR="004432C5" w:rsidRPr="001C7B59">
        <w:rPr>
          <w:lang w:val="fr-FR"/>
        </w:rPr>
        <w:t>article 4 porte sur les fonctions nominatives. Il dispose en effet que lors de la nomination des membres du Gouvernement et de la promotion aux emplois supérieurs de l</w:t>
      </w:r>
      <w:r w:rsidR="00DB6EAF" w:rsidRPr="001C7B59">
        <w:rPr>
          <w:lang w:val="fr-FR"/>
        </w:rPr>
        <w:t>’</w:t>
      </w:r>
      <w:r w:rsidR="008E5553">
        <w:rPr>
          <w:lang w:val="fr-FR"/>
        </w:rPr>
        <w:t>État</w:t>
      </w:r>
      <w:r w:rsidR="004432C5" w:rsidRPr="001C7B59">
        <w:rPr>
          <w:lang w:val="fr-FR"/>
        </w:rPr>
        <w:t>, la proportion des personnes de l</w:t>
      </w:r>
      <w:r w:rsidR="00DB6EAF" w:rsidRPr="001C7B59">
        <w:rPr>
          <w:lang w:val="fr-FR"/>
        </w:rPr>
        <w:t>’</w:t>
      </w:r>
      <w:r w:rsidR="004432C5" w:rsidRPr="001C7B59">
        <w:rPr>
          <w:lang w:val="fr-FR"/>
        </w:rPr>
        <w:t>un ou l</w:t>
      </w:r>
      <w:r w:rsidR="00DB6EAF" w:rsidRPr="001C7B59">
        <w:rPr>
          <w:lang w:val="fr-FR"/>
        </w:rPr>
        <w:t>’</w:t>
      </w:r>
      <w:r w:rsidR="004432C5" w:rsidRPr="001C7B59">
        <w:rPr>
          <w:lang w:val="fr-FR"/>
        </w:rPr>
        <w:t>autre sexe ne doit pas être inférieure à 25</w:t>
      </w:r>
      <w:r w:rsidR="007B382B">
        <w:rPr>
          <w:lang w:val="fr-FR"/>
        </w:rPr>
        <w:t> %</w:t>
      </w:r>
      <w:r w:rsidR="004432C5" w:rsidRPr="001C7B59">
        <w:rPr>
          <w:lang w:val="fr-FR"/>
        </w:rPr>
        <w:t>. Autrement dit, il y a obligation aux autorités de nommer parmi les membres du Gouvernement et aux emplois supérieurs de l</w:t>
      </w:r>
      <w:r w:rsidR="00DB6EAF" w:rsidRPr="001C7B59">
        <w:rPr>
          <w:lang w:val="fr-FR"/>
        </w:rPr>
        <w:t>’</w:t>
      </w:r>
      <w:r w:rsidR="008E5553">
        <w:rPr>
          <w:lang w:val="fr-FR"/>
        </w:rPr>
        <w:t>État</w:t>
      </w:r>
      <w:r w:rsidR="004432C5" w:rsidRPr="001C7B59">
        <w:rPr>
          <w:lang w:val="fr-FR"/>
        </w:rPr>
        <w:t xml:space="preserve"> au moins 25</w:t>
      </w:r>
      <w:r w:rsidR="007B382B">
        <w:rPr>
          <w:lang w:val="fr-FR"/>
        </w:rPr>
        <w:t> %</w:t>
      </w:r>
      <w:r w:rsidR="004432C5" w:rsidRPr="001C7B59">
        <w:rPr>
          <w:lang w:val="fr-FR"/>
        </w:rPr>
        <w:t xml:space="preserve"> de l</w:t>
      </w:r>
      <w:r w:rsidR="00DB6EAF" w:rsidRPr="001C7B59">
        <w:rPr>
          <w:lang w:val="fr-FR"/>
        </w:rPr>
        <w:t>’</w:t>
      </w:r>
      <w:r w:rsidR="004432C5" w:rsidRPr="001C7B59">
        <w:rPr>
          <w:lang w:val="fr-FR"/>
        </w:rPr>
        <w:t>un ou de l</w:t>
      </w:r>
      <w:r w:rsidR="00DB6EAF" w:rsidRPr="001C7B59">
        <w:rPr>
          <w:lang w:val="fr-FR"/>
        </w:rPr>
        <w:t>’</w:t>
      </w:r>
      <w:r w:rsidR="004432C5" w:rsidRPr="001C7B59">
        <w:rPr>
          <w:lang w:val="fr-FR"/>
        </w:rPr>
        <w:t>autre sexe.</w:t>
      </w:r>
      <w:r w:rsidR="001C7B59" w:rsidRPr="001C7B59">
        <w:rPr>
          <w:lang w:val="fr-FR"/>
        </w:rPr>
        <w:t xml:space="preserve"> </w:t>
      </w:r>
    </w:p>
    <w:p w:rsidR="004432C5" w:rsidRPr="001C7B59" w:rsidRDefault="004432C5" w:rsidP="008E5553">
      <w:pPr>
        <w:pStyle w:val="SingleTxt"/>
        <w:numPr>
          <w:ilvl w:val="0"/>
          <w:numId w:val="9"/>
        </w:numPr>
        <w:tabs>
          <w:tab w:val="clear" w:pos="475"/>
          <w:tab w:val="num" w:pos="1742"/>
        </w:tabs>
        <w:ind w:left="1267"/>
        <w:rPr>
          <w:iCs/>
          <w:lang w:val="fr-FR"/>
        </w:rPr>
      </w:pPr>
      <w:r w:rsidRPr="001C7B59">
        <w:rPr>
          <w:lang w:val="fr-FR"/>
        </w:rPr>
        <w:t xml:space="preserve">Le </w:t>
      </w:r>
      <w:r w:rsidR="006E6940">
        <w:rPr>
          <w:lang w:val="fr-FR"/>
        </w:rPr>
        <w:t>Gouvernement</w:t>
      </w:r>
      <w:r w:rsidRPr="001C7B59">
        <w:rPr>
          <w:lang w:val="fr-FR"/>
        </w:rPr>
        <w:t xml:space="preserve"> reste sensible aux difficultés quelques fois relevées dans l</w:t>
      </w:r>
      <w:r w:rsidR="00DB6EAF" w:rsidRPr="001C7B59">
        <w:rPr>
          <w:lang w:val="fr-FR"/>
        </w:rPr>
        <w:t>’</w:t>
      </w:r>
      <w:r w:rsidRPr="001C7B59">
        <w:rPr>
          <w:lang w:val="fr-FR"/>
        </w:rPr>
        <w:t>application de cette loi et s</w:t>
      </w:r>
      <w:r w:rsidR="00DB6EAF" w:rsidRPr="001C7B59">
        <w:rPr>
          <w:lang w:val="fr-FR"/>
        </w:rPr>
        <w:t>’</w:t>
      </w:r>
      <w:r w:rsidRPr="001C7B59">
        <w:rPr>
          <w:lang w:val="fr-FR"/>
        </w:rPr>
        <w:t>active progressivement à les surmonter. Le MP/PF/PE a d</w:t>
      </w:r>
      <w:r w:rsidR="00DB6EAF" w:rsidRPr="001C7B59">
        <w:rPr>
          <w:lang w:val="fr-FR"/>
        </w:rPr>
        <w:t>’</w:t>
      </w:r>
      <w:r w:rsidRPr="001C7B59">
        <w:rPr>
          <w:lang w:val="fr-FR"/>
        </w:rPr>
        <w:t xml:space="preserve">ailleurs élaboré, en collaboration avec la société civile, </w:t>
      </w:r>
      <w:r w:rsidRPr="001C7B59">
        <w:rPr>
          <w:iCs/>
          <w:lang w:val="fr-FR"/>
        </w:rPr>
        <w:t>un argumentaire en faveur du rehaussement des taux du quota. Un projet de texte dans ce sens a été soumis au Gouvernement</w:t>
      </w:r>
      <w:r w:rsidRPr="001C7B59">
        <w:rPr>
          <w:lang w:val="fr-FR"/>
        </w:rPr>
        <w:t>.</w:t>
      </w:r>
    </w:p>
    <w:p w:rsidR="004432C5" w:rsidRPr="001C7B59" w:rsidRDefault="004432C5" w:rsidP="008E5553">
      <w:pPr>
        <w:pStyle w:val="SingleTxt"/>
        <w:numPr>
          <w:ilvl w:val="0"/>
          <w:numId w:val="9"/>
        </w:numPr>
        <w:tabs>
          <w:tab w:val="clear" w:pos="475"/>
          <w:tab w:val="num" w:pos="1742"/>
        </w:tabs>
        <w:ind w:left="1267"/>
        <w:rPr>
          <w:iCs/>
          <w:lang w:val="fr-FR"/>
        </w:rPr>
      </w:pPr>
      <w:r w:rsidRPr="001C7B59">
        <w:rPr>
          <w:iCs/>
          <w:lang w:val="fr-FR"/>
        </w:rPr>
        <w:t>Des programmes et projets ont été</w:t>
      </w:r>
      <w:r w:rsidR="001C7B59" w:rsidRPr="001C7B59">
        <w:rPr>
          <w:iCs/>
          <w:lang w:val="fr-FR"/>
        </w:rPr>
        <w:t xml:space="preserve"> </w:t>
      </w:r>
      <w:r w:rsidRPr="001C7B59">
        <w:rPr>
          <w:iCs/>
          <w:lang w:val="fr-FR"/>
        </w:rPr>
        <w:t>aussi mis en œuvre par le MP/PF/PE en vue de rendre effective l</w:t>
      </w:r>
      <w:r w:rsidR="00DB6EAF" w:rsidRPr="001C7B59">
        <w:rPr>
          <w:iCs/>
          <w:lang w:val="fr-FR"/>
        </w:rPr>
        <w:t>’</w:t>
      </w:r>
      <w:r w:rsidRPr="001C7B59">
        <w:rPr>
          <w:iCs/>
          <w:lang w:val="fr-FR"/>
        </w:rPr>
        <w:t>égalité entre les hommes et les femmes. Il s</w:t>
      </w:r>
      <w:r w:rsidR="00DB6EAF" w:rsidRPr="001C7B59">
        <w:rPr>
          <w:iCs/>
          <w:lang w:val="fr-FR"/>
        </w:rPr>
        <w:t>’</w:t>
      </w:r>
      <w:r w:rsidRPr="001C7B59">
        <w:rPr>
          <w:iCs/>
          <w:lang w:val="fr-FR"/>
        </w:rPr>
        <w:t>agit notamment des projets et programmes suivants</w:t>
      </w:r>
      <w:r w:rsidR="00DB6EAF" w:rsidRPr="001C7B59">
        <w:rPr>
          <w:iCs/>
          <w:lang w:val="fr-FR"/>
        </w:rPr>
        <w:t> :</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4432C5" w:rsidRPr="001C7B59">
        <w:rPr>
          <w:lang w:val="fr-FR"/>
        </w:rPr>
        <w:t xml:space="preserve">a </w:t>
      </w:r>
      <w:r>
        <w:rPr>
          <w:lang w:val="fr-FR"/>
        </w:rPr>
        <w:t xml:space="preserve">deuxième </w:t>
      </w:r>
      <w:r w:rsidR="004432C5" w:rsidRPr="001C7B59">
        <w:rPr>
          <w:lang w:val="fr-FR"/>
        </w:rPr>
        <w:t>phase du Projet d</w:t>
      </w:r>
      <w:r w:rsidR="00DB6EAF" w:rsidRPr="001C7B59">
        <w:rPr>
          <w:lang w:val="fr-FR"/>
        </w:rPr>
        <w:t>’</w:t>
      </w:r>
      <w:r w:rsidR="001C7B59" w:rsidRPr="001C7B59">
        <w:rPr>
          <w:lang w:val="fr-FR"/>
        </w:rPr>
        <w:t>augmentation</w:t>
      </w:r>
      <w:r w:rsidR="004432C5" w:rsidRPr="001C7B59">
        <w:rPr>
          <w:lang w:val="fr-FR"/>
        </w:rPr>
        <w:t xml:space="preserve"> des </w:t>
      </w:r>
      <w:r w:rsidR="001C7B59" w:rsidRPr="001C7B59">
        <w:rPr>
          <w:lang w:val="fr-FR"/>
        </w:rPr>
        <w:t>revenu</w:t>
      </w:r>
      <w:r w:rsidR="004432C5" w:rsidRPr="001C7B59">
        <w:rPr>
          <w:lang w:val="fr-FR"/>
        </w:rPr>
        <w:t xml:space="preserve">s </w:t>
      </w:r>
      <w:r w:rsidR="001C7B59" w:rsidRPr="001C7B59">
        <w:rPr>
          <w:lang w:val="fr-FR"/>
        </w:rPr>
        <w:t>monétaire</w:t>
      </w:r>
      <w:r w:rsidR="004432C5" w:rsidRPr="001C7B59">
        <w:rPr>
          <w:lang w:val="fr-FR"/>
        </w:rPr>
        <w:t xml:space="preserve">s des </w:t>
      </w:r>
      <w:r w:rsidR="001C7B59" w:rsidRPr="001C7B59">
        <w:rPr>
          <w:lang w:val="fr-FR"/>
        </w:rPr>
        <w:t>femme</w:t>
      </w:r>
      <w:r w:rsidR="004432C5" w:rsidRPr="001C7B59">
        <w:rPr>
          <w:lang w:val="fr-FR"/>
        </w:rPr>
        <w:t>s de Dosso</w:t>
      </w:r>
      <w:r>
        <w:rPr>
          <w:lang w:val="fr-FR"/>
        </w:rPr>
        <w:t xml:space="preserve"> </w:t>
      </w:r>
      <w:r w:rsidR="004432C5" w:rsidRPr="001C7B59">
        <w:rPr>
          <w:lang w:val="fr-FR"/>
        </w:rPr>
        <w:t>(ARMFD) en mai 2012 avec l</w:t>
      </w:r>
      <w:r w:rsidR="00DB6EAF" w:rsidRPr="001C7B59">
        <w:rPr>
          <w:lang w:val="fr-FR"/>
        </w:rPr>
        <w:t>’</w:t>
      </w:r>
      <w:r w:rsidR="004432C5" w:rsidRPr="001C7B59">
        <w:rPr>
          <w:lang w:val="fr-FR"/>
        </w:rPr>
        <w:t xml:space="preserve">appui de la </w:t>
      </w:r>
      <w:r w:rsidR="007B382B">
        <w:rPr>
          <w:lang w:val="fr-FR"/>
        </w:rPr>
        <w:t>coopération</w:t>
      </w:r>
      <w:r w:rsidR="004432C5" w:rsidRPr="001C7B59">
        <w:rPr>
          <w:lang w:val="fr-FR"/>
        </w:rPr>
        <w:t xml:space="preserve"> </w:t>
      </w:r>
      <w:r w:rsidR="00D60176" w:rsidRPr="001C7B59">
        <w:rPr>
          <w:lang w:val="fr-FR"/>
        </w:rPr>
        <w:t>technique</w:t>
      </w:r>
      <w:r w:rsidR="004432C5" w:rsidRPr="001C7B59">
        <w:rPr>
          <w:lang w:val="fr-FR"/>
        </w:rPr>
        <w:t xml:space="preserve"> </w:t>
      </w:r>
      <w:r w:rsidR="007B382B">
        <w:rPr>
          <w:lang w:val="fr-FR"/>
        </w:rPr>
        <w:t>belge</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4432C5" w:rsidRPr="001C7B59">
        <w:rPr>
          <w:lang w:val="fr-FR"/>
        </w:rPr>
        <w:t xml:space="preserve">e Programme Initiative </w:t>
      </w:r>
      <w:r w:rsidR="001C7B59" w:rsidRPr="001C7B59">
        <w:rPr>
          <w:lang w:val="fr-FR"/>
        </w:rPr>
        <w:t>genre</w:t>
      </w:r>
      <w:r w:rsidR="004432C5" w:rsidRPr="001C7B59">
        <w:rPr>
          <w:lang w:val="fr-FR"/>
        </w:rPr>
        <w:t xml:space="preserve"> (financement FNUAP) commencé depuis 2005;</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4432C5" w:rsidRPr="001C7B59">
        <w:rPr>
          <w:lang w:val="fr-FR"/>
        </w:rPr>
        <w:t xml:space="preserve">e Programme de </w:t>
      </w:r>
      <w:r w:rsidR="00DE024F">
        <w:rPr>
          <w:lang w:val="fr-FR"/>
        </w:rPr>
        <w:t>renforcement</w:t>
      </w:r>
      <w:r w:rsidR="004432C5" w:rsidRPr="001C7B59">
        <w:rPr>
          <w:lang w:val="fr-FR"/>
        </w:rPr>
        <w:t xml:space="preserve"> de l</w:t>
      </w:r>
      <w:r w:rsidR="00DB6EAF" w:rsidRPr="001C7B59">
        <w:rPr>
          <w:lang w:val="fr-FR"/>
        </w:rPr>
        <w:t>’</w:t>
      </w:r>
      <w:r w:rsidR="00DE024F">
        <w:rPr>
          <w:lang w:val="fr-FR"/>
        </w:rPr>
        <w:t>équité</w:t>
      </w:r>
      <w:r w:rsidR="004432C5" w:rsidRPr="001C7B59">
        <w:rPr>
          <w:lang w:val="fr-FR"/>
        </w:rPr>
        <w:t xml:space="preserve"> et du </w:t>
      </w:r>
      <w:r w:rsidR="001C7B59" w:rsidRPr="001C7B59">
        <w:rPr>
          <w:lang w:val="fr-FR"/>
        </w:rPr>
        <w:t>genre</w:t>
      </w:r>
      <w:r w:rsidR="004432C5" w:rsidRPr="001C7B59">
        <w:rPr>
          <w:lang w:val="fr-FR"/>
        </w:rPr>
        <w:t xml:space="preserve"> (PREG) financé par la Banque</w:t>
      </w:r>
      <w:r>
        <w:rPr>
          <w:lang w:val="fr-FR"/>
        </w:rPr>
        <w:t xml:space="preserve"> </w:t>
      </w:r>
      <w:r w:rsidR="007B382B">
        <w:rPr>
          <w:lang w:val="fr-FR"/>
        </w:rPr>
        <w:t>africain</w:t>
      </w:r>
      <w:r w:rsidR="004432C5" w:rsidRPr="001C7B59">
        <w:rPr>
          <w:lang w:val="fr-FR"/>
        </w:rPr>
        <w:t xml:space="preserve">e de </w:t>
      </w:r>
      <w:r w:rsidR="00D60176" w:rsidRPr="001C7B59">
        <w:rPr>
          <w:lang w:val="fr-FR"/>
        </w:rPr>
        <w:t>développement</w:t>
      </w:r>
      <w:r w:rsidR="004432C5" w:rsidRPr="001C7B59">
        <w:rPr>
          <w:lang w:val="fr-FR"/>
        </w:rPr>
        <w:t xml:space="preserve"> (BAD)</w:t>
      </w:r>
      <w:r w:rsidR="00DB6EAF" w:rsidRPr="001C7B59">
        <w:rPr>
          <w:lang w:val="fr-FR"/>
        </w:rPr>
        <w:t>;</w:t>
      </w:r>
      <w:r w:rsidR="004432C5" w:rsidRPr="001C7B59">
        <w:rPr>
          <w:lang w:val="fr-FR"/>
        </w:rPr>
        <w:t xml:space="preserve"> </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4432C5" w:rsidRPr="001C7B59">
        <w:rPr>
          <w:lang w:val="fr-FR"/>
        </w:rPr>
        <w:t>e Projet d</w:t>
      </w:r>
      <w:r w:rsidR="00DB6EAF" w:rsidRPr="001C7B59">
        <w:rPr>
          <w:lang w:val="fr-FR"/>
        </w:rPr>
        <w:t>’</w:t>
      </w:r>
      <w:r w:rsidR="007B382B">
        <w:rPr>
          <w:lang w:val="fr-FR"/>
        </w:rPr>
        <w:t>appui</w:t>
      </w:r>
      <w:r w:rsidR="004432C5" w:rsidRPr="001C7B59">
        <w:rPr>
          <w:lang w:val="fr-FR"/>
        </w:rPr>
        <w:t xml:space="preserve"> </w:t>
      </w:r>
      <w:r w:rsidR="007B382B">
        <w:rPr>
          <w:lang w:val="fr-FR"/>
        </w:rPr>
        <w:t>institutionnel</w:t>
      </w:r>
      <w:r w:rsidR="004432C5" w:rsidRPr="001C7B59">
        <w:rPr>
          <w:lang w:val="fr-FR"/>
        </w:rPr>
        <w:t xml:space="preserve"> financé par la </w:t>
      </w:r>
      <w:r w:rsidR="007B382B">
        <w:rPr>
          <w:lang w:val="fr-FR"/>
        </w:rPr>
        <w:t>coopération</w:t>
      </w:r>
      <w:r w:rsidR="004432C5" w:rsidRPr="001C7B59">
        <w:rPr>
          <w:lang w:val="fr-FR"/>
        </w:rPr>
        <w:t xml:space="preserve"> </w:t>
      </w:r>
      <w:r w:rsidR="007B382B">
        <w:rPr>
          <w:lang w:val="fr-FR"/>
        </w:rPr>
        <w:t>espagnol</w:t>
      </w:r>
      <w:r w:rsidR="004432C5" w:rsidRPr="001C7B59">
        <w:rPr>
          <w:lang w:val="fr-FR"/>
        </w:rPr>
        <w:t>e depuis 2011</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t>L</w:t>
      </w:r>
      <w:r w:rsidR="004432C5" w:rsidRPr="001C7B59">
        <w:rPr>
          <w:lang w:val="fr-FR"/>
        </w:rPr>
        <w:t xml:space="preserve">e Projet </w:t>
      </w:r>
      <w:r w:rsidR="00DE024F">
        <w:rPr>
          <w:lang w:val="fr-FR"/>
        </w:rPr>
        <w:t>démographique</w:t>
      </w:r>
      <w:r w:rsidR="004432C5" w:rsidRPr="001C7B59">
        <w:rPr>
          <w:lang w:val="fr-FR"/>
        </w:rPr>
        <w:t xml:space="preserve"> </w:t>
      </w:r>
      <w:r w:rsidR="00DE024F">
        <w:rPr>
          <w:lang w:val="fr-FR"/>
        </w:rPr>
        <w:t>multisectoriel</w:t>
      </w:r>
      <w:r w:rsidR="004432C5" w:rsidRPr="001C7B59">
        <w:rPr>
          <w:lang w:val="fr-FR"/>
        </w:rPr>
        <w:t xml:space="preserve"> (PRODEM) avec sa composante réduction des disparités en milieu scolaire financé par la Banque </w:t>
      </w:r>
      <w:r>
        <w:rPr>
          <w:lang w:val="fr-FR"/>
        </w:rPr>
        <w:t>mondial</w:t>
      </w:r>
      <w:r w:rsidR="004432C5" w:rsidRPr="001C7B59">
        <w:rPr>
          <w:lang w:val="fr-FR"/>
        </w:rPr>
        <w:t>e.</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 xml:space="preserve">Mesures relatives à la modification des schémas et modèles de comportement, </w:t>
      </w:r>
      <w:r>
        <w:rPr>
          <w:lang w:val="fr-FR"/>
        </w:rPr>
        <w:br/>
      </w:r>
      <w:r w:rsidR="004432C5" w:rsidRPr="001C7B59">
        <w:rPr>
          <w:lang w:val="fr-FR"/>
        </w:rPr>
        <w:t>ainsi qu</w:t>
      </w:r>
      <w:r w:rsidR="00DB6EAF" w:rsidRPr="001C7B59">
        <w:rPr>
          <w:lang w:val="fr-FR"/>
        </w:rPr>
        <w:t>’</w:t>
      </w:r>
      <w:r w:rsidR="004432C5" w:rsidRPr="001C7B59">
        <w:rPr>
          <w:lang w:val="fr-FR"/>
        </w:rPr>
        <w:t>à l</w:t>
      </w:r>
      <w:r w:rsidR="00DB6EAF" w:rsidRPr="001C7B59">
        <w:rPr>
          <w:lang w:val="fr-FR"/>
        </w:rPr>
        <w:t>’</w:t>
      </w:r>
      <w:r w:rsidR="004432C5" w:rsidRPr="001C7B59">
        <w:rPr>
          <w:lang w:val="fr-FR"/>
        </w:rPr>
        <w:t xml:space="preserve">éducation familiale </w:t>
      </w:r>
      <w:r w:rsidR="00B22D00">
        <w:rPr>
          <w:lang w:val="fr-FR"/>
        </w:rPr>
        <w:t>(art.</w:t>
      </w:r>
      <w:r w:rsidR="004432C5" w:rsidRPr="001C7B59">
        <w:rPr>
          <w:lang w:val="fr-FR"/>
        </w:rPr>
        <w:t xml:space="preserve"> 5)</w:t>
      </w:r>
    </w:p>
    <w:p w:rsidR="006E6940" w:rsidRPr="006E6940" w:rsidRDefault="006E6940" w:rsidP="006E694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réserve formulée au point a) de l</w:t>
      </w:r>
      <w:r w:rsidR="00DB6EAF" w:rsidRPr="001C7B59">
        <w:rPr>
          <w:lang w:val="fr-FR"/>
        </w:rPr>
        <w:t>’</w:t>
      </w:r>
      <w:r w:rsidRPr="001C7B59">
        <w:rPr>
          <w:lang w:val="fr-FR"/>
        </w:rPr>
        <w:t>article 5 de la CEDEF est toujours d</w:t>
      </w:r>
      <w:r w:rsidR="00DB6EAF" w:rsidRPr="001C7B59">
        <w:rPr>
          <w:lang w:val="fr-FR"/>
        </w:rPr>
        <w:t>’</w:t>
      </w:r>
      <w:r w:rsidRPr="001C7B59">
        <w:rPr>
          <w:lang w:val="fr-FR"/>
        </w:rPr>
        <w:t>actualité.</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Dans le </w:t>
      </w:r>
      <w:r w:rsidR="006E6940">
        <w:rPr>
          <w:lang w:val="fr-FR"/>
        </w:rPr>
        <w:t>cadre</w:t>
      </w:r>
      <w:r w:rsidRPr="001C7B59">
        <w:rPr>
          <w:lang w:val="fr-FR"/>
        </w:rPr>
        <w:t xml:space="preserve"> du projet IGN, le MP/PF/PE a signé des accords de partenariat pour la prise en compte du genre dans les enseignements à l</w:t>
      </w:r>
      <w:r w:rsidR="00DB6EAF" w:rsidRPr="001C7B59">
        <w:rPr>
          <w:lang w:val="fr-FR"/>
        </w:rPr>
        <w:t>’</w:t>
      </w:r>
      <w:r w:rsidR="00E15F6D" w:rsidRPr="001C7B59">
        <w:rPr>
          <w:lang w:val="fr-FR"/>
        </w:rPr>
        <w:t>École</w:t>
      </w:r>
      <w:r w:rsidRPr="001C7B59">
        <w:rPr>
          <w:lang w:val="fr-FR"/>
        </w:rPr>
        <w:t xml:space="preserve"> </w:t>
      </w:r>
      <w:r w:rsidR="00D60176" w:rsidRPr="001C7B59">
        <w:rPr>
          <w:lang w:val="fr-FR"/>
        </w:rPr>
        <w:t>national</w:t>
      </w:r>
      <w:r w:rsidRPr="001C7B59">
        <w:rPr>
          <w:lang w:val="fr-FR"/>
        </w:rPr>
        <w:t xml:space="preserve">e de </w:t>
      </w:r>
      <w:r w:rsidR="00D60176" w:rsidRPr="001C7B59">
        <w:rPr>
          <w:lang w:val="fr-FR"/>
        </w:rPr>
        <w:t>santé</w:t>
      </w:r>
      <w:r w:rsidRPr="001C7B59">
        <w:rPr>
          <w:lang w:val="fr-FR"/>
        </w:rPr>
        <w:t xml:space="preserve"> </w:t>
      </w:r>
      <w:r w:rsidR="00D60176" w:rsidRPr="001C7B59">
        <w:rPr>
          <w:lang w:val="fr-FR"/>
        </w:rPr>
        <w:t>publi</w:t>
      </w:r>
      <w:r w:rsidRPr="001C7B59">
        <w:rPr>
          <w:lang w:val="fr-FR"/>
        </w:rPr>
        <w:t>que (ENSP) et à l</w:t>
      </w:r>
      <w:r w:rsidR="00DB6EAF" w:rsidRPr="001C7B59">
        <w:rPr>
          <w:lang w:val="fr-FR"/>
        </w:rPr>
        <w:t>’</w:t>
      </w:r>
      <w:r w:rsidRPr="001C7B59">
        <w:rPr>
          <w:lang w:val="fr-FR"/>
        </w:rPr>
        <w:t xml:space="preserve">Institut de </w:t>
      </w:r>
      <w:r w:rsidR="00D60176" w:rsidRPr="001C7B59">
        <w:rPr>
          <w:lang w:val="fr-FR"/>
        </w:rPr>
        <w:t>formation</w:t>
      </w:r>
      <w:r w:rsidRPr="001C7B59">
        <w:rPr>
          <w:lang w:val="fr-FR"/>
        </w:rPr>
        <w:t xml:space="preserve"> aux </w:t>
      </w:r>
      <w:r w:rsidR="00D60176" w:rsidRPr="001C7B59">
        <w:rPr>
          <w:lang w:val="fr-FR"/>
        </w:rPr>
        <w:t>technique</w:t>
      </w:r>
      <w:r w:rsidRPr="001C7B59">
        <w:rPr>
          <w:lang w:val="fr-FR"/>
        </w:rPr>
        <w:t>s de l</w:t>
      </w:r>
      <w:r w:rsidR="00DB6EAF" w:rsidRPr="001C7B59">
        <w:rPr>
          <w:lang w:val="fr-FR"/>
        </w:rPr>
        <w:t>’</w:t>
      </w:r>
      <w:r w:rsidR="00D60176" w:rsidRPr="001C7B59">
        <w:rPr>
          <w:lang w:val="fr-FR"/>
        </w:rPr>
        <w:t>information</w:t>
      </w:r>
      <w:r w:rsidRPr="001C7B59">
        <w:rPr>
          <w:lang w:val="fr-FR"/>
        </w:rPr>
        <w:t xml:space="preserve"> et de la </w:t>
      </w:r>
      <w:r w:rsidR="00D60176" w:rsidRPr="001C7B59">
        <w:rPr>
          <w:lang w:val="fr-FR"/>
        </w:rPr>
        <w:t>communication</w:t>
      </w:r>
      <w:r w:rsidRPr="001C7B59">
        <w:rPr>
          <w:lang w:val="fr-FR"/>
        </w:rPr>
        <w:t xml:space="preserve"> (IFTIC). Deux plans d</w:t>
      </w:r>
      <w:r w:rsidR="00DB6EAF" w:rsidRPr="001C7B59">
        <w:rPr>
          <w:lang w:val="fr-FR"/>
        </w:rPr>
        <w:t>’</w:t>
      </w:r>
      <w:r w:rsidRPr="001C7B59">
        <w:rPr>
          <w:lang w:val="fr-FR"/>
        </w:rPr>
        <w:t xml:space="preserve">actions ont été élaborés et des sessions de formation des dirigeants, cadres et enseignants de ces deux écoles ont été réalisées.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Il est important de souligner par ailleurs que la loi n°2006-16 du 21 juin 2006 fait de la santé de la reproduction un droit tout en s</w:t>
      </w:r>
      <w:r w:rsidR="00DB6EAF" w:rsidRPr="001C7B59">
        <w:rPr>
          <w:lang w:val="fr-FR"/>
        </w:rPr>
        <w:t>’</w:t>
      </w:r>
      <w:r w:rsidRPr="001C7B59">
        <w:rPr>
          <w:lang w:val="fr-FR"/>
        </w:rPr>
        <w:t>inscrivant dans une perspective genre en affirmant qu</w:t>
      </w:r>
      <w:r w:rsidR="00DB6EAF" w:rsidRPr="001C7B59">
        <w:rPr>
          <w:lang w:val="fr-FR"/>
        </w:rPr>
        <w:t>’</w:t>
      </w:r>
      <w:r w:rsidRPr="001C7B59">
        <w:rPr>
          <w:lang w:val="fr-FR"/>
        </w:rPr>
        <w:t>à l</w:t>
      </w:r>
      <w:r w:rsidR="00DB6EAF" w:rsidRPr="001C7B59">
        <w:rPr>
          <w:lang w:val="fr-FR"/>
        </w:rPr>
        <w:t>’</w:t>
      </w:r>
      <w:r w:rsidRPr="001C7B59">
        <w:rPr>
          <w:lang w:val="fr-FR"/>
        </w:rPr>
        <w:t>égard des couples ce droit doit être exercé non pas par l</w:t>
      </w:r>
      <w:r w:rsidR="00DB6EAF" w:rsidRPr="001C7B59">
        <w:rPr>
          <w:lang w:val="fr-FR"/>
        </w:rPr>
        <w:t>’</w:t>
      </w:r>
      <w:r w:rsidRPr="001C7B59">
        <w:rPr>
          <w:lang w:val="fr-FR"/>
        </w:rPr>
        <w:t>un des conjoints, mais par les deux.</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actions en vue de maîtriser l</w:t>
      </w:r>
      <w:r w:rsidR="00DB6EAF" w:rsidRPr="001C7B59">
        <w:rPr>
          <w:lang w:val="fr-FR"/>
        </w:rPr>
        <w:t>’</w:t>
      </w:r>
      <w:r w:rsidRPr="001C7B59">
        <w:rPr>
          <w:lang w:val="fr-FR"/>
        </w:rPr>
        <w:t>ampleur et les déterminants des violences à l</w:t>
      </w:r>
      <w:r w:rsidR="00DB6EAF" w:rsidRPr="001C7B59">
        <w:rPr>
          <w:lang w:val="fr-FR"/>
        </w:rPr>
        <w:t>’</w:t>
      </w:r>
      <w:r w:rsidRPr="001C7B59">
        <w:rPr>
          <w:lang w:val="fr-FR"/>
        </w:rPr>
        <w:t>égard des femmes puis à les combattre se poursuivent. Elles réunissent l</w:t>
      </w:r>
      <w:r w:rsidR="00DB6EAF" w:rsidRPr="001C7B59">
        <w:rPr>
          <w:lang w:val="fr-FR"/>
        </w:rPr>
        <w:t>’</w:t>
      </w:r>
      <w:r w:rsidR="008E5553">
        <w:rPr>
          <w:lang w:val="fr-FR"/>
        </w:rPr>
        <w:t>État</w:t>
      </w:r>
      <w:r w:rsidRPr="001C7B59">
        <w:rPr>
          <w:lang w:val="fr-FR"/>
        </w:rPr>
        <w:t xml:space="preserve">, les OSC et les Partenaires </w:t>
      </w:r>
      <w:r w:rsidR="00D60176" w:rsidRPr="001C7B59">
        <w:rPr>
          <w:lang w:val="fr-FR"/>
        </w:rPr>
        <w:t>technique</w:t>
      </w:r>
      <w:r w:rsidRPr="001C7B59">
        <w:rPr>
          <w:lang w:val="fr-FR"/>
        </w:rPr>
        <w:t xml:space="preserve">s et </w:t>
      </w:r>
      <w:r w:rsidR="00D60176" w:rsidRPr="001C7B59">
        <w:rPr>
          <w:lang w:val="fr-FR"/>
        </w:rPr>
        <w:t>financier</w:t>
      </w:r>
      <w:r w:rsidRPr="001C7B59">
        <w:rPr>
          <w:lang w:val="fr-FR"/>
        </w:rPr>
        <w:t>s (PTF).</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tribunaux tiennent compte de l</w:t>
      </w:r>
      <w:r w:rsidR="00DB6EAF" w:rsidRPr="001C7B59">
        <w:rPr>
          <w:lang w:val="fr-FR"/>
        </w:rPr>
        <w:t>’</w:t>
      </w:r>
      <w:r w:rsidRPr="001C7B59">
        <w:rPr>
          <w:lang w:val="fr-FR"/>
        </w:rPr>
        <w:t>intérêt supérieur de l</w:t>
      </w:r>
      <w:r w:rsidR="00DB6EAF" w:rsidRPr="001C7B59">
        <w:rPr>
          <w:lang w:val="fr-FR"/>
        </w:rPr>
        <w:t>’</w:t>
      </w:r>
      <w:r w:rsidRPr="001C7B59">
        <w:rPr>
          <w:lang w:val="fr-FR"/>
        </w:rPr>
        <w:t>enfant dans toutes décisions le concernant et notamment lorsqu</w:t>
      </w:r>
      <w:r w:rsidR="00DB6EAF" w:rsidRPr="001C7B59">
        <w:rPr>
          <w:lang w:val="fr-FR"/>
        </w:rPr>
        <w:t>’</w:t>
      </w:r>
      <w:r w:rsidRPr="001C7B59">
        <w:rPr>
          <w:lang w:val="fr-FR"/>
        </w:rPr>
        <w:t>il s</w:t>
      </w:r>
      <w:r w:rsidR="00DB6EAF" w:rsidRPr="001C7B59">
        <w:rPr>
          <w:lang w:val="fr-FR"/>
        </w:rPr>
        <w:t>’</w:t>
      </w:r>
      <w:r w:rsidRPr="001C7B59">
        <w:rPr>
          <w:lang w:val="fr-FR"/>
        </w:rPr>
        <w:t>agit de confier sa garde à l</w:t>
      </w:r>
      <w:r w:rsidR="00DB6EAF" w:rsidRPr="001C7B59">
        <w:rPr>
          <w:lang w:val="fr-FR"/>
        </w:rPr>
        <w:t>’</w:t>
      </w:r>
      <w:r w:rsidRPr="001C7B59">
        <w:rPr>
          <w:lang w:val="fr-FR"/>
        </w:rPr>
        <w:t xml:space="preserve">un de ses parents en cas de séparation. </w:t>
      </w:r>
    </w:p>
    <w:p w:rsidR="004432C5" w:rsidRPr="001C7B59" w:rsidRDefault="004432C5" w:rsidP="004432C5">
      <w:pPr>
        <w:pStyle w:val="SingleTxt"/>
        <w:rPr>
          <w:bCs/>
          <w:lang w:val="fr-FR"/>
        </w:rPr>
      </w:pPr>
      <w:r w:rsidRPr="001C7B59">
        <w:rPr>
          <w:bCs/>
          <w:lang w:val="fr-FR"/>
        </w:rPr>
        <w:t>Les juridictions pour mineurs sont présentes au niveau de tous les Tribunaux de Grande Instances (TGI) et tribunaux d</w:t>
      </w:r>
      <w:r w:rsidR="00DB6EAF" w:rsidRPr="001C7B59">
        <w:rPr>
          <w:bCs/>
          <w:lang w:val="fr-FR"/>
        </w:rPr>
        <w:t>’</w:t>
      </w:r>
      <w:r w:rsidRPr="001C7B59">
        <w:rPr>
          <w:bCs/>
          <w:lang w:val="fr-FR"/>
        </w:rPr>
        <w:t>instance du pays.</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Mesures pour supprimer le trafic et l</w:t>
      </w:r>
      <w:r w:rsidR="00DB6EAF" w:rsidRPr="001C7B59">
        <w:rPr>
          <w:lang w:val="fr-FR"/>
        </w:rPr>
        <w:t>’</w:t>
      </w:r>
      <w:r w:rsidR="004432C5" w:rsidRPr="001C7B59">
        <w:rPr>
          <w:lang w:val="fr-FR"/>
        </w:rPr>
        <w:t xml:space="preserve">exploitation de la prostitution des femmes </w:t>
      </w:r>
      <w:r>
        <w:rPr>
          <w:lang w:val="fr-FR"/>
        </w:rPr>
        <w:br/>
      </w:r>
      <w:r w:rsidR="00B22D00">
        <w:rPr>
          <w:lang w:val="fr-FR"/>
        </w:rPr>
        <w:t>(art.</w:t>
      </w:r>
      <w:r w:rsidR="004432C5" w:rsidRPr="001C7B59">
        <w:rPr>
          <w:lang w:val="fr-FR"/>
        </w:rPr>
        <w:t xml:space="preserve"> 6) </w:t>
      </w:r>
    </w:p>
    <w:p w:rsidR="006E6940" w:rsidRPr="006E6940" w:rsidRDefault="006E6940" w:rsidP="006E694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Plusieurs mesures juridiques, institutionnelles et administratives ont été prises pour</w:t>
      </w:r>
      <w:r w:rsidR="001C7B59" w:rsidRPr="001C7B59">
        <w:rPr>
          <w:lang w:val="fr-FR"/>
        </w:rPr>
        <w:t xml:space="preserve"> </w:t>
      </w:r>
      <w:r w:rsidRPr="001C7B59">
        <w:rPr>
          <w:lang w:val="fr-FR"/>
        </w:rPr>
        <w:t>lutter contre le trafic et l</w:t>
      </w:r>
      <w:r w:rsidR="00DB6EAF" w:rsidRPr="001C7B59">
        <w:rPr>
          <w:lang w:val="fr-FR"/>
        </w:rPr>
        <w:t>’</w:t>
      </w:r>
      <w:r w:rsidRPr="001C7B59">
        <w:rPr>
          <w:lang w:val="fr-FR"/>
        </w:rPr>
        <w:t>exploitation de la prostitution</w:t>
      </w:r>
      <w:r w:rsidR="001C7B59" w:rsidRPr="001C7B59">
        <w:rPr>
          <w:lang w:val="fr-FR"/>
        </w:rPr>
        <w:t xml:space="preserve"> </w:t>
      </w:r>
      <w:r w:rsidRPr="001C7B59">
        <w:rPr>
          <w:lang w:val="fr-FR"/>
        </w:rPr>
        <w:t>des femmes.</w:t>
      </w:r>
    </w:p>
    <w:p w:rsidR="004432C5" w:rsidRPr="001C7B59" w:rsidRDefault="004432C5" w:rsidP="004432C5">
      <w:pPr>
        <w:pStyle w:val="SingleTxt"/>
        <w:rPr>
          <w:bCs/>
          <w:lang w:val="fr-FR"/>
        </w:rPr>
      </w:pPr>
      <w:r w:rsidRPr="001C7B59">
        <w:rPr>
          <w:bCs/>
          <w:lang w:val="fr-FR"/>
        </w:rPr>
        <w:t>Selon le rapport annuel de la mise en œuvre de la Déclaration de Politique Générale du Gouvernement de 2012, les actions ci-après ont été réalisées</w:t>
      </w:r>
      <w:r w:rsidR="00DB6EAF" w:rsidRPr="001C7B59">
        <w:rPr>
          <w:bCs/>
          <w:lang w:val="fr-FR"/>
        </w:rPr>
        <w:t> :</w:t>
      </w:r>
    </w:p>
    <w:p w:rsidR="004432C5" w:rsidRPr="001C7B59" w:rsidRDefault="004432C5" w:rsidP="004432C5">
      <w:pPr>
        <w:pStyle w:val="SingleTxt"/>
        <w:numPr>
          <w:ilvl w:val="0"/>
          <w:numId w:val="7"/>
        </w:numPr>
        <w:rPr>
          <w:bCs/>
          <w:lang w:val="fr-FR"/>
        </w:rPr>
      </w:pPr>
      <w:r w:rsidRPr="001C7B59">
        <w:rPr>
          <w:bCs/>
          <w:lang w:val="fr-FR"/>
        </w:rPr>
        <w:t>Sur le plan juridique et institutionnel, les textes ci-après ont été adoptés</w:t>
      </w:r>
      <w:r w:rsidR="00DB6EAF" w:rsidRPr="001C7B59">
        <w:rPr>
          <w:bCs/>
          <w:lang w:val="fr-FR"/>
        </w:rPr>
        <w:t> :</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lang w:val="fr-FR"/>
        </w:rPr>
        <w:t>a loi n</w:t>
      </w:r>
      <w:r w:rsidRPr="006E6940">
        <w:rPr>
          <w:vertAlign w:val="superscript"/>
          <w:lang w:val="fr-FR"/>
        </w:rPr>
        <w:t>o</w:t>
      </w:r>
      <w:r>
        <w:rPr>
          <w:lang w:val="fr-FR"/>
        </w:rPr>
        <w:t xml:space="preserve"> </w:t>
      </w:r>
      <w:r w:rsidR="004432C5" w:rsidRPr="001C7B59">
        <w:rPr>
          <w:lang w:val="fr-FR"/>
        </w:rPr>
        <w:t>61-27 du 15 juillet 1961 instituant le Code pénal et les textes modificatifs subséquents</w:t>
      </w:r>
      <w:r w:rsidR="00DB6EAF" w:rsidRPr="001C7B59">
        <w:rPr>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DB6EAF" w:rsidRPr="001C7B59">
        <w:rPr>
          <w:iCs/>
          <w:lang w:val="fr-FR"/>
        </w:rPr>
        <w:t>’</w:t>
      </w:r>
      <w:r>
        <w:rPr>
          <w:iCs/>
          <w:lang w:val="fr-FR"/>
        </w:rPr>
        <w:t>ordonnance n</w:t>
      </w:r>
      <w:r w:rsidRPr="006E6940">
        <w:rPr>
          <w:iCs/>
          <w:vertAlign w:val="superscript"/>
          <w:lang w:val="fr-FR"/>
        </w:rPr>
        <w:t>o</w:t>
      </w:r>
      <w:r>
        <w:rPr>
          <w:iCs/>
          <w:lang w:val="fr-FR"/>
        </w:rPr>
        <w:t> 2010- 086/P/CSRD/MJ/DH du 16 </w:t>
      </w:r>
      <w:r w:rsidR="004432C5" w:rsidRPr="001C7B59">
        <w:rPr>
          <w:iCs/>
          <w:lang w:val="fr-FR"/>
        </w:rPr>
        <w:t>décembre 2010 relative à la lutte contre la traite des personnes</w:t>
      </w:r>
      <w:r w:rsidR="00DB6EAF" w:rsidRPr="001C7B59">
        <w:rPr>
          <w:iCs/>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Pr>
          <w:iCs/>
          <w:lang w:val="fr-FR"/>
        </w:rPr>
        <w:t>Le décret n</w:t>
      </w:r>
      <w:r w:rsidRPr="006E6940">
        <w:rPr>
          <w:iCs/>
          <w:vertAlign w:val="superscript"/>
          <w:lang w:val="fr-FR"/>
        </w:rPr>
        <w:t>o</w:t>
      </w:r>
      <w:r>
        <w:rPr>
          <w:iCs/>
          <w:lang w:val="fr-FR"/>
        </w:rPr>
        <w:t> </w:t>
      </w:r>
      <w:r w:rsidR="004432C5" w:rsidRPr="001C7B59">
        <w:rPr>
          <w:iCs/>
          <w:lang w:val="fr-FR"/>
        </w:rPr>
        <w:t>2012-</w:t>
      </w:r>
      <w:r>
        <w:rPr>
          <w:iCs/>
          <w:lang w:val="fr-FR"/>
        </w:rPr>
        <w:t>082/PRN/MJ du 21 </w:t>
      </w:r>
      <w:r w:rsidR="004432C5" w:rsidRPr="001C7B59">
        <w:rPr>
          <w:iCs/>
          <w:lang w:val="fr-FR"/>
        </w:rPr>
        <w:t>mars 2012 déterminant l</w:t>
      </w:r>
      <w:r w:rsidR="00DB6EAF" w:rsidRPr="001C7B59">
        <w:rPr>
          <w:iCs/>
          <w:lang w:val="fr-FR"/>
        </w:rPr>
        <w:t>’</w:t>
      </w:r>
      <w:r w:rsidR="004432C5" w:rsidRPr="001C7B59">
        <w:rPr>
          <w:iCs/>
          <w:lang w:val="fr-FR"/>
        </w:rPr>
        <w:t xml:space="preserve">organisation, la composition, et le fonctionnement de la Commission </w:t>
      </w:r>
      <w:r w:rsidR="00D60176" w:rsidRPr="001C7B59">
        <w:rPr>
          <w:iCs/>
          <w:lang w:val="fr-FR"/>
        </w:rPr>
        <w:t>national</w:t>
      </w:r>
      <w:r w:rsidR="004432C5" w:rsidRPr="001C7B59">
        <w:rPr>
          <w:iCs/>
          <w:lang w:val="fr-FR"/>
        </w:rPr>
        <w:t xml:space="preserve">e de Coordination et de </w:t>
      </w:r>
      <w:r>
        <w:rPr>
          <w:iCs/>
          <w:lang w:val="fr-FR"/>
        </w:rPr>
        <w:t>lutte</w:t>
      </w:r>
      <w:r w:rsidR="004432C5" w:rsidRPr="001C7B59">
        <w:rPr>
          <w:iCs/>
          <w:lang w:val="fr-FR"/>
        </w:rPr>
        <w:t xml:space="preserve"> contre la </w:t>
      </w:r>
      <w:r>
        <w:rPr>
          <w:iCs/>
          <w:lang w:val="fr-FR"/>
        </w:rPr>
        <w:t>traite des personnes</w:t>
      </w:r>
      <w:r w:rsidR="00DB6EAF" w:rsidRPr="001C7B59">
        <w:rPr>
          <w:iCs/>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iCs/>
          <w:lang w:val="fr-FR"/>
        </w:rPr>
        <w:t>e décret n</w:t>
      </w:r>
      <w:r w:rsidRPr="006E6940">
        <w:rPr>
          <w:iCs/>
          <w:vertAlign w:val="superscript"/>
          <w:lang w:val="fr-FR"/>
        </w:rPr>
        <w:t>o</w:t>
      </w:r>
      <w:r>
        <w:rPr>
          <w:iCs/>
          <w:lang w:val="fr-FR"/>
        </w:rPr>
        <w:t>°2012-083/PRN/MJ du 21 </w:t>
      </w:r>
      <w:r w:rsidR="004432C5" w:rsidRPr="001C7B59">
        <w:rPr>
          <w:iCs/>
          <w:lang w:val="fr-FR"/>
        </w:rPr>
        <w:t>mars 2012 déterminant l</w:t>
      </w:r>
      <w:r w:rsidR="00DB6EAF" w:rsidRPr="001C7B59">
        <w:rPr>
          <w:iCs/>
          <w:lang w:val="fr-FR"/>
        </w:rPr>
        <w:t>’</w:t>
      </w:r>
      <w:r w:rsidR="004432C5" w:rsidRPr="001C7B59">
        <w:rPr>
          <w:iCs/>
          <w:lang w:val="fr-FR"/>
        </w:rPr>
        <w:t>organisation, la composition et les modalités de fonctionnement de l</w:t>
      </w:r>
      <w:r w:rsidR="00DB6EAF" w:rsidRPr="001C7B59">
        <w:rPr>
          <w:iCs/>
          <w:lang w:val="fr-FR"/>
        </w:rPr>
        <w:t>’</w:t>
      </w:r>
      <w:r w:rsidR="004432C5" w:rsidRPr="001C7B59">
        <w:rPr>
          <w:iCs/>
          <w:lang w:val="fr-FR"/>
        </w:rPr>
        <w:t xml:space="preserve">Agence </w:t>
      </w:r>
      <w:r w:rsidR="00D60176" w:rsidRPr="001C7B59">
        <w:rPr>
          <w:iCs/>
          <w:lang w:val="fr-FR"/>
        </w:rPr>
        <w:t>national</w:t>
      </w:r>
      <w:r w:rsidR="004432C5" w:rsidRPr="001C7B59">
        <w:rPr>
          <w:iCs/>
          <w:lang w:val="fr-FR"/>
        </w:rPr>
        <w:t xml:space="preserve">e de lutte contre la </w:t>
      </w:r>
      <w:r>
        <w:rPr>
          <w:iCs/>
          <w:lang w:val="fr-FR"/>
        </w:rPr>
        <w:t>traite des personnes</w:t>
      </w:r>
      <w:r w:rsidR="00DB6EAF" w:rsidRPr="001C7B59">
        <w:rPr>
          <w:iCs/>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lang w:val="fr-FR"/>
        </w:rPr>
        <w:t>a création d</w:t>
      </w:r>
      <w:r w:rsidR="00DB6EAF" w:rsidRPr="001C7B59">
        <w:rPr>
          <w:lang w:val="fr-FR"/>
        </w:rPr>
        <w:t>’</w:t>
      </w:r>
      <w:r w:rsidR="004432C5" w:rsidRPr="001C7B59">
        <w:rPr>
          <w:lang w:val="fr-FR"/>
        </w:rPr>
        <w:t xml:space="preserve">un service central des mineurs et des femmes par arrêté </w:t>
      </w:r>
      <w:r w:rsidR="004432C5" w:rsidRPr="00C26C46">
        <w:t>n</w:t>
      </w:r>
      <w:r w:rsidR="00C26C46" w:rsidRPr="00C26C46">
        <w:rPr>
          <w:vertAlign w:val="superscript"/>
        </w:rPr>
        <w:t>o</w:t>
      </w:r>
      <w:r w:rsidR="00C26C46">
        <w:t> </w:t>
      </w:r>
      <w:r w:rsidR="004432C5" w:rsidRPr="00C26C46">
        <w:t>2011</w:t>
      </w:r>
      <w:r w:rsidR="004432C5" w:rsidRPr="001C7B59">
        <w:rPr>
          <w:lang w:val="fr-FR"/>
        </w:rPr>
        <w:t>-046/MI/</w:t>
      </w:r>
      <w:hyperlink r:id="rId16" w:history="1">
        <w:r w:rsidR="004432C5" w:rsidRPr="001C7B59">
          <w:rPr>
            <w:rStyle w:val="Hyperlink"/>
            <w:lang w:val="fr-FR"/>
          </w:rPr>
          <w:t>S/D/AR/DGPN</w:t>
        </w:r>
      </w:hyperlink>
      <w:r w:rsidR="004432C5" w:rsidRPr="001C7B59">
        <w:rPr>
          <w:lang w:val="fr-FR"/>
        </w:rPr>
        <w:t xml:space="preserve"> du 28 janvier 2011.</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Pr>
          <w:lang w:val="fr-FR"/>
        </w:rPr>
        <w:tab/>
        <w:t>•</w:t>
      </w:r>
      <w:r>
        <w:rPr>
          <w:lang w:val="fr-FR"/>
        </w:rPr>
        <w:tab/>
      </w:r>
      <w:r>
        <w:rPr>
          <w:bCs/>
          <w:lang w:val="fr-FR"/>
        </w:rPr>
        <w:t>S</w:t>
      </w:r>
      <w:r w:rsidR="004432C5" w:rsidRPr="001C7B59">
        <w:rPr>
          <w:bCs/>
          <w:lang w:val="fr-FR"/>
        </w:rPr>
        <w:t>ur le plan administratif, les actions suivantes ont été réalisées</w:t>
      </w:r>
      <w:r>
        <w:rPr>
          <w:bCs/>
          <w:lang w:val="fr-FR"/>
        </w:rPr>
        <w:t> </w:t>
      </w:r>
      <w:r w:rsidR="004432C5" w:rsidRPr="001C7B59">
        <w:rPr>
          <w:bCs/>
          <w:lang w:val="fr-FR"/>
        </w:rPr>
        <w:t xml:space="preserve">: </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lang w:val="fr-FR"/>
        </w:rPr>
        <w:t>e recrutement de 1</w:t>
      </w:r>
      <w:r>
        <w:rPr>
          <w:lang w:val="fr-FR"/>
        </w:rPr>
        <w:t xml:space="preserve"> </w:t>
      </w:r>
      <w:r w:rsidR="004432C5" w:rsidRPr="001C7B59">
        <w:rPr>
          <w:lang w:val="fr-FR"/>
        </w:rPr>
        <w:t>012 agents de police</w:t>
      </w:r>
      <w:r w:rsidR="00DB6EAF" w:rsidRPr="001C7B59">
        <w:rPr>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lang w:val="fr-FR"/>
        </w:rPr>
        <w:t>a formation des agents de police sur le maintien de l</w:t>
      </w:r>
      <w:r w:rsidR="00DB6EAF" w:rsidRPr="001C7B59">
        <w:rPr>
          <w:lang w:val="fr-FR"/>
        </w:rPr>
        <w:t>’</w:t>
      </w:r>
      <w:r w:rsidR="004432C5" w:rsidRPr="001C7B59">
        <w:rPr>
          <w:lang w:val="fr-FR"/>
        </w:rPr>
        <w:t>ordre public, la traite des êtres humains et l</w:t>
      </w:r>
      <w:r w:rsidR="00DB6EAF" w:rsidRPr="001C7B59">
        <w:rPr>
          <w:lang w:val="fr-FR"/>
        </w:rPr>
        <w:t>’</w:t>
      </w:r>
      <w:r w:rsidR="004432C5" w:rsidRPr="001C7B59">
        <w:rPr>
          <w:lang w:val="fr-FR"/>
        </w:rPr>
        <w:t>approche genre basée sur les droits de l</w:t>
      </w:r>
      <w:r w:rsidR="00DB6EAF" w:rsidRPr="001C7B59">
        <w:rPr>
          <w:lang w:val="fr-FR"/>
        </w:rPr>
        <w:t>’</w:t>
      </w:r>
      <w:r w:rsidR="00B22D00">
        <w:rPr>
          <w:lang w:val="fr-FR"/>
        </w:rPr>
        <w:t>homme</w:t>
      </w:r>
      <w:r w:rsidR="00DB6EAF" w:rsidRPr="001C7B59">
        <w:rPr>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4432C5" w:rsidRPr="001C7B59">
        <w:rPr>
          <w:lang w:val="fr-FR"/>
        </w:rPr>
        <w:t xml:space="preserve">a formation en genre et droits humains de </w:t>
      </w:r>
      <w:r>
        <w:rPr>
          <w:lang w:val="fr-FR"/>
        </w:rPr>
        <w:t xml:space="preserve">90 cadres centraux et régionaux </w:t>
      </w:r>
      <w:r w:rsidR="004432C5" w:rsidRPr="001C7B59">
        <w:rPr>
          <w:lang w:val="fr-FR"/>
        </w:rPr>
        <w:t>du MP/PF/PE;</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DB6EAF" w:rsidRPr="001C7B59">
        <w:rPr>
          <w:lang w:val="fr-FR"/>
        </w:rPr>
        <w:t>’</w:t>
      </w:r>
      <w:r w:rsidR="004432C5" w:rsidRPr="001C7B59">
        <w:rPr>
          <w:lang w:val="fr-FR"/>
        </w:rPr>
        <w:t>organisation d</w:t>
      </w:r>
      <w:r w:rsidR="00DB6EAF" w:rsidRPr="001C7B59">
        <w:rPr>
          <w:lang w:val="fr-FR"/>
        </w:rPr>
        <w:t>’</w:t>
      </w:r>
      <w:r w:rsidR="004432C5" w:rsidRPr="001C7B59">
        <w:rPr>
          <w:lang w:val="fr-FR"/>
        </w:rPr>
        <w:t>un forum international sur la paix, la sécurité et le développement dans l</w:t>
      </w:r>
      <w:r w:rsidR="00DB6EAF" w:rsidRPr="001C7B59">
        <w:rPr>
          <w:lang w:val="fr-FR"/>
        </w:rPr>
        <w:t>’</w:t>
      </w:r>
      <w:r w:rsidR="004432C5" w:rsidRPr="001C7B59">
        <w:rPr>
          <w:lang w:val="fr-FR"/>
        </w:rPr>
        <w:t>espace sahélo saharien;</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DB6EAF" w:rsidRPr="001C7B59">
        <w:rPr>
          <w:lang w:val="fr-FR"/>
        </w:rPr>
        <w:t>’</w:t>
      </w:r>
      <w:r w:rsidR="004432C5" w:rsidRPr="001C7B59">
        <w:rPr>
          <w:lang w:val="fr-FR"/>
        </w:rPr>
        <w:t>organisation d</w:t>
      </w:r>
      <w:r w:rsidR="00DB6EAF" w:rsidRPr="001C7B59">
        <w:rPr>
          <w:lang w:val="fr-FR"/>
        </w:rPr>
        <w:t>’</w:t>
      </w:r>
      <w:r w:rsidR="004432C5" w:rsidRPr="001C7B59">
        <w:rPr>
          <w:lang w:val="fr-FR"/>
        </w:rPr>
        <w:t xml:space="preserve">un forum national sur </w:t>
      </w:r>
      <w:r w:rsidR="001C7B59" w:rsidRPr="001C7B59">
        <w:rPr>
          <w:lang w:val="fr-FR"/>
        </w:rPr>
        <w:t>femme</w:t>
      </w:r>
      <w:r w:rsidR="004432C5" w:rsidRPr="001C7B59">
        <w:rPr>
          <w:lang w:val="fr-FR"/>
        </w:rPr>
        <w:t xml:space="preserve">s, </w:t>
      </w:r>
      <w:r>
        <w:rPr>
          <w:lang w:val="fr-FR"/>
        </w:rPr>
        <w:t>p</w:t>
      </w:r>
      <w:r w:rsidR="004432C5" w:rsidRPr="001C7B59">
        <w:rPr>
          <w:lang w:val="fr-FR"/>
        </w:rPr>
        <w:t xml:space="preserve">aix et </w:t>
      </w:r>
      <w:r>
        <w:rPr>
          <w:lang w:val="fr-FR"/>
        </w:rPr>
        <w:t>s</w:t>
      </w:r>
      <w:r w:rsidR="004432C5" w:rsidRPr="001C7B59">
        <w:rPr>
          <w:lang w:val="fr-FR"/>
        </w:rPr>
        <w:t>écurité</w:t>
      </w:r>
      <w:r w:rsidR="00DB6EAF" w:rsidRPr="001C7B59">
        <w:rPr>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t>L</w:t>
      </w:r>
      <w:r w:rsidR="00DB6EAF" w:rsidRPr="001C7B59">
        <w:rPr>
          <w:lang w:val="fr-FR"/>
        </w:rPr>
        <w:t>’</w:t>
      </w:r>
      <w:r w:rsidR="004432C5" w:rsidRPr="001C7B59">
        <w:rPr>
          <w:lang w:val="fr-FR"/>
        </w:rPr>
        <w:t>organisation des campagnes de communication sur la traite des personnes et le travail des enfants réalisées par des ONG au niveau des différentes régions du pays.</w:t>
      </w:r>
    </w:p>
    <w:p w:rsidR="006E6940" w:rsidRPr="006E6940" w:rsidRDefault="006E6940" w:rsidP="006E6940">
      <w:pPr>
        <w:pStyle w:val="SingleTxt"/>
        <w:spacing w:after="0" w:line="120" w:lineRule="exact"/>
        <w:rPr>
          <w:sz w:val="10"/>
          <w:lang w:val="fr-FR"/>
        </w:rPr>
      </w:pPr>
    </w:p>
    <w:p w:rsidR="004432C5" w:rsidRDefault="004432C5" w:rsidP="006E69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t>II.</w:t>
      </w:r>
      <w:r w:rsidRPr="001C7B59">
        <w:rPr>
          <w:lang w:val="fr-FR"/>
        </w:rPr>
        <w:tab/>
        <w:t xml:space="preserve">Articles 7 à 9 </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 xml:space="preserve">La participation des femmes à la vie politique et publique </w:t>
      </w:r>
      <w:r w:rsidR="00B22D00">
        <w:rPr>
          <w:lang w:val="fr-FR"/>
        </w:rPr>
        <w:t>(art.</w:t>
      </w:r>
      <w:r w:rsidR="004432C5" w:rsidRPr="001C7B59">
        <w:rPr>
          <w:lang w:val="fr-FR"/>
        </w:rPr>
        <w:t xml:space="preserve"> 7)</w:t>
      </w:r>
    </w:p>
    <w:p w:rsidR="006E6940" w:rsidRPr="006E6940" w:rsidRDefault="006E6940" w:rsidP="006E694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Constitution du 25 novembre 2010, notamment en ses articles 8 et 9, consacre la participation de tous les citoyens à la vie publique et politique sans considération de sexe, d</w:t>
      </w:r>
      <w:r w:rsidR="00DB6EAF" w:rsidRPr="001C7B59">
        <w:rPr>
          <w:lang w:val="fr-FR"/>
        </w:rPr>
        <w:t>’</w:t>
      </w:r>
      <w:r w:rsidRPr="001C7B59">
        <w:rPr>
          <w:lang w:val="fr-FR"/>
        </w:rPr>
        <w:t>origine sociale, raciale, ethnique, religieuse et dans des conditions d</w:t>
      </w:r>
      <w:r w:rsidR="00DB6EAF" w:rsidRPr="001C7B59">
        <w:rPr>
          <w:lang w:val="fr-FR"/>
        </w:rPr>
        <w:t>’</w:t>
      </w:r>
      <w:r w:rsidRPr="001C7B59">
        <w:rPr>
          <w:lang w:val="fr-FR"/>
        </w:rPr>
        <w:t>égalité. Elle reconnait également la liberté d</w:t>
      </w:r>
      <w:r w:rsidR="00DB6EAF" w:rsidRPr="001C7B59">
        <w:rPr>
          <w:lang w:val="fr-FR"/>
        </w:rPr>
        <w:t>’</w:t>
      </w:r>
      <w:r w:rsidRPr="001C7B59">
        <w:rPr>
          <w:lang w:val="fr-FR"/>
        </w:rPr>
        <w:t>association, de culte, d</w:t>
      </w:r>
      <w:r w:rsidR="00DB6EAF" w:rsidRPr="001C7B59">
        <w:rPr>
          <w:lang w:val="fr-FR"/>
        </w:rPr>
        <w:t>’</w:t>
      </w:r>
      <w:r w:rsidRPr="001C7B59">
        <w:rPr>
          <w:lang w:val="fr-FR"/>
        </w:rPr>
        <w:t>expression, d</w:t>
      </w:r>
      <w:r w:rsidR="00DB6EAF" w:rsidRPr="001C7B59">
        <w:rPr>
          <w:lang w:val="fr-FR"/>
        </w:rPr>
        <w:t>’</w:t>
      </w:r>
      <w:r w:rsidRPr="001C7B59">
        <w:rPr>
          <w:lang w:val="fr-FR"/>
        </w:rPr>
        <w:t>être électeur et éligible dans les conditions prévues par la loi.</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efforts fournis par les structures étatiques et la société civile en matière de sensibilisation et de renforcement des capacités des femmes sur le leadership féminin ont permis aux femmes d</w:t>
      </w:r>
      <w:r w:rsidR="00DB6EAF" w:rsidRPr="001C7B59">
        <w:rPr>
          <w:lang w:val="fr-FR"/>
        </w:rPr>
        <w:t>’</w:t>
      </w:r>
      <w:r w:rsidRPr="001C7B59">
        <w:rPr>
          <w:lang w:val="fr-FR"/>
        </w:rPr>
        <w:t>être plus actives dans la vie politique. Cet engagement des femmes a été porteur dans la mesure où il a été enregistré la candidature d</w:t>
      </w:r>
      <w:r w:rsidR="00DB6EAF" w:rsidRPr="001C7B59">
        <w:rPr>
          <w:lang w:val="fr-FR"/>
        </w:rPr>
        <w:t>’</w:t>
      </w:r>
      <w:r w:rsidRPr="001C7B59">
        <w:rPr>
          <w:lang w:val="fr-FR"/>
        </w:rPr>
        <w:t xml:space="preserve">une femme aux élections présidentielles de 2011.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politiques publiques mises en œuvre dans le pays sont orientées vers la réduction des disparités entre hommes et femmes. Il en est ainsi de l</w:t>
      </w:r>
      <w:r w:rsidR="00DB6EAF" w:rsidRPr="001C7B59">
        <w:rPr>
          <w:lang w:val="fr-FR"/>
        </w:rPr>
        <w:t>’</w:t>
      </w:r>
      <w:r w:rsidRPr="001C7B59">
        <w:rPr>
          <w:lang w:val="fr-FR"/>
        </w:rPr>
        <w:t xml:space="preserve">adoption de la Politique </w:t>
      </w:r>
      <w:r w:rsidR="00D60176" w:rsidRPr="001C7B59">
        <w:rPr>
          <w:lang w:val="fr-FR"/>
        </w:rPr>
        <w:t>national</w:t>
      </w:r>
      <w:r w:rsidRPr="001C7B59">
        <w:rPr>
          <w:lang w:val="fr-FR"/>
        </w:rPr>
        <w:t xml:space="preserve">e </w:t>
      </w:r>
      <w:r w:rsidR="001C7B59" w:rsidRPr="001C7B59">
        <w:rPr>
          <w:lang w:val="fr-FR"/>
        </w:rPr>
        <w:t>genre</w:t>
      </w:r>
      <w:r w:rsidRPr="001C7B59">
        <w:rPr>
          <w:lang w:val="fr-FR"/>
        </w:rPr>
        <w:t xml:space="preserve"> et</w:t>
      </w:r>
      <w:r w:rsidR="001C7B59" w:rsidRPr="001C7B59">
        <w:rPr>
          <w:lang w:val="fr-FR"/>
        </w:rPr>
        <w:t xml:space="preserve"> </w:t>
      </w:r>
      <w:r w:rsidRPr="001C7B59">
        <w:rPr>
          <w:lang w:val="fr-FR"/>
        </w:rPr>
        <w:t xml:space="preserve">de la </w:t>
      </w:r>
      <w:r w:rsidR="001C7B59" w:rsidRPr="001C7B59">
        <w:rPr>
          <w:lang w:val="fr-FR"/>
        </w:rPr>
        <w:t>loi</w:t>
      </w:r>
      <w:r w:rsidRPr="001C7B59">
        <w:rPr>
          <w:lang w:val="fr-FR"/>
        </w:rPr>
        <w:t xml:space="preserve"> sur le quota.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décentralisation mise en œuvre dans le pays avec les premières élections municipales de 2004, offre davantage d</w:t>
      </w:r>
      <w:r w:rsidR="00DB6EAF" w:rsidRPr="001C7B59">
        <w:rPr>
          <w:lang w:val="fr-FR"/>
        </w:rPr>
        <w:t>’</w:t>
      </w:r>
      <w:r w:rsidRPr="001C7B59">
        <w:rPr>
          <w:lang w:val="fr-FR"/>
        </w:rPr>
        <w:t>opportunités aux femmes d</w:t>
      </w:r>
      <w:r w:rsidR="00DB6EAF" w:rsidRPr="001C7B59">
        <w:rPr>
          <w:lang w:val="fr-FR"/>
        </w:rPr>
        <w:t>’</w:t>
      </w:r>
      <w:r w:rsidRPr="001C7B59">
        <w:rPr>
          <w:lang w:val="fr-FR"/>
        </w:rPr>
        <w:t>être représentées dans les sphères locales de prise de décisions. Cependant, malgré l</w:t>
      </w:r>
      <w:r w:rsidR="00DB6EAF" w:rsidRPr="001C7B59">
        <w:rPr>
          <w:lang w:val="fr-FR"/>
        </w:rPr>
        <w:t>’</w:t>
      </w:r>
      <w:r w:rsidRPr="001C7B59">
        <w:rPr>
          <w:lang w:val="fr-FR"/>
        </w:rPr>
        <w:t>extension des élections aux conseillers des villes et conseillers régionaux, le nombre des femmes élues à l</w:t>
      </w:r>
      <w:r w:rsidR="00DB6EAF" w:rsidRPr="001C7B59">
        <w:rPr>
          <w:lang w:val="fr-FR"/>
        </w:rPr>
        <w:t>’</w:t>
      </w:r>
      <w:r w:rsidRPr="001C7B59">
        <w:rPr>
          <w:lang w:val="fr-FR"/>
        </w:rPr>
        <w:t>issue des élections générales de 2010-2011 reste en deçà de celui de 2004. Ainsi, la situation actuelle se présente comme suit</w:t>
      </w:r>
      <w:r w:rsidR="00DB6EAF" w:rsidRPr="001C7B59">
        <w:rPr>
          <w:lang w:val="fr-FR"/>
        </w:rPr>
        <w:t> :</w:t>
      </w:r>
    </w:p>
    <w:p w:rsidR="004432C5" w:rsidRPr="001C7B59" w:rsidRDefault="006E6940" w:rsidP="006E6940">
      <w:pPr>
        <w:pStyle w:val="SingleTxt"/>
        <w:tabs>
          <w:tab w:val="right" w:pos="1685"/>
        </w:tabs>
        <w:ind w:left="1742" w:hanging="475"/>
        <w:rPr>
          <w:lang w:val="fr-FR"/>
        </w:rPr>
      </w:pPr>
      <w:r>
        <w:rPr>
          <w:lang w:val="fr-FR"/>
        </w:rPr>
        <w:tab/>
        <w:t>•</w:t>
      </w:r>
      <w:r>
        <w:rPr>
          <w:lang w:val="fr-FR"/>
        </w:rPr>
        <w:tab/>
      </w:r>
      <w:r w:rsidR="004432C5" w:rsidRPr="001C7B59">
        <w:rPr>
          <w:lang w:val="fr-FR"/>
        </w:rPr>
        <w:t>Pour les mandats électifs:</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4432C5" w:rsidRPr="001C7B59">
        <w:rPr>
          <w:lang w:val="fr-FR"/>
        </w:rPr>
        <w:t xml:space="preserve">Pour les conseils de villes, on note 17 femmes élues sur un total de 104 </w:t>
      </w:r>
      <w:r>
        <w:rPr>
          <w:lang w:val="fr-FR"/>
        </w:rPr>
        <w:t>conseiller</w:t>
      </w:r>
      <w:r w:rsidR="004432C5" w:rsidRPr="001C7B59">
        <w:rPr>
          <w:lang w:val="fr-FR"/>
        </w:rPr>
        <w:t>s, soit 17,68</w:t>
      </w:r>
      <w:r w:rsidR="007B382B">
        <w:rPr>
          <w:lang w:val="fr-FR"/>
        </w:rPr>
        <w:t> %</w:t>
      </w:r>
      <w:r w:rsidR="004432C5" w:rsidRPr="001C7B59">
        <w:rPr>
          <w:lang w:val="fr-FR"/>
        </w:rPr>
        <w:t>;</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4432C5" w:rsidRPr="001C7B59">
        <w:rPr>
          <w:lang w:val="fr-FR"/>
        </w:rPr>
        <w:t xml:space="preserve">Pour les conseils régionaux, on note 34 femmes élues sur un total de 260 </w:t>
      </w:r>
      <w:r>
        <w:rPr>
          <w:lang w:val="fr-FR"/>
        </w:rPr>
        <w:t>conseiller</w:t>
      </w:r>
      <w:r w:rsidR="004432C5" w:rsidRPr="001C7B59">
        <w:rPr>
          <w:lang w:val="fr-FR"/>
        </w:rPr>
        <w:t>s;</w:t>
      </w:r>
    </w:p>
    <w:p w:rsidR="004432C5" w:rsidRPr="001C7B59" w:rsidRDefault="006E6940" w:rsidP="006E694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4432C5" w:rsidRPr="001C7B59">
        <w:rPr>
          <w:iCs/>
          <w:lang w:val="fr-FR"/>
        </w:rPr>
        <w:t>Pour le parlement</w:t>
      </w:r>
      <w:r w:rsidR="004432C5" w:rsidRPr="001C7B59">
        <w:rPr>
          <w:lang w:val="fr-FR"/>
        </w:rPr>
        <w:t>, on note 15 femmes sur un total de 113 députés</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r>
      <w:r w:rsidR="004432C5" w:rsidRPr="001C7B59">
        <w:rPr>
          <w:lang w:val="fr-FR"/>
        </w:rPr>
        <w:t>En ce qui concerne les postes nominatifs</w:t>
      </w:r>
      <w:r w:rsidR="00DB6EAF" w:rsidRPr="001C7B59">
        <w:rPr>
          <w:lang w:val="fr-FR"/>
        </w:rPr>
        <w:t> :</w:t>
      </w:r>
      <w:r w:rsidR="004432C5" w:rsidRPr="001C7B59">
        <w:rPr>
          <w:lang w:val="fr-FR"/>
        </w:rPr>
        <w:t xml:space="preserve"> les postes de président de la Cour Constitutionnelle, de la Cour des </w:t>
      </w:r>
      <w:r>
        <w:rPr>
          <w:lang w:val="fr-FR"/>
        </w:rPr>
        <w:t>c</w:t>
      </w:r>
      <w:r w:rsidR="004432C5" w:rsidRPr="001C7B59">
        <w:rPr>
          <w:lang w:val="fr-FR"/>
        </w:rPr>
        <w:t>omptes</w:t>
      </w:r>
      <w:r w:rsidR="001C7B59" w:rsidRPr="001C7B59">
        <w:rPr>
          <w:lang w:val="fr-FR"/>
        </w:rPr>
        <w:t xml:space="preserve"> </w:t>
      </w:r>
      <w:r w:rsidR="004432C5" w:rsidRPr="001C7B59">
        <w:rPr>
          <w:lang w:val="fr-FR"/>
        </w:rPr>
        <w:t>et de la Haute Cour de justice, sont occupés</w:t>
      </w:r>
      <w:r w:rsidR="001C7B59" w:rsidRPr="001C7B59">
        <w:rPr>
          <w:lang w:val="fr-FR"/>
        </w:rPr>
        <w:t xml:space="preserve"> </w:t>
      </w:r>
      <w:r w:rsidR="004432C5" w:rsidRPr="001C7B59">
        <w:rPr>
          <w:lang w:val="fr-FR"/>
        </w:rPr>
        <w:t>par des femmes</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r>
      <w:r w:rsidR="004432C5" w:rsidRPr="001C7B59">
        <w:rPr>
          <w:lang w:val="fr-FR"/>
        </w:rPr>
        <w:t>Au niveau du Gouvernement, on compte cinq (5) femmes sur trente un (31) ministres.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On note par ailleurs la création, en 2011, d</w:t>
      </w:r>
      <w:r w:rsidR="00DB6EAF" w:rsidRPr="001C7B59">
        <w:rPr>
          <w:lang w:val="fr-FR"/>
        </w:rPr>
        <w:t>’</w:t>
      </w:r>
      <w:r w:rsidRPr="001C7B59">
        <w:rPr>
          <w:lang w:val="fr-FR"/>
        </w:rPr>
        <w:t>une Direction de la promotion du leadership féminin dont les missions sont entre autres</w:t>
      </w:r>
      <w:r w:rsidR="00DB6EAF" w:rsidRPr="001C7B59">
        <w:rPr>
          <w:lang w:val="fr-FR"/>
        </w:rPr>
        <w:t> :</w:t>
      </w:r>
    </w:p>
    <w:p w:rsidR="004432C5" w:rsidRPr="001C7B59" w:rsidRDefault="006E6940" w:rsidP="006E6940">
      <w:pPr>
        <w:pStyle w:val="SingleTxt"/>
        <w:tabs>
          <w:tab w:val="right" w:pos="1685"/>
        </w:tabs>
        <w:ind w:left="1742" w:hanging="475"/>
        <w:rPr>
          <w:lang w:val="fr-FR"/>
        </w:rPr>
      </w:pPr>
      <w:r>
        <w:rPr>
          <w:lang w:val="fr-FR"/>
        </w:rPr>
        <w:tab/>
        <w:t>•</w:t>
      </w:r>
      <w:r>
        <w:rPr>
          <w:lang w:val="fr-FR"/>
        </w:rPr>
        <w:tab/>
        <w:t>I</w:t>
      </w:r>
      <w:r w:rsidR="004432C5" w:rsidRPr="001C7B59">
        <w:rPr>
          <w:lang w:val="fr-FR"/>
        </w:rPr>
        <w:t>nitier des stratégies et mécanismes de promotion des droits humains, du leadership politique des femmes</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t>D</w:t>
      </w:r>
      <w:r w:rsidR="004432C5" w:rsidRPr="001C7B59">
        <w:rPr>
          <w:lang w:val="fr-FR"/>
        </w:rPr>
        <w:t>évelopper des stratégies de lutte contre les stéréotypes et les violences basées sur le genre</w:t>
      </w:r>
      <w:r w:rsidR="00DB6EAF" w:rsidRPr="001C7B59">
        <w:rPr>
          <w:lang w:val="fr-FR"/>
        </w:rPr>
        <w:t>;</w:t>
      </w:r>
    </w:p>
    <w:p w:rsidR="004432C5" w:rsidRPr="001C7B59" w:rsidRDefault="006E6940" w:rsidP="006E6940">
      <w:pPr>
        <w:pStyle w:val="SingleTxt"/>
        <w:tabs>
          <w:tab w:val="right" w:pos="1685"/>
        </w:tabs>
        <w:ind w:left="1742" w:hanging="475"/>
        <w:rPr>
          <w:lang w:val="fr-FR"/>
        </w:rPr>
      </w:pPr>
      <w:r>
        <w:rPr>
          <w:lang w:val="fr-FR"/>
        </w:rPr>
        <w:tab/>
        <w:t>•</w:t>
      </w:r>
      <w:r>
        <w:rPr>
          <w:lang w:val="fr-FR"/>
        </w:rPr>
        <w:tab/>
        <w:t>C</w:t>
      </w:r>
      <w:r w:rsidR="004432C5" w:rsidRPr="001C7B59">
        <w:rPr>
          <w:lang w:val="fr-FR"/>
        </w:rPr>
        <w:t>ontribuer à la scolarisation de la jeune fille</w:t>
      </w:r>
      <w:r w:rsidR="00DB6EAF" w:rsidRPr="001C7B59">
        <w:rPr>
          <w:lang w:val="fr-FR"/>
        </w:rPr>
        <w:t>;</w:t>
      </w:r>
    </w:p>
    <w:p w:rsidR="004432C5" w:rsidRPr="001C7B59" w:rsidRDefault="006E6940" w:rsidP="006E6940">
      <w:pPr>
        <w:pStyle w:val="SingleTxt"/>
        <w:tabs>
          <w:tab w:val="right" w:pos="1685"/>
        </w:tabs>
        <w:ind w:left="1742" w:hanging="475"/>
        <w:rPr>
          <w:iCs/>
          <w:lang w:val="fr-FR"/>
        </w:rPr>
      </w:pPr>
      <w:r>
        <w:rPr>
          <w:lang w:val="fr-FR"/>
        </w:rPr>
        <w:tab/>
        <w:t>•</w:t>
      </w:r>
      <w:r>
        <w:rPr>
          <w:lang w:val="fr-FR"/>
        </w:rPr>
        <w:tab/>
        <w:t>I</w:t>
      </w:r>
      <w:r w:rsidR="004432C5" w:rsidRPr="001C7B59">
        <w:rPr>
          <w:lang w:val="fr-FR"/>
        </w:rPr>
        <w:t>dentifier des actions spécifiques en faveur des femmes et des filles notamment dans les zones rurales où perdurent des pratiques culturelles néfastes.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dépit des efforts mentionnés ci-dessus, force est de constater que certaines difficultés subsistent au niveau de la participation des femmes à la vie politique et publique. Ces difficultés sont liées à la persistance des relations d</w:t>
      </w:r>
      <w:r w:rsidR="00DB6EAF" w:rsidRPr="001C7B59">
        <w:rPr>
          <w:lang w:val="fr-FR"/>
        </w:rPr>
        <w:t>’</w:t>
      </w:r>
      <w:r w:rsidRPr="001C7B59">
        <w:rPr>
          <w:lang w:val="fr-FR"/>
        </w:rPr>
        <w:t>inégalité, au non-respect de l</w:t>
      </w:r>
      <w:r w:rsidR="00DB6EAF" w:rsidRPr="001C7B59">
        <w:rPr>
          <w:lang w:val="fr-FR"/>
        </w:rPr>
        <w:t>’</w:t>
      </w:r>
      <w:r w:rsidRPr="001C7B59">
        <w:rPr>
          <w:lang w:val="fr-FR"/>
        </w:rPr>
        <w:t>équité entre les hommes et les femmes, au faible niveau d</w:t>
      </w:r>
      <w:r w:rsidR="00DB6EAF" w:rsidRPr="001C7B59">
        <w:rPr>
          <w:lang w:val="fr-FR"/>
        </w:rPr>
        <w:t>’</w:t>
      </w:r>
      <w:r w:rsidRPr="001C7B59">
        <w:rPr>
          <w:lang w:val="fr-FR"/>
        </w:rPr>
        <w:t>instruction des femmes, à l</w:t>
      </w:r>
      <w:r w:rsidR="00DB6EAF" w:rsidRPr="001C7B59">
        <w:rPr>
          <w:lang w:val="fr-FR"/>
        </w:rPr>
        <w:t>’</w:t>
      </w:r>
      <w:r w:rsidRPr="001C7B59">
        <w:rPr>
          <w:lang w:val="fr-FR"/>
        </w:rPr>
        <w:t>application non effective des dispositions de la loi sur le quota, aux pesanteurs socioculturelles, à l</w:t>
      </w:r>
      <w:r w:rsidR="00DB6EAF" w:rsidRPr="001C7B59">
        <w:rPr>
          <w:lang w:val="fr-FR"/>
        </w:rPr>
        <w:t>’</w:t>
      </w:r>
      <w:r w:rsidRPr="001C7B59">
        <w:rPr>
          <w:lang w:val="fr-FR"/>
        </w:rPr>
        <w:t>insuffisance de ressources surtout financières des femmes, à la faible présence des femmes dans les bureaux des partis politiques, au positionnement des femmes sur les listes électorales, au manque d</w:t>
      </w:r>
      <w:r w:rsidR="00DB6EAF" w:rsidRPr="001C7B59">
        <w:rPr>
          <w:lang w:val="fr-FR"/>
        </w:rPr>
        <w:t>’</w:t>
      </w:r>
      <w:r w:rsidRPr="001C7B59">
        <w:rPr>
          <w:lang w:val="fr-FR"/>
        </w:rPr>
        <w:t>accompagnement et d</w:t>
      </w:r>
      <w:r w:rsidR="00DB6EAF" w:rsidRPr="001C7B59">
        <w:rPr>
          <w:lang w:val="fr-FR"/>
        </w:rPr>
        <w:t>’</w:t>
      </w:r>
      <w:r w:rsidRPr="001C7B59">
        <w:rPr>
          <w:lang w:val="fr-FR"/>
        </w:rPr>
        <w:t>encouragement des femmes en politique.</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Egalite</w:t>
      </w:r>
      <w:r w:rsidR="004432C5" w:rsidRPr="001C7B59">
        <w:rPr>
          <w:lang w:val="fr-FR"/>
        </w:rPr>
        <w:t xml:space="preserve"> entre les hommes et les femmes dans la représentation </w:t>
      </w:r>
      <w:r>
        <w:rPr>
          <w:lang w:val="fr-FR"/>
        </w:rPr>
        <w:br/>
      </w:r>
      <w:r w:rsidR="004432C5" w:rsidRPr="001C7B59">
        <w:rPr>
          <w:lang w:val="fr-FR"/>
        </w:rPr>
        <w:t xml:space="preserve">de leur pays et dans la participation au travail des organisations </w:t>
      </w:r>
      <w:r>
        <w:rPr>
          <w:lang w:val="fr-FR"/>
        </w:rPr>
        <w:br/>
      </w:r>
      <w:r w:rsidR="004432C5" w:rsidRPr="001C7B59">
        <w:rPr>
          <w:lang w:val="fr-FR"/>
        </w:rPr>
        <w:t xml:space="preserve">internationales </w:t>
      </w:r>
      <w:r w:rsidR="00B22D00">
        <w:rPr>
          <w:lang w:val="fr-FR"/>
        </w:rPr>
        <w:t>(art.</w:t>
      </w:r>
      <w:r w:rsidR="004432C5" w:rsidRPr="001C7B59">
        <w:rPr>
          <w:lang w:val="fr-FR"/>
        </w:rPr>
        <w:t xml:space="preserve"> 8)</w:t>
      </w:r>
    </w:p>
    <w:p w:rsidR="006E6940" w:rsidRPr="006E6940" w:rsidRDefault="006E6940" w:rsidP="006E6940">
      <w:pPr>
        <w:pStyle w:val="SingleTxt"/>
        <w:spacing w:after="0" w:line="120" w:lineRule="exact"/>
        <w:rPr>
          <w:sz w:val="10"/>
          <w:lang w:val="fr-FR"/>
        </w:rPr>
      </w:pPr>
    </w:p>
    <w:p w:rsidR="004432C5" w:rsidRPr="001C7B59" w:rsidRDefault="00E15F6D" w:rsidP="008E5553">
      <w:pPr>
        <w:pStyle w:val="SingleTxt"/>
        <w:numPr>
          <w:ilvl w:val="0"/>
          <w:numId w:val="9"/>
        </w:numPr>
        <w:tabs>
          <w:tab w:val="clear" w:pos="475"/>
          <w:tab w:val="num" w:pos="1742"/>
        </w:tabs>
        <w:ind w:left="1267"/>
        <w:rPr>
          <w:lang w:val="fr-FR"/>
        </w:rPr>
      </w:pPr>
      <w:r w:rsidRPr="001C7B59">
        <w:rPr>
          <w:lang w:val="fr-FR"/>
        </w:rPr>
        <w:t>À</w:t>
      </w:r>
      <w:r w:rsidR="001C7B59" w:rsidRPr="001C7B59">
        <w:rPr>
          <w:lang w:val="fr-FR"/>
        </w:rPr>
        <w:t xml:space="preserve"> </w:t>
      </w:r>
      <w:r w:rsidR="004432C5" w:rsidRPr="001C7B59">
        <w:rPr>
          <w:lang w:val="fr-FR"/>
        </w:rPr>
        <w:t>ce niveau la situation n</w:t>
      </w:r>
      <w:r w:rsidR="00DB6EAF" w:rsidRPr="001C7B59">
        <w:rPr>
          <w:lang w:val="fr-FR"/>
        </w:rPr>
        <w:t>’</w:t>
      </w:r>
      <w:r w:rsidR="004432C5" w:rsidRPr="001C7B59">
        <w:rPr>
          <w:lang w:val="fr-FR"/>
        </w:rPr>
        <w:t>a pas significativement évolué depuis le précédent rapport. On note que sur les douze (12) représentations diplomatiques du Niger, cinq (5) sont tenues par des femmes.</w:t>
      </w:r>
    </w:p>
    <w:p w:rsidR="006E6940" w:rsidRPr="006E6940" w:rsidRDefault="006E6940" w:rsidP="006E6940">
      <w:pPr>
        <w:pStyle w:val="SingleTxt"/>
        <w:spacing w:after="0" w:line="120" w:lineRule="exact"/>
        <w:rPr>
          <w:sz w:val="10"/>
          <w:lang w:val="fr-FR"/>
        </w:rPr>
      </w:pPr>
    </w:p>
    <w:p w:rsidR="004432C5" w:rsidRDefault="006E6940" w:rsidP="006E69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Egalite</w:t>
      </w:r>
      <w:r w:rsidR="004432C5" w:rsidRPr="001C7B59">
        <w:rPr>
          <w:lang w:val="fr-FR"/>
        </w:rPr>
        <w:t xml:space="preserve"> dans l</w:t>
      </w:r>
      <w:r w:rsidR="00DB6EAF" w:rsidRPr="001C7B59">
        <w:rPr>
          <w:lang w:val="fr-FR"/>
        </w:rPr>
        <w:t>’</w:t>
      </w:r>
      <w:r w:rsidR="004432C5" w:rsidRPr="001C7B59">
        <w:rPr>
          <w:lang w:val="fr-FR"/>
        </w:rPr>
        <w:t xml:space="preserve">acquisition, le changement ou la conservation </w:t>
      </w:r>
      <w:r>
        <w:rPr>
          <w:lang w:val="fr-FR"/>
        </w:rPr>
        <w:br/>
      </w:r>
      <w:r w:rsidR="004432C5" w:rsidRPr="001C7B59">
        <w:rPr>
          <w:lang w:val="fr-FR"/>
        </w:rPr>
        <w:t xml:space="preserve">de la nationalité </w:t>
      </w:r>
      <w:r w:rsidR="00B22D00">
        <w:rPr>
          <w:lang w:val="fr-FR"/>
        </w:rPr>
        <w:t>(art.</w:t>
      </w:r>
      <w:r w:rsidR="004432C5" w:rsidRPr="001C7B59">
        <w:rPr>
          <w:lang w:val="fr-FR"/>
        </w:rPr>
        <w:t xml:space="preserve"> 9)</w:t>
      </w:r>
    </w:p>
    <w:p w:rsidR="00822778" w:rsidRPr="00822778" w:rsidRDefault="00822778" w:rsidP="00822778">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Un projet de loi portant révision du Code de la nationalité a été initié et se trouve dans le circuit d</w:t>
      </w:r>
      <w:r w:rsidR="00DB6EAF" w:rsidRPr="001C7B59">
        <w:rPr>
          <w:lang w:val="fr-FR"/>
        </w:rPr>
        <w:t>’</w:t>
      </w:r>
      <w:r w:rsidRPr="001C7B59">
        <w:rPr>
          <w:lang w:val="fr-FR"/>
        </w:rPr>
        <w:t>adoption aux fins de prendre en compte des sujets de préoccupation évoqués dans le précédent rapport notamment sur le point relatif à la transmission par la femme nigérienne de sa nationalité à son conjoint étranger. De même, au sens dudit projet de loi, la femme nigérienne qui épouse un étranger peut prétendre sans faculté d</w:t>
      </w:r>
      <w:r w:rsidR="00DB6EAF" w:rsidRPr="001C7B59">
        <w:rPr>
          <w:lang w:val="fr-FR"/>
        </w:rPr>
        <w:t>’</w:t>
      </w:r>
      <w:r w:rsidRPr="001C7B59">
        <w:rPr>
          <w:lang w:val="fr-FR"/>
        </w:rPr>
        <w:t>option à la nationalité de son mari et vice versa. L</w:t>
      </w:r>
      <w:r w:rsidR="00DB6EAF" w:rsidRPr="001C7B59">
        <w:rPr>
          <w:lang w:val="fr-FR"/>
        </w:rPr>
        <w:t>’</w:t>
      </w:r>
      <w:r w:rsidRPr="001C7B59">
        <w:rPr>
          <w:lang w:val="fr-FR"/>
        </w:rPr>
        <w:t>objectif poursuivi par la réforme initiée était d</w:t>
      </w:r>
      <w:r w:rsidR="00DB6EAF" w:rsidRPr="001C7B59">
        <w:rPr>
          <w:lang w:val="fr-FR"/>
        </w:rPr>
        <w:t>’</w:t>
      </w:r>
      <w:r w:rsidRPr="001C7B59">
        <w:rPr>
          <w:lang w:val="fr-FR"/>
        </w:rPr>
        <w:t>établir l</w:t>
      </w:r>
      <w:r w:rsidR="00DB6EAF" w:rsidRPr="001C7B59">
        <w:rPr>
          <w:lang w:val="fr-FR"/>
        </w:rPr>
        <w:t>’</w:t>
      </w:r>
      <w:r w:rsidRPr="001C7B59">
        <w:rPr>
          <w:lang w:val="fr-FR"/>
        </w:rPr>
        <w:t>égalité entre les hommes et les femmes dans l</w:t>
      </w:r>
      <w:r w:rsidR="00DB6EAF" w:rsidRPr="001C7B59">
        <w:rPr>
          <w:lang w:val="fr-FR"/>
        </w:rPr>
        <w:t>’</w:t>
      </w:r>
      <w:r w:rsidRPr="001C7B59">
        <w:rPr>
          <w:lang w:val="fr-FR"/>
        </w:rPr>
        <w:t>acquisition, le changement ou la conservation de la nationalité nigérienne. Ce faisant, le projet de loi vise à mettre fin à la discrimination à l</w:t>
      </w:r>
      <w:r w:rsidR="00DB6EAF" w:rsidRPr="001C7B59">
        <w:rPr>
          <w:lang w:val="fr-FR"/>
        </w:rPr>
        <w:t>’</w:t>
      </w:r>
      <w:r w:rsidRPr="001C7B59">
        <w:rPr>
          <w:lang w:val="fr-FR"/>
        </w:rPr>
        <w:t xml:space="preserve">égard de la femme en matière de transmission de sa nationalité nigérienne au conjoint. </w:t>
      </w:r>
    </w:p>
    <w:p w:rsidR="004432C5" w:rsidRDefault="004432C5" w:rsidP="0082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t>III.</w:t>
      </w:r>
      <w:r w:rsidRPr="001C7B59">
        <w:rPr>
          <w:lang w:val="fr-FR"/>
        </w:rPr>
        <w:tab/>
        <w:t xml:space="preserve">Articles 10 à 14 </w:t>
      </w:r>
    </w:p>
    <w:p w:rsidR="00822778" w:rsidRPr="00822778" w:rsidRDefault="00822778" w:rsidP="00822778">
      <w:pPr>
        <w:pStyle w:val="SingleTxt"/>
        <w:spacing w:after="0" w:line="120" w:lineRule="exact"/>
        <w:rPr>
          <w:sz w:val="10"/>
          <w:lang w:val="fr-FR"/>
        </w:rPr>
      </w:pPr>
    </w:p>
    <w:p w:rsidR="004432C5" w:rsidRDefault="00822778" w:rsidP="002C7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Egalite</w:t>
      </w:r>
      <w:r w:rsidR="004432C5" w:rsidRPr="001C7B59">
        <w:rPr>
          <w:lang w:val="fr-FR"/>
        </w:rPr>
        <w:t xml:space="preserve"> en matière d</w:t>
      </w:r>
      <w:r w:rsidR="00DB6EAF" w:rsidRPr="001C7B59">
        <w:rPr>
          <w:lang w:val="fr-FR"/>
        </w:rPr>
        <w:t>’</w:t>
      </w:r>
      <w:r w:rsidR="004432C5" w:rsidRPr="001C7B59">
        <w:rPr>
          <w:lang w:val="fr-FR"/>
        </w:rPr>
        <w:t>éducation</w:t>
      </w:r>
    </w:p>
    <w:p w:rsidR="00822778" w:rsidRPr="00822778" w:rsidRDefault="00822778" w:rsidP="00822778">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Des efforts importants ont été réalisés par le Niger avec la mise en œuvre de la </w:t>
      </w:r>
      <w:r w:rsidR="001C7B59" w:rsidRPr="001C7B59">
        <w:rPr>
          <w:lang w:val="fr-FR"/>
        </w:rPr>
        <w:t>loi</w:t>
      </w:r>
      <w:r w:rsidRPr="001C7B59">
        <w:rPr>
          <w:lang w:val="fr-FR"/>
        </w:rPr>
        <w:t xml:space="preserve"> d</w:t>
      </w:r>
      <w:r w:rsidR="00DB6EAF" w:rsidRPr="001C7B59">
        <w:rPr>
          <w:lang w:val="fr-FR"/>
        </w:rPr>
        <w:t>’</w:t>
      </w:r>
      <w:r w:rsidR="001C7B59" w:rsidRPr="001C7B59">
        <w:rPr>
          <w:lang w:val="fr-FR"/>
        </w:rPr>
        <w:t>orientation</w:t>
      </w:r>
      <w:r w:rsidRPr="001C7B59">
        <w:rPr>
          <w:lang w:val="fr-FR"/>
        </w:rPr>
        <w:t xml:space="preserve"> du </w:t>
      </w:r>
      <w:r w:rsidR="00D60176" w:rsidRPr="001C7B59">
        <w:rPr>
          <w:lang w:val="fr-FR"/>
        </w:rPr>
        <w:t>système</w:t>
      </w:r>
      <w:r w:rsidRPr="001C7B59">
        <w:rPr>
          <w:lang w:val="fr-FR"/>
        </w:rPr>
        <w:t xml:space="preserve"> </w:t>
      </w:r>
      <w:r w:rsidR="00D60176" w:rsidRPr="001C7B59">
        <w:rPr>
          <w:lang w:val="fr-FR"/>
        </w:rPr>
        <w:t>éducatif</w:t>
      </w:r>
      <w:r w:rsidRPr="001C7B59">
        <w:rPr>
          <w:lang w:val="fr-FR"/>
        </w:rPr>
        <w:t xml:space="preserve"> </w:t>
      </w:r>
      <w:r w:rsidR="00D60176" w:rsidRPr="001C7B59">
        <w:rPr>
          <w:lang w:val="fr-FR"/>
        </w:rPr>
        <w:t>nigéri</w:t>
      </w:r>
      <w:r w:rsidRPr="001C7B59">
        <w:rPr>
          <w:lang w:val="fr-FR"/>
        </w:rPr>
        <w:t xml:space="preserve">en (LOSEN) et le Programme </w:t>
      </w:r>
      <w:r w:rsidR="00D60176" w:rsidRPr="001C7B59">
        <w:rPr>
          <w:lang w:val="fr-FR"/>
        </w:rPr>
        <w:t>décennal</w:t>
      </w:r>
      <w:r w:rsidRPr="001C7B59">
        <w:rPr>
          <w:lang w:val="fr-FR"/>
        </w:rPr>
        <w:t xml:space="preserve"> de </w:t>
      </w:r>
      <w:r w:rsidR="00D60176" w:rsidRPr="001C7B59">
        <w:rPr>
          <w:lang w:val="fr-FR"/>
        </w:rPr>
        <w:t>développement</w:t>
      </w:r>
      <w:r w:rsidRPr="001C7B59">
        <w:rPr>
          <w:lang w:val="fr-FR"/>
        </w:rPr>
        <w:t xml:space="preserve"> de l</w:t>
      </w:r>
      <w:r w:rsidR="00DB6EAF" w:rsidRPr="001C7B59">
        <w:rPr>
          <w:lang w:val="fr-FR"/>
        </w:rPr>
        <w:t>’</w:t>
      </w:r>
      <w:r w:rsidR="00D60176" w:rsidRPr="001C7B59">
        <w:rPr>
          <w:lang w:val="fr-FR"/>
        </w:rPr>
        <w:t>éducation</w:t>
      </w:r>
      <w:r w:rsidRPr="001C7B59">
        <w:rPr>
          <w:lang w:val="fr-FR"/>
        </w:rPr>
        <w:t xml:space="preserve"> (PDDE). Ainsi, des résultats appréciables sont enregistrés au préscolaire, au primaire, au secondaire, au supérieur et au niveau de l</w:t>
      </w:r>
      <w:r w:rsidR="00DB6EAF" w:rsidRPr="001C7B59">
        <w:rPr>
          <w:lang w:val="fr-FR"/>
        </w:rPr>
        <w:t>’</w:t>
      </w:r>
      <w:r w:rsidRPr="001C7B59">
        <w:rPr>
          <w:lang w:val="fr-FR"/>
        </w:rPr>
        <w:t xml:space="preserve">alphabétisation des adultes. </w:t>
      </w:r>
    </w:p>
    <w:p w:rsidR="00822778" w:rsidRPr="00822778" w:rsidRDefault="00822778" w:rsidP="00822778">
      <w:pPr>
        <w:pStyle w:val="SingleTxt"/>
        <w:spacing w:after="0" w:line="120" w:lineRule="exact"/>
        <w:rPr>
          <w:sz w:val="10"/>
          <w:lang w:val="fr-FR"/>
        </w:rPr>
      </w:pPr>
    </w:p>
    <w:p w:rsidR="004432C5" w:rsidRDefault="00822778" w:rsidP="002C7E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Au préscolaire</w:t>
      </w:r>
    </w:p>
    <w:p w:rsidR="00822778" w:rsidRPr="00822778" w:rsidRDefault="00822778" w:rsidP="00822778">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préscolaire accueille les enfants âgés de quatre</w:t>
      </w:r>
      <w:r w:rsidR="001C7B59" w:rsidRPr="001C7B59">
        <w:rPr>
          <w:lang w:val="fr-FR"/>
        </w:rPr>
        <w:t xml:space="preserve"> </w:t>
      </w:r>
      <w:r w:rsidRPr="001C7B59">
        <w:rPr>
          <w:lang w:val="fr-FR"/>
        </w:rPr>
        <w:t>à six ans. Ce cycle regroupe les centres d</w:t>
      </w:r>
      <w:r w:rsidR="00DB6EAF" w:rsidRPr="001C7B59">
        <w:rPr>
          <w:lang w:val="fr-FR"/>
        </w:rPr>
        <w:t>’</w:t>
      </w:r>
      <w:r w:rsidRPr="001C7B59">
        <w:rPr>
          <w:lang w:val="fr-FR"/>
        </w:rPr>
        <w:t>éveil de la petite enfance qui sont des établissements préscolaires de trois ordres</w:t>
      </w:r>
      <w:r w:rsidR="00DB6EAF" w:rsidRPr="001C7B59">
        <w:rPr>
          <w:lang w:val="fr-FR"/>
        </w:rPr>
        <w:t> :</w:t>
      </w:r>
      <w:r w:rsidRPr="001C7B59">
        <w:rPr>
          <w:lang w:val="fr-FR"/>
        </w:rPr>
        <w:t xml:space="preserve"> publics, privés et communautaires.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éducation de la fille démarre dès le préscolaire. Une parité du genre est observée. Le taux brut de préscolarisation est passé de 4,6</w:t>
      </w:r>
      <w:r w:rsidR="007B382B">
        <w:rPr>
          <w:lang w:val="fr-FR"/>
        </w:rPr>
        <w:t> %</w:t>
      </w:r>
      <w:r w:rsidRPr="001C7B59">
        <w:rPr>
          <w:lang w:val="fr-FR"/>
        </w:rPr>
        <w:t xml:space="preserve"> en 2009-2010 à 5,7</w:t>
      </w:r>
      <w:r w:rsidR="007B382B">
        <w:rPr>
          <w:lang w:val="fr-FR"/>
        </w:rPr>
        <w:t> %</w:t>
      </w:r>
      <w:r w:rsidRPr="001C7B59">
        <w:rPr>
          <w:lang w:val="fr-FR"/>
        </w:rPr>
        <w:t xml:space="preserve"> en 2010-2011. Cette progression est très satisfaisante car l</w:t>
      </w:r>
      <w:r w:rsidR="00DB6EAF" w:rsidRPr="001C7B59">
        <w:rPr>
          <w:lang w:val="fr-FR"/>
        </w:rPr>
        <w:t>’</w:t>
      </w:r>
      <w:r w:rsidRPr="001C7B59">
        <w:rPr>
          <w:lang w:val="fr-FR"/>
        </w:rPr>
        <w:t>objectif de 5</w:t>
      </w:r>
      <w:r w:rsidR="007B382B">
        <w:rPr>
          <w:lang w:val="fr-FR"/>
        </w:rPr>
        <w:t> %</w:t>
      </w:r>
      <w:r w:rsidRPr="001C7B59">
        <w:rPr>
          <w:lang w:val="fr-FR"/>
        </w:rPr>
        <w:t xml:space="preserve"> visé à la fin du programme décennal en 2013 est déjà atteint. A l</w:t>
      </w:r>
      <w:r w:rsidR="00DB6EAF" w:rsidRPr="001C7B59">
        <w:rPr>
          <w:lang w:val="fr-FR"/>
        </w:rPr>
        <w:t>’</w:t>
      </w:r>
      <w:r w:rsidRPr="001C7B59">
        <w:rPr>
          <w:lang w:val="fr-FR"/>
        </w:rPr>
        <w:t>instar des autres niveaux d</w:t>
      </w:r>
      <w:r w:rsidR="00DB6EAF" w:rsidRPr="001C7B59">
        <w:rPr>
          <w:lang w:val="fr-FR"/>
        </w:rPr>
        <w:t>’</w:t>
      </w:r>
      <w:r w:rsidRPr="001C7B59">
        <w:rPr>
          <w:lang w:val="fr-FR"/>
        </w:rPr>
        <w:t>éducation, la couverture de l</w:t>
      </w:r>
      <w:r w:rsidR="00DB6EAF" w:rsidRPr="001C7B59">
        <w:rPr>
          <w:lang w:val="fr-FR"/>
        </w:rPr>
        <w:t>’</w:t>
      </w:r>
      <w:r w:rsidRPr="001C7B59">
        <w:rPr>
          <w:lang w:val="fr-FR"/>
        </w:rPr>
        <w:t>enseignement préscolaire s</w:t>
      </w:r>
      <w:r w:rsidR="00DB6EAF" w:rsidRPr="001C7B59">
        <w:rPr>
          <w:lang w:val="fr-FR"/>
        </w:rPr>
        <w:t>’</w:t>
      </w:r>
      <w:r w:rsidRPr="001C7B59">
        <w:rPr>
          <w:lang w:val="fr-FR"/>
        </w:rPr>
        <w:t>est améliorée ces dernières années, notamment avec la création de jardins d</w:t>
      </w:r>
      <w:r w:rsidR="00DB6EAF" w:rsidRPr="001C7B59">
        <w:rPr>
          <w:lang w:val="fr-FR"/>
        </w:rPr>
        <w:t>’</w:t>
      </w:r>
      <w:r w:rsidRPr="001C7B59">
        <w:rPr>
          <w:lang w:val="fr-FR"/>
        </w:rPr>
        <w:t xml:space="preserve">enfants communautaires essentiellement en milieu rural (sur les 1283 établissements 683 sont en milieu rural).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nombre d</w:t>
      </w:r>
      <w:r w:rsidR="00DB6EAF" w:rsidRPr="001C7B59">
        <w:rPr>
          <w:lang w:val="fr-FR"/>
        </w:rPr>
        <w:t>’</w:t>
      </w:r>
      <w:r w:rsidRPr="001C7B59">
        <w:rPr>
          <w:lang w:val="fr-FR"/>
        </w:rPr>
        <w:t>enseignants du préscolaire est passé de 1995 en 2009-2010 à 2961 en 2010-2011 soit un accroissement de 48,4</w:t>
      </w:r>
      <w:r w:rsidR="007B382B">
        <w:rPr>
          <w:lang w:val="fr-FR"/>
        </w:rPr>
        <w:t> %</w:t>
      </w:r>
      <w:r w:rsidRPr="001C7B59">
        <w:rPr>
          <w:lang w:val="fr-FR"/>
        </w:rPr>
        <w:t>. Le personnel enseignant est majoritairement composé de femmes qui représentent 91</w:t>
      </w:r>
      <w:r w:rsidR="007B382B">
        <w:rPr>
          <w:lang w:val="fr-FR"/>
        </w:rPr>
        <w:t> %</w:t>
      </w:r>
      <w:r w:rsidRPr="001C7B59">
        <w:rPr>
          <w:lang w:val="fr-FR"/>
        </w:rPr>
        <w:t xml:space="preserve"> de l</w:t>
      </w:r>
      <w:r w:rsidR="00DB6EAF" w:rsidRPr="001C7B59">
        <w:rPr>
          <w:lang w:val="fr-FR"/>
        </w:rPr>
        <w:t>’</w:t>
      </w:r>
      <w:r w:rsidRPr="001C7B59">
        <w:rPr>
          <w:lang w:val="fr-FR"/>
        </w:rPr>
        <w:t>effectif total. Leur encadrement pédagogique est assuré</w:t>
      </w:r>
      <w:r w:rsidR="001C7B59" w:rsidRPr="001C7B59">
        <w:rPr>
          <w:lang w:val="fr-FR"/>
        </w:rPr>
        <w:t xml:space="preserve"> </w:t>
      </w:r>
      <w:r w:rsidRPr="001C7B59">
        <w:rPr>
          <w:lang w:val="fr-FR"/>
        </w:rPr>
        <w:t xml:space="preserve">par 9 inspectrices. </w:t>
      </w:r>
    </w:p>
    <w:p w:rsidR="00822778" w:rsidRPr="00822778" w:rsidRDefault="00822778" w:rsidP="00822778">
      <w:pPr>
        <w:pStyle w:val="SingleTxt"/>
        <w:spacing w:after="0" w:line="120" w:lineRule="exact"/>
        <w:rPr>
          <w:sz w:val="10"/>
          <w:lang w:val="fr-FR"/>
        </w:rPr>
      </w:pPr>
    </w:p>
    <w:p w:rsidR="004432C5" w:rsidRDefault="00822778" w:rsidP="002C7E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Le cycle de base 1</w:t>
      </w:r>
    </w:p>
    <w:p w:rsidR="00822778" w:rsidRPr="00822778" w:rsidRDefault="00822778" w:rsidP="00822778">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Ce cycle accueille officiellement, en première année d</w:t>
      </w:r>
      <w:r w:rsidR="00DB6EAF" w:rsidRPr="001C7B59">
        <w:rPr>
          <w:lang w:val="fr-FR"/>
        </w:rPr>
        <w:t>’</w:t>
      </w:r>
      <w:r w:rsidRPr="001C7B59">
        <w:rPr>
          <w:lang w:val="fr-FR"/>
        </w:rPr>
        <w:t>étude, les enfants âgés de six à sept ans. L</w:t>
      </w:r>
      <w:r w:rsidR="00DB6EAF" w:rsidRPr="001C7B59">
        <w:rPr>
          <w:lang w:val="fr-FR"/>
        </w:rPr>
        <w:t>’</w:t>
      </w:r>
      <w:r w:rsidRPr="001C7B59">
        <w:rPr>
          <w:lang w:val="fr-FR"/>
        </w:rPr>
        <w:t>enseignement primaire a enregistré des avancées significatives en matière d</w:t>
      </w:r>
      <w:r w:rsidR="00DB6EAF" w:rsidRPr="001C7B59">
        <w:rPr>
          <w:lang w:val="fr-FR"/>
        </w:rPr>
        <w:t>’</w:t>
      </w:r>
      <w:r w:rsidRPr="001C7B59">
        <w:rPr>
          <w:lang w:val="fr-FR"/>
        </w:rPr>
        <w:t>accès et de couverture. Les effectifs scolarisés sont en constante augmentation, en particulier les nouveaux inscrits en première année du cycle. De 2007-2008 à 2010-2011, le nombre de nouveaux inscrits en première année est passé de 342360 à 469917 élèves, soit un accroissement annuel moyen de 11,1</w:t>
      </w:r>
      <w:r w:rsidR="007B382B">
        <w:rPr>
          <w:lang w:val="fr-FR"/>
        </w:rPr>
        <w:t> %</w:t>
      </w:r>
      <w:r w:rsidRPr="001C7B59">
        <w:rPr>
          <w:lang w:val="fr-FR"/>
        </w:rPr>
        <w:t>. Sur la même période, l</w:t>
      </w:r>
      <w:r w:rsidR="00DB6EAF" w:rsidRPr="001C7B59">
        <w:rPr>
          <w:lang w:val="fr-FR"/>
        </w:rPr>
        <w:t>’</w:t>
      </w:r>
      <w:r w:rsidRPr="001C7B59">
        <w:rPr>
          <w:lang w:val="fr-FR"/>
        </w:rPr>
        <w:t>accroissement de l</w:t>
      </w:r>
      <w:r w:rsidR="00DB6EAF" w:rsidRPr="001C7B59">
        <w:rPr>
          <w:lang w:val="fr-FR"/>
        </w:rPr>
        <w:t>’</w:t>
      </w:r>
      <w:r w:rsidRPr="001C7B59">
        <w:rPr>
          <w:lang w:val="fr-FR"/>
        </w:rPr>
        <w:t>effectif des filles est, comme l</w:t>
      </w:r>
      <w:r w:rsidR="00DB6EAF" w:rsidRPr="001C7B59">
        <w:rPr>
          <w:lang w:val="fr-FR"/>
        </w:rPr>
        <w:t>’</w:t>
      </w:r>
      <w:r w:rsidRPr="001C7B59">
        <w:rPr>
          <w:lang w:val="fr-FR"/>
        </w:rPr>
        <w:t>indique le tableau ci-dessous, plus important que celui des garçons (11,6</w:t>
      </w:r>
      <w:r w:rsidR="007B382B">
        <w:rPr>
          <w:lang w:val="fr-FR"/>
        </w:rPr>
        <w:t> %</w:t>
      </w:r>
      <w:r w:rsidRPr="001C7B59">
        <w:rPr>
          <w:lang w:val="fr-FR"/>
        </w:rPr>
        <w:t xml:space="preserve"> contre 10,7</w:t>
      </w:r>
      <w:r w:rsidR="007B382B">
        <w:rPr>
          <w:lang w:val="fr-FR"/>
        </w:rPr>
        <w:t> %</w:t>
      </w:r>
      <w:r w:rsidRPr="001C7B59">
        <w:rPr>
          <w:lang w:val="fr-FR"/>
        </w:rPr>
        <w:t xml:space="preserve">). </w:t>
      </w:r>
    </w:p>
    <w:p w:rsidR="00822778" w:rsidRPr="00822778" w:rsidRDefault="00822778" w:rsidP="00822778">
      <w:pPr>
        <w:pStyle w:val="SingleTxt"/>
        <w:spacing w:after="0" w:line="120" w:lineRule="exact"/>
        <w:rPr>
          <w:sz w:val="10"/>
          <w:lang w:val="fr-FR"/>
        </w:rPr>
      </w:pPr>
    </w:p>
    <w:p w:rsidR="004432C5" w:rsidRPr="001C7B59" w:rsidRDefault="00822778" w:rsidP="0082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22778">
        <w:rPr>
          <w:b w:val="0"/>
          <w:lang w:val="fr-FR"/>
        </w:rPr>
        <w:t>Tableau n° 1</w:t>
      </w:r>
      <w:r w:rsidRPr="00822778">
        <w:rPr>
          <w:b w:val="0"/>
          <w:lang w:val="fr-FR"/>
        </w:rPr>
        <w:br/>
      </w:r>
      <w:r w:rsidR="00E15F6D" w:rsidRPr="001C7B59">
        <w:rPr>
          <w:lang w:val="fr-FR"/>
        </w:rPr>
        <w:t>Évolution</w:t>
      </w:r>
      <w:r w:rsidR="004432C5" w:rsidRPr="001C7B59">
        <w:rPr>
          <w:lang w:val="fr-FR"/>
        </w:rPr>
        <w:t xml:space="preserve"> du </w:t>
      </w:r>
      <w:r w:rsidR="00D60176" w:rsidRPr="001C7B59">
        <w:rPr>
          <w:lang w:val="fr-FR"/>
        </w:rPr>
        <w:t>taux</w:t>
      </w:r>
      <w:r w:rsidR="004432C5" w:rsidRPr="001C7B59">
        <w:rPr>
          <w:lang w:val="fr-FR"/>
        </w:rPr>
        <w:t xml:space="preserve"> brut de scolarisation par milieu et par sexe au plan national</w:t>
      </w:r>
    </w:p>
    <w:p w:rsidR="004432C5" w:rsidRDefault="004432C5" w:rsidP="00822778">
      <w:pPr>
        <w:pStyle w:val="SingleTxt"/>
        <w:spacing w:after="0" w:line="120" w:lineRule="exact"/>
        <w:rPr>
          <w:sz w:val="10"/>
          <w:lang w:val="fr-FR"/>
        </w:rPr>
      </w:pPr>
    </w:p>
    <w:p w:rsidR="00822778" w:rsidRPr="00822778" w:rsidRDefault="00822778" w:rsidP="00822778">
      <w:pPr>
        <w:pStyle w:val="SingleTxt"/>
        <w:spacing w:after="0" w:line="120" w:lineRule="exact"/>
        <w:rPr>
          <w:sz w:val="10"/>
          <w:lang w:val="fr-FR"/>
        </w:rPr>
      </w:pPr>
    </w:p>
    <w:tbl>
      <w:tblPr>
        <w:tblW w:w="7317" w:type="dxa"/>
        <w:tblInd w:w="1278" w:type="dxa"/>
        <w:tblCellMar>
          <w:left w:w="0" w:type="dxa"/>
          <w:right w:w="0" w:type="dxa"/>
        </w:tblCellMar>
        <w:tblLook w:val="04A0" w:firstRow="1" w:lastRow="0" w:firstColumn="1" w:lastColumn="0" w:noHBand="0" w:noVBand="1"/>
      </w:tblPr>
      <w:tblGrid>
        <w:gridCol w:w="1099"/>
        <w:gridCol w:w="1019"/>
        <w:gridCol w:w="1019"/>
        <w:gridCol w:w="1019"/>
        <w:gridCol w:w="1019"/>
        <w:gridCol w:w="1064"/>
        <w:gridCol w:w="1078"/>
      </w:tblGrid>
      <w:tr w:rsidR="00822778" w:rsidRPr="00B4237B" w:rsidTr="00822778">
        <w:trPr>
          <w:trHeight w:val="240"/>
          <w:tblHeader/>
        </w:trPr>
        <w:tc>
          <w:tcPr>
            <w:tcW w:w="1099"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0" w:right="40"/>
              <w:jc w:val="left"/>
              <w:rPr>
                <w:bCs/>
                <w:i/>
                <w:sz w:val="14"/>
                <w:szCs w:val="24"/>
                <w:lang w:val="fr-FR"/>
              </w:rPr>
            </w:pPr>
          </w:p>
        </w:tc>
        <w:tc>
          <w:tcPr>
            <w:tcW w:w="1019"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2007-2008</w:t>
            </w:r>
          </w:p>
        </w:tc>
        <w:tc>
          <w:tcPr>
            <w:tcW w:w="1019"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2008-2009</w:t>
            </w:r>
          </w:p>
        </w:tc>
        <w:tc>
          <w:tcPr>
            <w:tcW w:w="1019"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2009-2010</w:t>
            </w:r>
          </w:p>
        </w:tc>
        <w:tc>
          <w:tcPr>
            <w:tcW w:w="1019"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2010-2011</w:t>
            </w:r>
          </w:p>
        </w:tc>
        <w:tc>
          <w:tcPr>
            <w:tcW w:w="1064"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2011-2012</w:t>
            </w:r>
          </w:p>
        </w:tc>
        <w:tc>
          <w:tcPr>
            <w:tcW w:w="107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Gain</w:t>
            </w:r>
          </w:p>
        </w:tc>
      </w:tr>
      <w:tr w:rsidR="00822778" w:rsidRPr="00B4237B" w:rsidTr="00822778">
        <w:trPr>
          <w:trHeight w:hRule="exact" w:val="115"/>
          <w:tblHeader/>
        </w:trPr>
        <w:tc>
          <w:tcPr>
            <w:tcW w:w="109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0" w:right="40"/>
              <w:jc w:val="left"/>
              <w:rPr>
                <w:bCs/>
                <w:sz w:val="17"/>
                <w:szCs w:val="24"/>
                <w:lang w:val="fr-FR"/>
              </w:rPr>
            </w:pPr>
          </w:p>
        </w:tc>
        <w:tc>
          <w:tcPr>
            <w:tcW w:w="101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01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01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01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064"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07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Ensemble</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62, 1</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67, 8</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72, 9</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76, 1</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79,2</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11,4</w:t>
            </w: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Garçons</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71,2</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77</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81 ,9</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84 ,9</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87,6</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10,8</w:t>
            </w: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Filles</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53,1</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58 ,6</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63 ,9</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67,3</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70,7</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12,1</w:t>
            </w: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Urbain</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73,2</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78</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80 ,8</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99,1</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108,2</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30,2</w:t>
            </w: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Rural</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58,4</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64 ,4</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70 ,3</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70</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71,4</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w:t>
            </w:r>
          </w:p>
        </w:tc>
      </w:tr>
      <w:tr w:rsidR="00822778" w:rsidRPr="00B4237B" w:rsidTr="00822778">
        <w:trPr>
          <w:cantSplit/>
          <w:trHeight w:val="240"/>
        </w:trPr>
        <w:tc>
          <w:tcPr>
            <w:tcW w:w="109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Indice de parité F /G</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0,75</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0,76</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0, 78</w:t>
            </w:r>
          </w:p>
        </w:tc>
        <w:tc>
          <w:tcPr>
            <w:tcW w:w="101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0,79</w:t>
            </w:r>
          </w:p>
        </w:tc>
        <w:tc>
          <w:tcPr>
            <w:tcW w:w="1064"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0,8</w:t>
            </w:r>
          </w:p>
        </w:tc>
        <w:tc>
          <w:tcPr>
            <w:tcW w:w="107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0,05</w:t>
            </w:r>
          </w:p>
        </w:tc>
      </w:tr>
      <w:tr w:rsidR="00822778" w:rsidRPr="00B4237B" w:rsidTr="00822778">
        <w:trPr>
          <w:cantSplit/>
          <w:trHeight w:val="240"/>
        </w:trPr>
        <w:tc>
          <w:tcPr>
            <w:tcW w:w="109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Indice de parité U/R</w:t>
            </w:r>
          </w:p>
        </w:tc>
        <w:tc>
          <w:tcPr>
            <w:tcW w:w="101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1,25</w:t>
            </w:r>
          </w:p>
        </w:tc>
        <w:tc>
          <w:tcPr>
            <w:tcW w:w="101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1,21</w:t>
            </w:r>
          </w:p>
        </w:tc>
        <w:tc>
          <w:tcPr>
            <w:tcW w:w="101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1,15</w:t>
            </w:r>
          </w:p>
        </w:tc>
        <w:tc>
          <w:tcPr>
            <w:tcW w:w="101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1,42</w:t>
            </w:r>
          </w:p>
        </w:tc>
        <w:tc>
          <w:tcPr>
            <w:tcW w:w="1064"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1,5</w:t>
            </w:r>
          </w:p>
        </w:tc>
        <w:tc>
          <w:tcPr>
            <w:tcW w:w="107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0,31</w:t>
            </w:r>
          </w:p>
        </w:tc>
      </w:tr>
    </w:tbl>
    <w:p w:rsidR="00822778" w:rsidRPr="00822778" w:rsidRDefault="00822778" w:rsidP="00822778">
      <w:pPr>
        <w:pStyle w:val="SingleTxt"/>
        <w:spacing w:after="0" w:line="120" w:lineRule="exact"/>
        <w:rPr>
          <w:sz w:val="10"/>
          <w:lang w:val="fr-FR"/>
        </w:rPr>
      </w:pPr>
    </w:p>
    <w:p w:rsidR="004432C5" w:rsidRDefault="004432C5" w:rsidP="00822778">
      <w:pPr>
        <w:pStyle w:val="FootnoteText"/>
        <w:tabs>
          <w:tab w:val="right" w:pos="1476"/>
          <w:tab w:val="left" w:pos="1548"/>
          <w:tab w:val="right" w:pos="1836"/>
          <w:tab w:val="left" w:pos="1908"/>
        </w:tabs>
        <w:ind w:left="1548" w:right="1267" w:hanging="288"/>
        <w:rPr>
          <w:lang w:val="fr-FR"/>
        </w:rPr>
      </w:pPr>
      <w:r w:rsidRPr="00822778">
        <w:rPr>
          <w:i/>
          <w:lang w:val="fr-FR"/>
        </w:rPr>
        <w:t>Source</w:t>
      </w:r>
      <w:r w:rsidR="00DB6EAF" w:rsidRPr="001C7B59">
        <w:rPr>
          <w:b/>
          <w:lang w:val="fr-FR"/>
        </w:rPr>
        <w:t> </w:t>
      </w:r>
      <w:r w:rsidR="00907513" w:rsidRPr="00907513">
        <w:rPr>
          <w:lang w:val="fr-FR"/>
        </w:rPr>
        <w:t>:</w:t>
      </w:r>
      <w:r w:rsidRPr="001C7B59">
        <w:rPr>
          <w:lang w:val="fr-FR"/>
        </w:rPr>
        <w:t xml:space="preserve"> Statistiques de l</w:t>
      </w:r>
      <w:r w:rsidR="00DB6EAF" w:rsidRPr="001C7B59">
        <w:rPr>
          <w:lang w:val="fr-FR"/>
        </w:rPr>
        <w:t>’</w:t>
      </w:r>
      <w:r w:rsidRPr="001C7B59">
        <w:rPr>
          <w:lang w:val="fr-FR"/>
        </w:rPr>
        <w:t>éducation de base, annuaire de 2011/2012, MEN</w:t>
      </w:r>
      <w:r w:rsidR="00822778">
        <w:rPr>
          <w:lang w:val="fr-FR"/>
        </w:rPr>
        <w:t>.</w:t>
      </w: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nombre d</w:t>
      </w:r>
      <w:r w:rsidR="00DB6EAF" w:rsidRPr="001C7B59">
        <w:rPr>
          <w:lang w:val="fr-FR"/>
        </w:rPr>
        <w:t>’</w:t>
      </w:r>
      <w:r w:rsidRPr="001C7B59">
        <w:rPr>
          <w:lang w:val="fr-FR"/>
        </w:rPr>
        <w:t>écoles du cycle de base1 a connu une augmentation substantielle au cours de la période 2001-2002 à 2010-2011, passant de 5975 à 13763 écoles. Le milieu rural avec environ 80</w:t>
      </w:r>
      <w:r w:rsidR="007B382B">
        <w:rPr>
          <w:lang w:val="fr-FR"/>
        </w:rPr>
        <w:t> %</w:t>
      </w:r>
      <w:r w:rsidRPr="001C7B59">
        <w:rPr>
          <w:lang w:val="fr-FR"/>
        </w:rPr>
        <w:t xml:space="preserve"> de la population du pays, dispose plus d</w:t>
      </w:r>
      <w:r w:rsidR="00DB6EAF" w:rsidRPr="001C7B59">
        <w:rPr>
          <w:lang w:val="fr-FR"/>
        </w:rPr>
        <w:t>’</w:t>
      </w:r>
      <w:r w:rsidRPr="001C7B59">
        <w:rPr>
          <w:lang w:val="fr-FR"/>
        </w:rPr>
        <w:t>établissements scolaires (86,8</w:t>
      </w:r>
      <w:r w:rsidR="007B382B">
        <w:rPr>
          <w:lang w:val="fr-FR"/>
        </w:rPr>
        <w:t> %</w:t>
      </w:r>
      <w:r w:rsidRPr="001C7B59">
        <w:rPr>
          <w:lang w:val="fr-FR"/>
        </w:rPr>
        <w:t xml:space="preserve"> des écoles) que le milieu urbain. En outre, le nombre de salles de classe utilisées est passé de 15 065 en 2000-2001 à 28879 en 2006-2009 puis à 44 225 en 2010-2011. On dénombre quatre élèves pour une table et cette situation est plus aigüe en milieu rural ou cinq élèves se partagent une table. Concernant les manuels scolaires, l</w:t>
      </w:r>
      <w:r w:rsidR="00DB6EAF" w:rsidRPr="001C7B59">
        <w:rPr>
          <w:lang w:val="fr-FR"/>
        </w:rPr>
        <w:t>’</w:t>
      </w:r>
      <w:r w:rsidRPr="001C7B59">
        <w:rPr>
          <w:lang w:val="fr-FR"/>
        </w:rPr>
        <w:t>option retenue dans le cadre du Programme décennal de développement de l</w:t>
      </w:r>
      <w:r w:rsidR="00DB6EAF" w:rsidRPr="001C7B59">
        <w:rPr>
          <w:lang w:val="fr-FR"/>
        </w:rPr>
        <w:t>’</w:t>
      </w:r>
      <w:r w:rsidR="00D60176" w:rsidRPr="001C7B59">
        <w:rPr>
          <w:lang w:val="fr-FR"/>
        </w:rPr>
        <w:t>éducation</w:t>
      </w:r>
      <w:r w:rsidRPr="001C7B59">
        <w:rPr>
          <w:lang w:val="fr-FR"/>
        </w:rPr>
        <w:t xml:space="preserve"> (PDDE) est de doter chaque élève du cycle de base1 d</w:t>
      </w:r>
      <w:r w:rsidR="00DB6EAF" w:rsidRPr="001C7B59">
        <w:rPr>
          <w:lang w:val="fr-FR"/>
        </w:rPr>
        <w:t>’</w:t>
      </w:r>
      <w:r w:rsidRPr="001C7B59">
        <w:rPr>
          <w:lang w:val="fr-FR"/>
        </w:rPr>
        <w:t>un manuel dans les disciplines fondamentales (lecture, mathématiques et sciences).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performances en matière de qualité sont appréciées ici à partir de trois indicateurs</w:t>
      </w:r>
      <w:r w:rsidR="00DB6EAF" w:rsidRPr="001C7B59">
        <w:rPr>
          <w:lang w:val="fr-FR"/>
        </w:rPr>
        <w:t> :</w:t>
      </w:r>
      <w:r w:rsidRPr="001C7B59">
        <w:rPr>
          <w:lang w:val="fr-FR"/>
        </w:rPr>
        <w:t xml:space="preserve"> le taux d</w:t>
      </w:r>
      <w:r w:rsidR="00DB6EAF" w:rsidRPr="001C7B59">
        <w:rPr>
          <w:lang w:val="fr-FR"/>
        </w:rPr>
        <w:t>’</w:t>
      </w:r>
      <w:r w:rsidRPr="001C7B59">
        <w:rPr>
          <w:lang w:val="fr-FR"/>
        </w:rPr>
        <w:t>achèvement, le taux de réussite aux examens de fin de cycle et le taux de survie.</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taux d</w:t>
      </w:r>
      <w:r w:rsidR="00DB6EAF" w:rsidRPr="001C7B59">
        <w:rPr>
          <w:lang w:val="fr-FR"/>
        </w:rPr>
        <w:t>’</w:t>
      </w:r>
      <w:r w:rsidRPr="001C7B59">
        <w:rPr>
          <w:lang w:val="fr-FR"/>
        </w:rPr>
        <w:t>achèvement</w:t>
      </w:r>
      <w:r w:rsidR="001C7B59" w:rsidRPr="001C7B59">
        <w:rPr>
          <w:lang w:val="fr-FR"/>
        </w:rPr>
        <w:t xml:space="preserve"> </w:t>
      </w:r>
      <w:r w:rsidRPr="001C7B59">
        <w:rPr>
          <w:lang w:val="fr-FR"/>
        </w:rPr>
        <w:t>s</w:t>
      </w:r>
      <w:r w:rsidR="00DB6EAF" w:rsidRPr="001C7B59">
        <w:rPr>
          <w:lang w:val="fr-FR"/>
        </w:rPr>
        <w:t>’</w:t>
      </w:r>
      <w:r w:rsidRPr="001C7B59">
        <w:rPr>
          <w:lang w:val="fr-FR"/>
        </w:rPr>
        <w:t>est amélioré au cycle de base1 au cours de la période 2007-2008 et 2010-2011, il est passé de 45,8</w:t>
      </w:r>
      <w:r w:rsidR="007B382B">
        <w:rPr>
          <w:lang w:val="fr-FR"/>
        </w:rPr>
        <w:t> %</w:t>
      </w:r>
      <w:r w:rsidRPr="001C7B59">
        <w:rPr>
          <w:lang w:val="fr-FR"/>
        </w:rPr>
        <w:t xml:space="preserve"> à 51,2</w:t>
      </w:r>
      <w:r w:rsidR="007B382B">
        <w:rPr>
          <w:lang w:val="fr-FR"/>
        </w:rPr>
        <w:t> %</w:t>
      </w:r>
      <w:r w:rsidRPr="001C7B59">
        <w:rPr>
          <w:lang w:val="fr-FR"/>
        </w:rPr>
        <w:t>, soit un gain de 5,4</w:t>
      </w:r>
      <w:r w:rsidR="007B382B">
        <w:rPr>
          <w:lang w:val="fr-FR"/>
        </w:rPr>
        <w:t>  %</w:t>
      </w:r>
      <w:r w:rsidRPr="001C7B59">
        <w:rPr>
          <w:lang w:val="fr-FR"/>
        </w:rPr>
        <w: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Pour ce qui est du taux de réussite enregistré au </w:t>
      </w:r>
      <w:r w:rsidR="008E5553">
        <w:rPr>
          <w:lang w:val="fr-FR"/>
        </w:rPr>
        <w:t>c</w:t>
      </w:r>
      <w:r w:rsidRPr="001C7B59">
        <w:rPr>
          <w:lang w:val="fr-FR"/>
        </w:rPr>
        <w:t xml:space="preserve">ertificat du </w:t>
      </w:r>
      <w:r w:rsidR="008E5553">
        <w:rPr>
          <w:lang w:val="fr-FR"/>
        </w:rPr>
        <w:t>f</w:t>
      </w:r>
      <w:r w:rsidRPr="001C7B59">
        <w:rPr>
          <w:lang w:val="fr-FR"/>
        </w:rPr>
        <w:t>in d</w:t>
      </w:r>
      <w:r w:rsidR="00DB6EAF" w:rsidRPr="001C7B59">
        <w:rPr>
          <w:lang w:val="fr-FR"/>
        </w:rPr>
        <w:t>’</w:t>
      </w:r>
      <w:r w:rsidR="008E5553">
        <w:rPr>
          <w:lang w:val="fr-FR"/>
        </w:rPr>
        <w:t>étude</w:t>
      </w:r>
      <w:r w:rsidRPr="001C7B59">
        <w:rPr>
          <w:lang w:val="fr-FR"/>
        </w:rPr>
        <w:t xml:space="preserve"> du </w:t>
      </w:r>
      <w:r w:rsidR="008E5553">
        <w:rPr>
          <w:lang w:val="fr-FR"/>
        </w:rPr>
        <w:t>p</w:t>
      </w:r>
      <w:r w:rsidRPr="001C7B59">
        <w:rPr>
          <w:lang w:val="fr-FR"/>
        </w:rPr>
        <w:t xml:space="preserve">remier </w:t>
      </w:r>
      <w:r w:rsidR="008E5553">
        <w:rPr>
          <w:lang w:val="fr-FR"/>
        </w:rPr>
        <w:t>d</w:t>
      </w:r>
      <w:r w:rsidRPr="001C7B59">
        <w:rPr>
          <w:lang w:val="fr-FR"/>
        </w:rPr>
        <w:t>egré (CFEPD), il a connu une nette amélioration entre 2007-2008 et 2010-2011 passant de 44</w:t>
      </w:r>
      <w:r w:rsidR="007B382B">
        <w:rPr>
          <w:lang w:val="fr-FR"/>
        </w:rPr>
        <w:t> %</w:t>
      </w:r>
      <w:r w:rsidRPr="001C7B59">
        <w:rPr>
          <w:lang w:val="fr-FR"/>
        </w:rPr>
        <w:t xml:space="preserve"> à 63,5</w:t>
      </w:r>
      <w:r w:rsidR="007B382B">
        <w:rPr>
          <w:lang w:val="fr-FR"/>
        </w:rPr>
        <w:t> %</w:t>
      </w:r>
      <w:r w:rsidRPr="001C7B59">
        <w:rPr>
          <w:lang w:val="fr-FR"/>
        </w:rPr>
        <w:t>, soit un gain de14 points. Ce gain est quasiment le même pour les filles que pour les garçons (14,9 points). Les résultats du milieu rural sont très appréciables avec un gain de 15,4 points contre 13,4 pour le milieu urbain sur la même période. Dans ce secteur les filles se maintiennent moins que les garçons avec un taux de 66,7</w:t>
      </w:r>
      <w:r w:rsidR="007B382B">
        <w:rPr>
          <w:lang w:val="fr-FR"/>
        </w:rPr>
        <w:t> %</w:t>
      </w:r>
      <w:r w:rsidRPr="001C7B59">
        <w:rPr>
          <w:lang w:val="fr-FR"/>
        </w:rPr>
        <w:t xml:space="preserve"> contre 71,3</w:t>
      </w:r>
      <w:r w:rsidR="007B382B">
        <w:rPr>
          <w:lang w:val="fr-FR"/>
        </w:rPr>
        <w:t> %</w:t>
      </w:r>
      <w:r w:rsidRPr="001C7B59">
        <w:rPr>
          <w:lang w:val="fr-FR"/>
        </w:rPr>
        <w:t xml:space="preserve"> au plan national.</w:t>
      </w:r>
    </w:p>
    <w:p w:rsidR="00822778" w:rsidRPr="00822778" w:rsidRDefault="00822778" w:rsidP="00822778">
      <w:pPr>
        <w:pStyle w:val="SingleTxt"/>
        <w:spacing w:after="0" w:line="120" w:lineRule="exact"/>
        <w:rPr>
          <w:sz w:val="10"/>
          <w:lang w:val="fr-FR"/>
        </w:rPr>
      </w:pPr>
    </w:p>
    <w:p w:rsidR="004432C5" w:rsidRDefault="00822778" w:rsidP="0082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822778">
        <w:rPr>
          <w:b w:val="0"/>
          <w:lang w:val="fr-FR"/>
        </w:rPr>
        <w:t>Tableau n° 2</w:t>
      </w:r>
      <w:r w:rsidR="00DB6EAF" w:rsidRPr="00822778">
        <w:rPr>
          <w:b w:val="0"/>
          <w:lang w:val="fr-FR"/>
        </w:rPr>
        <w:t> </w:t>
      </w:r>
      <w:r>
        <w:rPr>
          <w:lang w:val="fr-FR"/>
        </w:rPr>
        <w:br/>
      </w:r>
      <w:r w:rsidR="00E15F6D" w:rsidRPr="001C7B59">
        <w:rPr>
          <w:lang w:val="fr-FR"/>
        </w:rPr>
        <w:t>Évolution</w:t>
      </w:r>
      <w:r w:rsidR="004432C5" w:rsidRPr="001C7B59">
        <w:rPr>
          <w:lang w:val="fr-FR"/>
        </w:rPr>
        <w:t xml:space="preserve"> des performances de l</w:t>
      </w:r>
      <w:r w:rsidR="00DB6EAF" w:rsidRPr="001C7B59">
        <w:rPr>
          <w:lang w:val="fr-FR"/>
        </w:rPr>
        <w:t>’</w:t>
      </w:r>
      <w:r w:rsidR="004432C5" w:rsidRPr="001C7B59">
        <w:rPr>
          <w:lang w:val="fr-FR"/>
        </w:rPr>
        <w:t>éducation</w:t>
      </w:r>
    </w:p>
    <w:p w:rsidR="00822778" w:rsidRPr="00822778" w:rsidRDefault="00822778" w:rsidP="00822778">
      <w:pPr>
        <w:pStyle w:val="SingleTxt"/>
        <w:spacing w:after="0" w:line="120" w:lineRule="exact"/>
        <w:rPr>
          <w:sz w:val="10"/>
          <w:lang w:val="fr-FR"/>
        </w:rPr>
      </w:pPr>
    </w:p>
    <w:p w:rsidR="00822778" w:rsidRPr="00822778" w:rsidRDefault="00822778" w:rsidP="00822778">
      <w:pPr>
        <w:pStyle w:val="SingleTxt"/>
        <w:spacing w:after="0" w:line="120" w:lineRule="exact"/>
        <w:rPr>
          <w:sz w:val="10"/>
          <w:lang w:val="fr-FR"/>
        </w:rPr>
      </w:pPr>
    </w:p>
    <w:tbl>
      <w:tblPr>
        <w:tblW w:w="7326" w:type="dxa"/>
        <w:tblInd w:w="1269" w:type="dxa"/>
        <w:tblCellMar>
          <w:left w:w="0" w:type="dxa"/>
          <w:right w:w="0" w:type="dxa"/>
        </w:tblCellMar>
        <w:tblLook w:val="04A0" w:firstRow="1" w:lastRow="0" w:firstColumn="1" w:lastColumn="0" w:noHBand="0" w:noVBand="1"/>
      </w:tblPr>
      <w:tblGrid>
        <w:gridCol w:w="1293"/>
        <w:gridCol w:w="1195"/>
        <w:gridCol w:w="1195"/>
        <w:gridCol w:w="1195"/>
        <w:gridCol w:w="1195"/>
        <w:gridCol w:w="1253"/>
      </w:tblGrid>
      <w:tr w:rsidR="00822778" w:rsidRPr="00B4237B" w:rsidTr="00822778">
        <w:trPr>
          <w:trHeight w:val="240"/>
          <w:tblHeader/>
        </w:trPr>
        <w:tc>
          <w:tcPr>
            <w:tcW w:w="1293"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0" w:right="40"/>
              <w:jc w:val="left"/>
              <w:rPr>
                <w:bCs/>
                <w:i/>
                <w:sz w:val="14"/>
                <w:szCs w:val="24"/>
                <w:lang w:val="fr-FR"/>
              </w:rPr>
            </w:pPr>
          </w:p>
        </w:tc>
        <w:tc>
          <w:tcPr>
            <w:tcW w:w="1195"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2007-2008</w:t>
            </w:r>
          </w:p>
        </w:tc>
        <w:tc>
          <w:tcPr>
            <w:tcW w:w="1195"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2008-2009</w:t>
            </w:r>
          </w:p>
        </w:tc>
        <w:tc>
          <w:tcPr>
            <w:tcW w:w="1195"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2009-2010</w:t>
            </w:r>
          </w:p>
        </w:tc>
        <w:tc>
          <w:tcPr>
            <w:tcW w:w="1195"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2010-2011</w:t>
            </w:r>
          </w:p>
        </w:tc>
        <w:tc>
          <w:tcPr>
            <w:tcW w:w="1253"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Gain</w:t>
            </w:r>
          </w:p>
        </w:tc>
      </w:tr>
      <w:tr w:rsidR="00822778" w:rsidRPr="00B4237B" w:rsidTr="00822778">
        <w:trPr>
          <w:trHeight w:hRule="exact" w:val="115"/>
          <w:tblHeader/>
        </w:trPr>
        <w:tc>
          <w:tcPr>
            <w:tcW w:w="1293"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0" w:right="40"/>
              <w:jc w:val="left"/>
              <w:rPr>
                <w:bCs/>
                <w:sz w:val="17"/>
                <w:szCs w:val="24"/>
                <w:lang w:val="fr-FR"/>
              </w:rPr>
            </w:pPr>
          </w:p>
        </w:tc>
        <w:tc>
          <w:tcPr>
            <w:tcW w:w="1195"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195"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195"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195"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253"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r>
      <w:tr w:rsidR="00822778" w:rsidRPr="00B4237B" w:rsidTr="00822778">
        <w:trPr>
          <w:trHeight w:val="240"/>
        </w:trPr>
        <w:tc>
          <w:tcPr>
            <w:tcW w:w="129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Ensemble</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44</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53,3</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58,7</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63,5</w:t>
            </w:r>
          </w:p>
        </w:tc>
        <w:tc>
          <w:tcPr>
            <w:tcW w:w="125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14,7</w:t>
            </w:r>
          </w:p>
        </w:tc>
      </w:tr>
      <w:tr w:rsidR="00822778" w:rsidRPr="00B4237B" w:rsidTr="00822778">
        <w:trPr>
          <w:trHeight w:val="240"/>
        </w:trPr>
        <w:tc>
          <w:tcPr>
            <w:tcW w:w="129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Garçons</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45,3</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55,3</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60,2</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64,9</w:t>
            </w:r>
          </w:p>
        </w:tc>
        <w:tc>
          <w:tcPr>
            <w:tcW w:w="125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14,9</w:t>
            </w:r>
          </w:p>
        </w:tc>
      </w:tr>
      <w:tr w:rsidR="00822778" w:rsidRPr="00B4237B" w:rsidTr="00822778">
        <w:trPr>
          <w:trHeight w:val="240"/>
        </w:trPr>
        <w:tc>
          <w:tcPr>
            <w:tcW w:w="129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Filles</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41,9</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50,3</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56,6</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61,6</w:t>
            </w:r>
          </w:p>
        </w:tc>
        <w:tc>
          <w:tcPr>
            <w:tcW w:w="125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14,7</w:t>
            </w:r>
          </w:p>
        </w:tc>
      </w:tr>
      <w:tr w:rsidR="00822778" w:rsidRPr="00B4237B" w:rsidTr="00822778">
        <w:trPr>
          <w:trHeight w:val="240"/>
        </w:trPr>
        <w:tc>
          <w:tcPr>
            <w:tcW w:w="129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Urbain</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49,6</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50,3</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56,6</w:t>
            </w:r>
          </w:p>
        </w:tc>
        <w:tc>
          <w:tcPr>
            <w:tcW w:w="1195"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63</w:t>
            </w:r>
          </w:p>
        </w:tc>
        <w:tc>
          <w:tcPr>
            <w:tcW w:w="1253"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13,4</w:t>
            </w:r>
          </w:p>
        </w:tc>
      </w:tr>
      <w:tr w:rsidR="00822778" w:rsidRPr="00B4237B" w:rsidTr="00822778">
        <w:trPr>
          <w:trHeight w:val="240"/>
        </w:trPr>
        <w:tc>
          <w:tcPr>
            <w:tcW w:w="1293"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Rural</w:t>
            </w:r>
          </w:p>
        </w:tc>
        <w:tc>
          <w:tcPr>
            <w:tcW w:w="1195"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41,1</w:t>
            </w:r>
          </w:p>
        </w:tc>
        <w:tc>
          <w:tcPr>
            <w:tcW w:w="1195"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59,4</w:t>
            </w:r>
          </w:p>
        </w:tc>
        <w:tc>
          <w:tcPr>
            <w:tcW w:w="1195"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56,5</w:t>
            </w:r>
          </w:p>
        </w:tc>
        <w:tc>
          <w:tcPr>
            <w:tcW w:w="1195"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61,8</w:t>
            </w:r>
          </w:p>
        </w:tc>
        <w:tc>
          <w:tcPr>
            <w:tcW w:w="1253"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15,4</w:t>
            </w:r>
          </w:p>
        </w:tc>
      </w:tr>
    </w:tbl>
    <w:p w:rsidR="004432C5" w:rsidRPr="00822778" w:rsidRDefault="004432C5" w:rsidP="00822778">
      <w:pPr>
        <w:pStyle w:val="SingleTxt"/>
        <w:spacing w:after="0" w:line="120" w:lineRule="exact"/>
        <w:rPr>
          <w:sz w:val="10"/>
          <w:lang w:val="fr-FR"/>
        </w:rPr>
      </w:pPr>
    </w:p>
    <w:p w:rsidR="004432C5" w:rsidRDefault="004432C5" w:rsidP="00822778">
      <w:pPr>
        <w:pStyle w:val="FootnoteText"/>
        <w:tabs>
          <w:tab w:val="right" w:pos="1476"/>
          <w:tab w:val="left" w:pos="1548"/>
          <w:tab w:val="right" w:pos="1836"/>
          <w:tab w:val="left" w:pos="1908"/>
        </w:tabs>
        <w:ind w:left="1548" w:right="1267" w:hanging="288"/>
        <w:rPr>
          <w:lang w:val="fr-FR"/>
        </w:rPr>
      </w:pPr>
      <w:r w:rsidRPr="00822778">
        <w:rPr>
          <w:i/>
          <w:lang w:val="fr-FR"/>
        </w:rPr>
        <w:t>Source</w:t>
      </w:r>
      <w:r w:rsidR="00DB6EAF" w:rsidRPr="001C7B59">
        <w:rPr>
          <w:b/>
          <w:lang w:val="fr-FR"/>
        </w:rPr>
        <w:t> </w:t>
      </w:r>
      <w:r w:rsidR="00907513" w:rsidRPr="00907513">
        <w:rPr>
          <w:lang w:val="fr-FR"/>
        </w:rPr>
        <w:t>:</w:t>
      </w:r>
      <w:r w:rsidRPr="001C7B59">
        <w:rPr>
          <w:lang w:val="fr-FR"/>
        </w:rPr>
        <w:t xml:space="preserve"> Statistiques de l</w:t>
      </w:r>
      <w:r w:rsidR="00DB6EAF" w:rsidRPr="001C7B59">
        <w:rPr>
          <w:lang w:val="fr-FR"/>
        </w:rPr>
        <w:t>’</w:t>
      </w:r>
      <w:r w:rsidRPr="001C7B59">
        <w:rPr>
          <w:lang w:val="fr-FR"/>
        </w:rPr>
        <w:t>éducation de base, annuaire de 2010-2011, MEN</w:t>
      </w:r>
      <w:r w:rsidR="00822778">
        <w:rPr>
          <w:lang w:val="fr-FR"/>
        </w:rPr>
        <w:t>.</w:t>
      </w: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Ces avancées significatives enregistrées sont le fruit d</w:t>
      </w:r>
      <w:r w:rsidR="00DB6EAF" w:rsidRPr="001C7B59">
        <w:rPr>
          <w:lang w:val="fr-FR"/>
        </w:rPr>
        <w:t>’</w:t>
      </w:r>
      <w:r w:rsidRPr="001C7B59">
        <w:rPr>
          <w:lang w:val="fr-FR"/>
        </w:rPr>
        <w:t>importantes innovations entreprises dans l</w:t>
      </w:r>
      <w:r w:rsidR="00DB6EAF" w:rsidRPr="001C7B59">
        <w:rPr>
          <w:lang w:val="fr-FR"/>
        </w:rPr>
        <w:t>’</w:t>
      </w:r>
      <w:r w:rsidRPr="001C7B59">
        <w:rPr>
          <w:lang w:val="fr-FR"/>
        </w:rPr>
        <w:t>optique de l</w:t>
      </w:r>
      <w:r w:rsidR="00DB6EAF" w:rsidRPr="001C7B59">
        <w:rPr>
          <w:lang w:val="fr-FR"/>
        </w:rPr>
        <w:t>’</w:t>
      </w:r>
      <w:r w:rsidRPr="001C7B59">
        <w:rPr>
          <w:lang w:val="fr-FR"/>
        </w:rPr>
        <w:t>universalisation de l</w:t>
      </w:r>
      <w:r w:rsidR="00DB6EAF" w:rsidRPr="001C7B59">
        <w:rPr>
          <w:lang w:val="fr-FR"/>
        </w:rPr>
        <w:t>’</w:t>
      </w:r>
      <w:r w:rsidRPr="001C7B59">
        <w:rPr>
          <w:lang w:val="fr-FR"/>
        </w:rPr>
        <w:t>enseignement primaire à travers la mise en œuvre du PDDE. Cet intérêt particulier s</w:t>
      </w:r>
      <w:r w:rsidR="00DB6EAF" w:rsidRPr="001C7B59">
        <w:rPr>
          <w:lang w:val="fr-FR"/>
        </w:rPr>
        <w:t>’</w:t>
      </w:r>
      <w:r w:rsidRPr="001C7B59">
        <w:rPr>
          <w:lang w:val="fr-FR"/>
        </w:rPr>
        <w:t>est manifesté aussi bien au niveau des autorités éducatives que de celui des PTF et des OSC.</w:t>
      </w:r>
      <w:r w:rsidR="001C7B59" w:rsidRPr="001C7B59">
        <w:rPr>
          <w:lang w:val="fr-FR"/>
        </w:rPr>
        <w:t xml:space="preserve"> </w:t>
      </w:r>
      <w:r w:rsidRPr="001C7B59">
        <w:rPr>
          <w:lang w:val="fr-FR"/>
        </w:rPr>
        <w:t>Les stratégies mises en œuvre en vue de promouvoir la scolarisation</w:t>
      </w:r>
      <w:r w:rsidR="001C7B59" w:rsidRPr="001C7B59">
        <w:rPr>
          <w:lang w:val="fr-FR"/>
        </w:rPr>
        <w:t xml:space="preserve"> </w:t>
      </w:r>
      <w:r w:rsidRPr="001C7B59">
        <w:rPr>
          <w:lang w:val="fr-FR"/>
        </w:rPr>
        <w:t>en général et celle des filles en particulier, sont à encourager et nécessitent d</w:t>
      </w:r>
      <w:r w:rsidR="00DB6EAF" w:rsidRPr="001C7B59">
        <w:rPr>
          <w:lang w:val="fr-FR"/>
        </w:rPr>
        <w:t>’</w:t>
      </w:r>
      <w:r w:rsidRPr="001C7B59">
        <w:rPr>
          <w:lang w:val="fr-FR"/>
        </w:rPr>
        <w:t>être soutenues. On peut citer</w:t>
      </w:r>
      <w:r w:rsidR="00DB6EAF" w:rsidRPr="001C7B59">
        <w:rPr>
          <w:lang w:val="fr-FR"/>
        </w:rPr>
        <w:t> :</w:t>
      </w:r>
      <w:r w:rsidRPr="001C7B59">
        <w:rPr>
          <w:lang w:val="fr-FR"/>
        </w:rPr>
        <w:t xml:space="preserve"> </w:t>
      </w:r>
    </w:p>
    <w:p w:rsidR="004432C5" w:rsidRPr="001C7B59" w:rsidRDefault="00822778" w:rsidP="00822778">
      <w:pPr>
        <w:pStyle w:val="SingleTxt"/>
        <w:tabs>
          <w:tab w:val="right" w:pos="1685"/>
        </w:tabs>
        <w:ind w:left="1742" w:hanging="475"/>
        <w:rPr>
          <w:lang w:val="fr-FR"/>
        </w:rPr>
      </w:pPr>
      <w:r>
        <w:rPr>
          <w:lang w:val="fr-FR"/>
        </w:rPr>
        <w:tab/>
      </w:r>
      <w:r w:rsidR="00E15F6D">
        <w:rPr>
          <w:lang w:val="fr-FR"/>
        </w:rPr>
        <w:t>•</w:t>
      </w:r>
      <w:r w:rsidR="00E15F6D">
        <w:rPr>
          <w:lang w:val="fr-FR"/>
        </w:rPr>
        <w:tab/>
        <w:t>L</w:t>
      </w:r>
      <w:r w:rsidR="00E15F6D" w:rsidRPr="001C7B59">
        <w:rPr>
          <w:lang w:val="fr-FR"/>
        </w:rPr>
        <w:t>a création d’une Direction de la promotion de la scolarisation des filles en l’an 2000, la désignation des points focaux de la scolarisation des filles au niveau des services déconcentrés du MEN, la création et la mise en place des Associations des mère</w:t>
      </w:r>
      <w:r w:rsidR="00E15F6D">
        <w:rPr>
          <w:lang w:val="fr-FR"/>
        </w:rPr>
        <w:t>s é</w:t>
      </w:r>
      <w:r w:rsidR="00E15F6D" w:rsidRPr="001C7B59">
        <w:rPr>
          <w:lang w:val="fr-FR"/>
        </w:rPr>
        <w:t>ducatrices (AME) etc.;</w:t>
      </w:r>
    </w:p>
    <w:p w:rsidR="004432C5" w:rsidRPr="001C7B59" w:rsidRDefault="00822778" w:rsidP="00822778">
      <w:pPr>
        <w:pStyle w:val="SingleTxt"/>
        <w:tabs>
          <w:tab w:val="right" w:pos="1685"/>
        </w:tabs>
        <w:ind w:left="1742" w:hanging="475"/>
        <w:rPr>
          <w:lang w:val="fr-FR"/>
        </w:rPr>
      </w:pPr>
      <w:r>
        <w:rPr>
          <w:lang w:val="fr-FR"/>
        </w:rPr>
        <w:tab/>
        <w:t>•</w:t>
      </w:r>
      <w:r>
        <w:rPr>
          <w:lang w:val="fr-FR"/>
        </w:rPr>
        <w:tab/>
        <w:t>U</w:t>
      </w:r>
      <w:r w:rsidR="004432C5" w:rsidRPr="001C7B59">
        <w:rPr>
          <w:lang w:val="fr-FR"/>
        </w:rPr>
        <w:t>ne plus grande mobilisation sociale en faveur de la scolarisation des filles par des actions de sensibilisation des communautés et de plaidoyer en direction des décideurs</w:t>
      </w:r>
      <w:r w:rsidR="00DB6EAF" w:rsidRPr="001C7B59">
        <w:rPr>
          <w:lang w:val="fr-FR"/>
        </w:rPr>
        <w:t>;</w:t>
      </w:r>
    </w:p>
    <w:p w:rsidR="004432C5" w:rsidRPr="001C7B59" w:rsidRDefault="00822778" w:rsidP="00822778">
      <w:pPr>
        <w:pStyle w:val="SingleTxt"/>
        <w:tabs>
          <w:tab w:val="right" w:pos="1685"/>
        </w:tabs>
        <w:ind w:left="1742" w:hanging="475"/>
        <w:rPr>
          <w:lang w:val="fr-FR"/>
        </w:rPr>
      </w:pPr>
      <w:r>
        <w:rPr>
          <w:lang w:val="fr-FR"/>
        </w:rPr>
        <w:tab/>
        <w:t>•</w:t>
      </w:r>
      <w:r>
        <w:rPr>
          <w:lang w:val="fr-FR"/>
        </w:rPr>
        <w:tab/>
        <w:t>L</w:t>
      </w:r>
      <w:r w:rsidR="004432C5" w:rsidRPr="001C7B59">
        <w:rPr>
          <w:lang w:val="fr-FR"/>
        </w:rPr>
        <w:t>a valorisation d</w:t>
      </w:r>
      <w:r w:rsidR="00DB6EAF" w:rsidRPr="001C7B59">
        <w:rPr>
          <w:lang w:val="fr-FR"/>
        </w:rPr>
        <w:t>’</w:t>
      </w:r>
      <w:r w:rsidR="004432C5" w:rsidRPr="001C7B59">
        <w:rPr>
          <w:lang w:val="fr-FR"/>
        </w:rPr>
        <w:t>une approche participative avec une forte implication des communautés dans la gestion de l</w:t>
      </w:r>
      <w:r w:rsidR="00DB6EAF" w:rsidRPr="001C7B59">
        <w:rPr>
          <w:lang w:val="fr-FR"/>
        </w:rPr>
        <w:t>’</w:t>
      </w:r>
      <w:r w:rsidR="004432C5" w:rsidRPr="001C7B59">
        <w:rPr>
          <w:lang w:val="fr-FR"/>
        </w:rPr>
        <w:t>école.</w:t>
      </w:r>
    </w:p>
    <w:p w:rsidR="00822778" w:rsidRPr="00822778" w:rsidRDefault="00822778" w:rsidP="00822778">
      <w:pPr>
        <w:pStyle w:val="SingleTxt"/>
        <w:spacing w:after="0" w:line="120" w:lineRule="exact"/>
        <w:rPr>
          <w:sz w:val="10"/>
          <w:lang w:val="fr-FR"/>
        </w:rPr>
      </w:pPr>
    </w:p>
    <w:p w:rsidR="004432C5" w:rsidRDefault="00822778" w:rsidP="0082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822778">
        <w:rPr>
          <w:b w:val="0"/>
          <w:lang w:val="fr-FR"/>
        </w:rPr>
        <w:t>Tableau n° 3</w:t>
      </w:r>
      <w:r w:rsidR="00DB6EAF" w:rsidRPr="00822778">
        <w:rPr>
          <w:b w:val="0"/>
          <w:lang w:val="fr-FR"/>
        </w:rPr>
        <w:t> </w:t>
      </w:r>
      <w:r>
        <w:rPr>
          <w:b w:val="0"/>
          <w:lang w:val="fr-FR"/>
        </w:rPr>
        <w:br/>
      </w:r>
      <w:r w:rsidR="00E15F6D" w:rsidRPr="001C7B59">
        <w:rPr>
          <w:lang w:val="fr-FR"/>
        </w:rPr>
        <w:t>Évolution</w:t>
      </w:r>
      <w:r w:rsidR="004432C5" w:rsidRPr="001C7B59">
        <w:rPr>
          <w:lang w:val="fr-FR"/>
        </w:rPr>
        <w:t xml:space="preserve"> des nouveaux inscrits en première année du cycle de base 1 </w:t>
      </w:r>
      <w:r>
        <w:rPr>
          <w:lang w:val="fr-FR"/>
        </w:rPr>
        <w:br/>
      </w:r>
      <w:r w:rsidR="004432C5" w:rsidRPr="001C7B59">
        <w:rPr>
          <w:lang w:val="fr-FR"/>
        </w:rPr>
        <w:t>au plan national </w:t>
      </w:r>
    </w:p>
    <w:p w:rsidR="00822778" w:rsidRPr="00822778" w:rsidRDefault="00822778" w:rsidP="00822778">
      <w:pPr>
        <w:pStyle w:val="SingleTxt"/>
        <w:spacing w:after="0" w:line="120" w:lineRule="exact"/>
        <w:rPr>
          <w:sz w:val="10"/>
          <w:lang w:val="fr-FR"/>
        </w:rPr>
      </w:pPr>
    </w:p>
    <w:p w:rsidR="00822778" w:rsidRPr="00822778" w:rsidRDefault="00822778" w:rsidP="00822778">
      <w:pPr>
        <w:pStyle w:val="SingleTxt"/>
        <w:spacing w:after="0" w:line="120" w:lineRule="exact"/>
        <w:rPr>
          <w:sz w:val="10"/>
          <w:lang w:val="fr-FR"/>
        </w:rPr>
      </w:pPr>
    </w:p>
    <w:tbl>
      <w:tblPr>
        <w:tblW w:w="7335" w:type="dxa"/>
        <w:tblInd w:w="1251" w:type="dxa"/>
        <w:tblCellMar>
          <w:left w:w="0" w:type="dxa"/>
          <w:right w:w="0" w:type="dxa"/>
        </w:tblCellMar>
        <w:tblLook w:val="04A0" w:firstRow="1" w:lastRow="0" w:firstColumn="1" w:lastColumn="0" w:noHBand="0" w:noVBand="1"/>
      </w:tblPr>
      <w:tblGrid>
        <w:gridCol w:w="916"/>
        <w:gridCol w:w="998"/>
        <w:gridCol w:w="998"/>
        <w:gridCol w:w="998"/>
        <w:gridCol w:w="998"/>
        <w:gridCol w:w="998"/>
        <w:gridCol w:w="1429"/>
      </w:tblGrid>
      <w:tr w:rsidR="00822778" w:rsidRPr="00B4237B" w:rsidTr="00822778">
        <w:trPr>
          <w:trHeight w:val="240"/>
          <w:tblHeader/>
        </w:trPr>
        <w:tc>
          <w:tcPr>
            <w:tcW w:w="916"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0" w:right="40"/>
              <w:jc w:val="left"/>
              <w:rPr>
                <w:bCs/>
                <w:i/>
                <w:sz w:val="14"/>
                <w:szCs w:val="24"/>
                <w:lang w:val="fr-FR"/>
              </w:rPr>
            </w:pPr>
            <w:r w:rsidRPr="00B4237B">
              <w:rPr>
                <w:bCs/>
                <w:i/>
                <w:sz w:val="14"/>
                <w:szCs w:val="24"/>
                <w:lang w:val="fr-FR"/>
              </w:rPr>
              <w:t>Sexe</w:t>
            </w:r>
          </w:p>
        </w:tc>
        <w:tc>
          <w:tcPr>
            <w:tcW w:w="99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2007-2008</w:t>
            </w:r>
          </w:p>
        </w:tc>
        <w:tc>
          <w:tcPr>
            <w:tcW w:w="99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2008-2009</w:t>
            </w:r>
          </w:p>
        </w:tc>
        <w:tc>
          <w:tcPr>
            <w:tcW w:w="99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2009-2010</w:t>
            </w:r>
          </w:p>
        </w:tc>
        <w:tc>
          <w:tcPr>
            <w:tcW w:w="99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2010-2011</w:t>
            </w:r>
          </w:p>
        </w:tc>
        <w:tc>
          <w:tcPr>
            <w:tcW w:w="998" w:type="dxa"/>
            <w:tcBorders>
              <w:top w:val="single" w:sz="4" w:space="0" w:color="auto"/>
              <w:bottom w:val="single" w:sz="12" w:space="0" w:color="auto"/>
            </w:tcBorders>
            <w:shd w:val="clear" w:color="auto" w:fill="auto"/>
            <w:vAlign w:val="bottom"/>
          </w:tcPr>
          <w:p w:rsidR="00822778" w:rsidRPr="00B4237B" w:rsidRDefault="00822778" w:rsidP="00DD7DAB">
            <w:pPr>
              <w:pStyle w:val="SingleTxtG"/>
              <w:spacing w:before="81" w:after="81" w:line="160" w:lineRule="exact"/>
              <w:ind w:left="144" w:right="43"/>
              <w:jc w:val="right"/>
              <w:rPr>
                <w:bCs/>
                <w:i/>
                <w:sz w:val="14"/>
                <w:szCs w:val="24"/>
                <w:lang w:val="fr-FR"/>
              </w:rPr>
            </w:pPr>
            <w:r w:rsidRPr="00B4237B">
              <w:rPr>
                <w:bCs/>
                <w:i/>
                <w:sz w:val="14"/>
                <w:szCs w:val="24"/>
                <w:lang w:val="fr-FR"/>
              </w:rPr>
              <w:t>2011-2012</w:t>
            </w:r>
          </w:p>
        </w:tc>
        <w:tc>
          <w:tcPr>
            <w:tcW w:w="1429" w:type="dxa"/>
            <w:tcBorders>
              <w:top w:val="single" w:sz="4" w:space="0" w:color="auto"/>
              <w:bottom w:val="single" w:sz="12" w:space="0" w:color="auto"/>
            </w:tcBorders>
            <w:shd w:val="clear" w:color="auto" w:fill="auto"/>
            <w:vAlign w:val="bottom"/>
          </w:tcPr>
          <w:p w:rsidR="00822778" w:rsidRPr="00B4237B" w:rsidRDefault="00822778" w:rsidP="00822778">
            <w:pPr>
              <w:pStyle w:val="SingleTxtG"/>
              <w:spacing w:before="81" w:after="81" w:line="160" w:lineRule="exact"/>
              <w:ind w:left="144" w:right="43"/>
              <w:jc w:val="right"/>
              <w:rPr>
                <w:bCs/>
                <w:i/>
                <w:sz w:val="14"/>
                <w:szCs w:val="24"/>
                <w:lang w:val="fr-FR"/>
              </w:rPr>
            </w:pPr>
            <w:r w:rsidRPr="00B4237B">
              <w:rPr>
                <w:bCs/>
                <w:i/>
                <w:sz w:val="14"/>
                <w:szCs w:val="24"/>
                <w:lang w:val="fr-FR"/>
              </w:rPr>
              <w:t>Accroissement</w:t>
            </w:r>
            <w:r>
              <w:rPr>
                <w:bCs/>
                <w:i/>
                <w:sz w:val="14"/>
                <w:szCs w:val="24"/>
                <w:lang w:val="fr-FR"/>
              </w:rPr>
              <w:br/>
              <w:t>a</w:t>
            </w:r>
            <w:r w:rsidRPr="00B4237B">
              <w:rPr>
                <w:bCs/>
                <w:i/>
                <w:sz w:val="14"/>
                <w:szCs w:val="24"/>
                <w:lang w:val="fr-FR"/>
              </w:rPr>
              <w:t>nnuel moyen</w:t>
            </w:r>
            <w:r>
              <w:rPr>
                <w:bCs/>
                <w:i/>
                <w:sz w:val="14"/>
                <w:szCs w:val="24"/>
                <w:lang w:val="fr-FR"/>
              </w:rPr>
              <w:br/>
              <w:t>(pourcentage)</w:t>
            </w:r>
          </w:p>
        </w:tc>
      </w:tr>
      <w:tr w:rsidR="00822778" w:rsidRPr="00B4237B" w:rsidTr="00822778">
        <w:trPr>
          <w:trHeight w:hRule="exact" w:val="115"/>
          <w:tblHeader/>
        </w:trPr>
        <w:tc>
          <w:tcPr>
            <w:tcW w:w="916"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0" w:right="40"/>
              <w:jc w:val="left"/>
              <w:rPr>
                <w:bCs/>
                <w:sz w:val="17"/>
                <w:szCs w:val="24"/>
                <w:lang w:val="fr-FR"/>
              </w:rPr>
            </w:pPr>
          </w:p>
        </w:tc>
        <w:tc>
          <w:tcPr>
            <w:tcW w:w="99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99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99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99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998"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c>
          <w:tcPr>
            <w:tcW w:w="1429" w:type="dxa"/>
            <w:tcBorders>
              <w:top w:val="single" w:sz="12" w:space="0" w:color="auto"/>
            </w:tcBorders>
            <w:shd w:val="clear" w:color="auto" w:fill="auto"/>
            <w:vAlign w:val="bottom"/>
          </w:tcPr>
          <w:p w:rsidR="00822778" w:rsidRPr="00B4237B" w:rsidRDefault="00822778" w:rsidP="00DD7DAB">
            <w:pPr>
              <w:pStyle w:val="SingleTxtG"/>
              <w:spacing w:before="40" w:after="40" w:line="210" w:lineRule="exact"/>
              <w:ind w:left="144" w:right="43"/>
              <w:jc w:val="right"/>
              <w:rPr>
                <w:bCs/>
                <w:sz w:val="17"/>
                <w:szCs w:val="24"/>
                <w:lang w:val="fr-FR"/>
              </w:rPr>
            </w:pPr>
          </w:p>
        </w:tc>
      </w:tr>
      <w:tr w:rsidR="00822778" w:rsidRPr="00B4237B" w:rsidTr="00822778">
        <w:trPr>
          <w:trHeight w:val="240"/>
        </w:trPr>
        <w:tc>
          <w:tcPr>
            <w:tcW w:w="916"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Ensemble</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342 360</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410975</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463160</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469917</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475166</w:t>
            </w:r>
          </w:p>
        </w:tc>
        <w:tc>
          <w:tcPr>
            <w:tcW w:w="142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Pr>
                <w:bCs/>
                <w:sz w:val="17"/>
                <w:szCs w:val="24"/>
                <w:lang w:val="fr-FR"/>
              </w:rPr>
              <w:t>5</w:t>
            </w:r>
          </w:p>
        </w:tc>
      </w:tr>
      <w:tr w:rsidR="00822778" w:rsidRPr="00B4237B" w:rsidTr="00822778">
        <w:trPr>
          <w:trHeight w:val="240"/>
        </w:trPr>
        <w:tc>
          <w:tcPr>
            <w:tcW w:w="916"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Garçons</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187 303</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226 453</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249 941</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254 941</w:t>
            </w:r>
          </w:p>
        </w:tc>
        <w:tc>
          <w:tcPr>
            <w:tcW w:w="998"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255423</w:t>
            </w:r>
          </w:p>
        </w:tc>
        <w:tc>
          <w:tcPr>
            <w:tcW w:w="1429" w:type="dxa"/>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Pr>
                <w:bCs/>
                <w:sz w:val="17"/>
                <w:szCs w:val="24"/>
                <w:lang w:val="fr-FR"/>
              </w:rPr>
              <w:t>4,1</w:t>
            </w:r>
          </w:p>
        </w:tc>
      </w:tr>
      <w:tr w:rsidR="00822778" w:rsidRPr="00B4237B" w:rsidTr="00822778">
        <w:trPr>
          <w:trHeight w:val="240"/>
        </w:trPr>
        <w:tc>
          <w:tcPr>
            <w:tcW w:w="916"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Filles</w:t>
            </w:r>
          </w:p>
        </w:tc>
        <w:tc>
          <w:tcPr>
            <w:tcW w:w="99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155057</w:t>
            </w:r>
          </w:p>
        </w:tc>
        <w:tc>
          <w:tcPr>
            <w:tcW w:w="99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187 522</w:t>
            </w:r>
          </w:p>
        </w:tc>
        <w:tc>
          <w:tcPr>
            <w:tcW w:w="99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213 219</w:t>
            </w:r>
          </w:p>
        </w:tc>
        <w:tc>
          <w:tcPr>
            <w:tcW w:w="99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215 682</w:t>
            </w:r>
          </w:p>
        </w:tc>
        <w:tc>
          <w:tcPr>
            <w:tcW w:w="998"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219743</w:t>
            </w:r>
          </w:p>
        </w:tc>
        <w:tc>
          <w:tcPr>
            <w:tcW w:w="1429" w:type="dxa"/>
            <w:tcBorders>
              <w:bottom w:val="single" w:sz="12" w:space="0" w:color="auto"/>
            </w:tcBorders>
            <w:shd w:val="clear" w:color="auto" w:fill="auto"/>
            <w:vAlign w:val="bottom"/>
          </w:tcPr>
          <w:p w:rsidR="00822778" w:rsidRPr="00B4237B" w:rsidRDefault="00822778"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Pr>
                <w:bCs/>
                <w:sz w:val="17"/>
                <w:szCs w:val="24"/>
                <w:lang w:val="fr-FR"/>
              </w:rPr>
              <w:t xml:space="preserve"> 6</w:t>
            </w:r>
          </w:p>
        </w:tc>
      </w:tr>
    </w:tbl>
    <w:p w:rsidR="004432C5" w:rsidRPr="00822778" w:rsidRDefault="004432C5" w:rsidP="00822778">
      <w:pPr>
        <w:pStyle w:val="SingleTxt"/>
        <w:spacing w:after="0" w:line="120" w:lineRule="exact"/>
        <w:rPr>
          <w:sz w:val="10"/>
          <w:lang w:val="fr-FR"/>
        </w:rPr>
      </w:pPr>
    </w:p>
    <w:p w:rsidR="004432C5" w:rsidRDefault="004432C5" w:rsidP="00822778">
      <w:pPr>
        <w:pStyle w:val="FootnoteText"/>
        <w:tabs>
          <w:tab w:val="right" w:pos="1476"/>
          <w:tab w:val="left" w:pos="1548"/>
          <w:tab w:val="right" w:pos="1836"/>
          <w:tab w:val="left" w:pos="1908"/>
        </w:tabs>
        <w:ind w:left="1548" w:right="1267" w:hanging="288"/>
        <w:rPr>
          <w:lang w:val="fr-FR"/>
        </w:rPr>
      </w:pPr>
      <w:r w:rsidRPr="00822778">
        <w:rPr>
          <w:i/>
          <w:lang w:val="fr-FR"/>
        </w:rPr>
        <w:t>Source</w:t>
      </w:r>
      <w:r w:rsidR="00DB6EAF" w:rsidRPr="001C7B59">
        <w:rPr>
          <w:b/>
          <w:lang w:val="fr-FR"/>
        </w:rPr>
        <w:t> </w:t>
      </w:r>
      <w:r w:rsidR="00907513" w:rsidRPr="00907513">
        <w:rPr>
          <w:lang w:val="fr-FR"/>
        </w:rPr>
        <w:t>:</w:t>
      </w:r>
      <w:r w:rsidRPr="001C7B59">
        <w:rPr>
          <w:lang w:val="fr-FR"/>
        </w:rPr>
        <w:t xml:space="preserve"> Statistiques de l</w:t>
      </w:r>
      <w:r w:rsidR="00DB6EAF" w:rsidRPr="001C7B59">
        <w:rPr>
          <w:lang w:val="fr-FR"/>
        </w:rPr>
        <w:t>’</w:t>
      </w:r>
      <w:r w:rsidRPr="001C7B59">
        <w:rPr>
          <w:lang w:val="fr-FR"/>
        </w:rPr>
        <w:t>éducation de base, annuaire de 2011-2012, MEN</w:t>
      </w:r>
      <w:r w:rsidR="00822778">
        <w:rPr>
          <w:lang w:val="fr-FR"/>
        </w:rPr>
        <w:t>.</w:t>
      </w: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822778" w:rsidRPr="00822778" w:rsidRDefault="00822778" w:rsidP="00822778">
      <w:pPr>
        <w:pStyle w:val="FootnoteText"/>
        <w:tabs>
          <w:tab w:val="right" w:pos="1476"/>
          <w:tab w:val="left" w:pos="1548"/>
          <w:tab w:val="right" w:pos="1836"/>
          <w:tab w:val="left" w:pos="1908"/>
        </w:tabs>
        <w:spacing w:line="120" w:lineRule="exact"/>
        <w:ind w:left="1548" w:right="1267" w:hanging="288"/>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Le </w:t>
      </w:r>
      <w:r w:rsidR="00D60176" w:rsidRPr="001C7B59">
        <w:rPr>
          <w:lang w:val="fr-FR"/>
        </w:rPr>
        <w:t>taux</w:t>
      </w:r>
      <w:r w:rsidRPr="001C7B59">
        <w:rPr>
          <w:lang w:val="fr-FR"/>
        </w:rPr>
        <w:t xml:space="preserve"> </w:t>
      </w:r>
      <w:r w:rsidR="00D60176" w:rsidRPr="001C7B59">
        <w:rPr>
          <w:lang w:val="fr-FR"/>
        </w:rPr>
        <w:t>brut d’a</w:t>
      </w:r>
      <w:r w:rsidRPr="001C7B59">
        <w:rPr>
          <w:lang w:val="fr-FR"/>
        </w:rPr>
        <w:t>ccès (TBA) est passé de 77,8</w:t>
      </w:r>
      <w:r w:rsidR="007B382B">
        <w:rPr>
          <w:lang w:val="fr-FR"/>
        </w:rPr>
        <w:t> %</w:t>
      </w:r>
      <w:r w:rsidRPr="001C7B59">
        <w:rPr>
          <w:lang w:val="fr-FR"/>
        </w:rPr>
        <w:t xml:space="preserve"> en 2007-2008 à 99,8</w:t>
      </w:r>
      <w:r w:rsidR="007B382B">
        <w:rPr>
          <w:lang w:val="fr-FR"/>
        </w:rPr>
        <w:t> %</w:t>
      </w:r>
      <w:r w:rsidRPr="001C7B59">
        <w:rPr>
          <w:lang w:val="fr-FR"/>
        </w:rPr>
        <w:t xml:space="preserve"> en 2010-2011 et celui des filles a évolué de 71,4</w:t>
      </w:r>
      <w:r w:rsidR="007B382B">
        <w:rPr>
          <w:lang w:val="fr-FR"/>
        </w:rPr>
        <w:t> %</w:t>
      </w:r>
      <w:r w:rsidRPr="001C7B59">
        <w:rPr>
          <w:lang w:val="fr-FR"/>
        </w:rPr>
        <w:t xml:space="preserve"> en 2007-2008 à 92,7</w:t>
      </w:r>
      <w:r w:rsidR="007B382B">
        <w:rPr>
          <w:lang w:val="fr-FR"/>
        </w:rPr>
        <w:t> %</w:t>
      </w:r>
      <w:r w:rsidRPr="001C7B59">
        <w:rPr>
          <w:lang w:val="fr-FR"/>
        </w:rPr>
        <w:t xml:space="preserve"> en 2010-2011, soit un gain de 21,3</w:t>
      </w:r>
      <w:r w:rsidR="007B382B">
        <w:rPr>
          <w:lang w:val="fr-FR"/>
        </w:rPr>
        <w:t> %</w:t>
      </w:r>
      <w:r w:rsidRPr="001C7B59">
        <w:rPr>
          <w:lang w:val="fr-FR"/>
        </w:rPr>
        <w:t xml:space="preserve">. Le </w:t>
      </w:r>
      <w:r w:rsidR="00D60176" w:rsidRPr="001C7B59">
        <w:rPr>
          <w:lang w:val="fr-FR"/>
        </w:rPr>
        <w:t>taux</w:t>
      </w:r>
      <w:r w:rsidRPr="001C7B59">
        <w:rPr>
          <w:lang w:val="fr-FR"/>
        </w:rPr>
        <w:t xml:space="preserve"> </w:t>
      </w:r>
      <w:r w:rsidR="00D60176" w:rsidRPr="001C7B59">
        <w:rPr>
          <w:lang w:val="fr-FR"/>
        </w:rPr>
        <w:t>brut de scolarisation</w:t>
      </w:r>
      <w:r w:rsidRPr="001C7B59">
        <w:rPr>
          <w:lang w:val="fr-FR"/>
        </w:rPr>
        <w:t xml:space="preserve"> (TBS) a connu un gain de 14 points pourcentage sur la même période (de 62,1</w:t>
      </w:r>
      <w:r w:rsidR="007B382B">
        <w:rPr>
          <w:lang w:val="fr-FR"/>
        </w:rPr>
        <w:t> %</w:t>
      </w:r>
      <w:r w:rsidRPr="001C7B59">
        <w:rPr>
          <w:lang w:val="fr-FR"/>
        </w:rPr>
        <w:t xml:space="preserve"> à 76,1</w:t>
      </w:r>
      <w:r w:rsidR="007B382B">
        <w:rPr>
          <w:lang w:val="fr-FR"/>
        </w:rPr>
        <w:t> %</w:t>
      </w:r>
      <w:r w:rsidRPr="001C7B59">
        <w:rPr>
          <w:lang w:val="fr-FR"/>
        </w:rPr>
        <w:t>) et celui des filles est passé de 53,1</w:t>
      </w:r>
      <w:r w:rsidR="007B382B">
        <w:rPr>
          <w:lang w:val="fr-FR"/>
        </w:rPr>
        <w:t> %</w:t>
      </w:r>
      <w:r w:rsidRPr="001C7B59">
        <w:rPr>
          <w:lang w:val="fr-FR"/>
        </w:rPr>
        <w:t xml:space="preserve"> en 2007-2008 à 67,3</w:t>
      </w:r>
      <w:r w:rsidR="007B382B">
        <w:rPr>
          <w:lang w:val="fr-FR"/>
        </w:rPr>
        <w:t> %</w:t>
      </w:r>
      <w:r w:rsidRPr="001C7B59">
        <w:rPr>
          <w:lang w:val="fr-FR"/>
        </w:rPr>
        <w:t xml:space="preserve"> en 2010-2011, comme l</w:t>
      </w:r>
      <w:r w:rsidR="00DB6EAF" w:rsidRPr="001C7B59">
        <w:rPr>
          <w:lang w:val="fr-FR"/>
        </w:rPr>
        <w:t>’</w:t>
      </w:r>
      <w:r w:rsidRPr="001C7B59">
        <w:rPr>
          <w:lang w:val="fr-FR"/>
        </w:rPr>
        <w:t>indique le tableau ci-dessus.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Mais il convient de souligner que les attitudes et les comportements des populations, surtout rurales à l</w:t>
      </w:r>
      <w:r w:rsidR="00DB6EAF" w:rsidRPr="001C7B59">
        <w:rPr>
          <w:lang w:val="fr-FR"/>
        </w:rPr>
        <w:t>’</w:t>
      </w:r>
      <w:r w:rsidRPr="001C7B59">
        <w:rPr>
          <w:lang w:val="fr-FR"/>
        </w:rPr>
        <w:t>égard de l</w:t>
      </w:r>
      <w:r w:rsidR="00DB6EAF" w:rsidRPr="001C7B59">
        <w:rPr>
          <w:lang w:val="fr-FR"/>
        </w:rPr>
        <w:t>’</w:t>
      </w:r>
      <w:r w:rsidRPr="001C7B59">
        <w:rPr>
          <w:lang w:val="fr-FR"/>
        </w:rPr>
        <w:t>école ne sont pas toujours favorables. L</w:t>
      </w:r>
      <w:r w:rsidR="00DB6EAF" w:rsidRPr="001C7B59">
        <w:rPr>
          <w:lang w:val="fr-FR"/>
        </w:rPr>
        <w:t>’</w:t>
      </w:r>
      <w:r w:rsidRPr="001C7B59">
        <w:rPr>
          <w:lang w:val="fr-FR"/>
        </w:rPr>
        <w:t>accès et le maintien des filles restent un problème lié essentiellement à des obstacles socio culturels et économiques tels que le mariage précoce et la pauvreté.</w:t>
      </w:r>
      <w:r w:rsidRPr="001C7B59">
        <w:rPr>
          <w:lang w:val="fr-FR"/>
        </w:rPr>
        <w:br/>
        <w:t xml:space="preserve">Par ailleurs, un des objectifs du Programme </w:t>
      </w:r>
      <w:r w:rsidR="00D60176" w:rsidRPr="001C7B59">
        <w:rPr>
          <w:lang w:val="fr-FR"/>
        </w:rPr>
        <w:t>décennal</w:t>
      </w:r>
      <w:r w:rsidRPr="001C7B59">
        <w:rPr>
          <w:lang w:val="fr-FR"/>
        </w:rPr>
        <w:t xml:space="preserve"> de </w:t>
      </w:r>
      <w:r w:rsidR="00D60176" w:rsidRPr="001C7B59">
        <w:rPr>
          <w:lang w:val="fr-FR"/>
        </w:rPr>
        <w:t>développement</w:t>
      </w:r>
      <w:r w:rsidRPr="001C7B59">
        <w:rPr>
          <w:lang w:val="fr-FR"/>
        </w:rPr>
        <w:t xml:space="preserve"> de l</w:t>
      </w:r>
      <w:r w:rsidR="00DB6EAF" w:rsidRPr="001C7B59">
        <w:rPr>
          <w:lang w:val="fr-FR"/>
        </w:rPr>
        <w:t>’</w:t>
      </w:r>
      <w:r w:rsidR="00D60176" w:rsidRPr="001C7B59">
        <w:rPr>
          <w:lang w:val="fr-FR"/>
        </w:rPr>
        <w:t>éducation</w:t>
      </w:r>
      <w:r w:rsidR="00822778">
        <w:rPr>
          <w:lang w:val="fr-FR"/>
        </w:rPr>
        <w:t xml:space="preserve"> </w:t>
      </w:r>
      <w:r w:rsidRPr="001C7B59">
        <w:rPr>
          <w:lang w:val="fr-FR"/>
        </w:rPr>
        <w:t>(PDDE) nécessite une forte mobilisation et une implication effective de tous les acteurs à travers des stratégies et des formules éducatives pertinentes.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w:t>
      </w:r>
      <w:r w:rsidR="00DB6EAF" w:rsidRPr="001C7B59">
        <w:rPr>
          <w:lang w:val="fr-FR"/>
        </w:rPr>
        <w:t>’</w:t>
      </w:r>
      <w:r w:rsidRPr="001C7B59">
        <w:rPr>
          <w:lang w:val="fr-FR"/>
        </w:rPr>
        <w:t>est dans ce cadre que le Ministère de l</w:t>
      </w:r>
      <w:r w:rsidR="00DB6EAF" w:rsidRPr="001C7B59">
        <w:rPr>
          <w:lang w:val="fr-FR"/>
        </w:rPr>
        <w:t>’</w:t>
      </w:r>
      <w:r w:rsidR="00D60176" w:rsidRPr="001C7B59">
        <w:rPr>
          <w:lang w:val="fr-FR"/>
        </w:rPr>
        <w:t>éducation</w:t>
      </w:r>
      <w:r w:rsidRPr="001C7B59">
        <w:rPr>
          <w:lang w:val="fr-FR"/>
        </w:rPr>
        <w:t xml:space="preserve"> </w:t>
      </w:r>
      <w:r w:rsidR="00D60176" w:rsidRPr="001C7B59">
        <w:rPr>
          <w:lang w:val="fr-FR"/>
        </w:rPr>
        <w:t>national</w:t>
      </w:r>
      <w:r w:rsidRPr="001C7B59">
        <w:rPr>
          <w:lang w:val="fr-FR"/>
        </w:rPr>
        <w:t xml:space="preserve">e (à travers la Direction de la </w:t>
      </w:r>
      <w:r w:rsidR="007B382B">
        <w:rPr>
          <w:lang w:val="fr-FR"/>
        </w:rPr>
        <w:t>promotion</w:t>
      </w:r>
      <w:r w:rsidR="00822778">
        <w:rPr>
          <w:lang w:val="fr-FR"/>
        </w:rPr>
        <w:t xml:space="preserve"> de la s</w:t>
      </w:r>
      <w:r w:rsidRPr="001C7B59">
        <w:rPr>
          <w:lang w:val="fr-FR"/>
        </w:rPr>
        <w:t xml:space="preserve">colarisation des </w:t>
      </w:r>
      <w:r w:rsidR="00822778">
        <w:rPr>
          <w:lang w:val="fr-FR"/>
        </w:rPr>
        <w:t>filles</w:t>
      </w:r>
      <w:r w:rsidRPr="001C7B59">
        <w:rPr>
          <w:lang w:val="fr-FR"/>
        </w:rPr>
        <w:t>) avec l</w:t>
      </w:r>
      <w:r w:rsidR="00DB6EAF" w:rsidRPr="001C7B59">
        <w:rPr>
          <w:lang w:val="fr-FR"/>
        </w:rPr>
        <w:t>’</w:t>
      </w:r>
      <w:r w:rsidRPr="001C7B59">
        <w:rPr>
          <w:lang w:val="fr-FR"/>
        </w:rPr>
        <w:t>appui de ses partenaires, a développé des stratégies pour un changement de comportement en vue d</w:t>
      </w:r>
      <w:r w:rsidR="00DB6EAF" w:rsidRPr="001C7B59">
        <w:rPr>
          <w:lang w:val="fr-FR"/>
        </w:rPr>
        <w:t>’</w:t>
      </w:r>
      <w:r w:rsidRPr="001C7B59">
        <w:rPr>
          <w:lang w:val="fr-FR"/>
        </w:rPr>
        <w:t>une plus grande mobilisation sociale en faveur de la scolarisation en général et de celle des filles en particulier.</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Deux réformes importantes sont en cours pour améliorer la scolarisation de la fille</w:t>
      </w:r>
      <w:r w:rsidR="00DB6EAF" w:rsidRPr="001C7B59">
        <w:rPr>
          <w:lang w:val="fr-FR"/>
        </w:rPr>
        <w:t> :</w:t>
      </w:r>
      <w:r w:rsidRPr="001C7B59">
        <w:rPr>
          <w:lang w:val="fr-FR"/>
        </w:rPr>
        <w:t xml:space="preserve"> la politique nationale de l</w:t>
      </w:r>
      <w:r w:rsidR="00DB6EAF" w:rsidRPr="001C7B59">
        <w:rPr>
          <w:lang w:val="fr-FR"/>
        </w:rPr>
        <w:t>’</w:t>
      </w:r>
      <w:r w:rsidRPr="001C7B59">
        <w:rPr>
          <w:lang w:val="fr-FR"/>
        </w:rPr>
        <w:t>éducation et la formation des filles dont l</w:t>
      </w:r>
      <w:r w:rsidR="00DB6EAF" w:rsidRPr="001C7B59">
        <w:rPr>
          <w:lang w:val="fr-FR"/>
        </w:rPr>
        <w:t>’</w:t>
      </w:r>
      <w:r w:rsidRPr="001C7B59">
        <w:rPr>
          <w:lang w:val="fr-FR"/>
        </w:rPr>
        <w:t>objectif est d</w:t>
      </w:r>
      <w:r w:rsidR="00DB6EAF" w:rsidRPr="001C7B59">
        <w:rPr>
          <w:lang w:val="fr-FR"/>
        </w:rPr>
        <w:t>’</w:t>
      </w:r>
      <w:r w:rsidRPr="001C7B59">
        <w:rPr>
          <w:lang w:val="fr-FR"/>
        </w:rPr>
        <w:t>éliminer les disparités entre filles et garçons en matière d</w:t>
      </w:r>
      <w:r w:rsidR="00DB6EAF" w:rsidRPr="001C7B59">
        <w:rPr>
          <w:lang w:val="fr-FR"/>
        </w:rPr>
        <w:t>’</w:t>
      </w:r>
      <w:r w:rsidRPr="001C7B59">
        <w:rPr>
          <w:lang w:val="fr-FR"/>
        </w:rPr>
        <w:t>éducation et de formation à l</w:t>
      </w:r>
      <w:r w:rsidR="00DB6EAF" w:rsidRPr="001C7B59">
        <w:rPr>
          <w:lang w:val="fr-FR"/>
        </w:rPr>
        <w:t>’</w:t>
      </w:r>
      <w:r w:rsidRPr="001C7B59">
        <w:rPr>
          <w:lang w:val="fr-FR"/>
        </w:rPr>
        <w:t>horizon 2020 et le document du développement intégré du jeune enfant qui vise, entre autres, l</w:t>
      </w:r>
      <w:r w:rsidR="00DB6EAF" w:rsidRPr="001C7B59">
        <w:rPr>
          <w:lang w:val="fr-FR"/>
        </w:rPr>
        <w:t>’</w:t>
      </w:r>
      <w:r w:rsidRPr="001C7B59">
        <w:rPr>
          <w:lang w:val="fr-FR"/>
        </w:rPr>
        <w:t>amélioration de l</w:t>
      </w:r>
      <w:r w:rsidR="00DB6EAF" w:rsidRPr="001C7B59">
        <w:rPr>
          <w:lang w:val="fr-FR"/>
        </w:rPr>
        <w:t>’</w:t>
      </w:r>
      <w:r w:rsidRPr="001C7B59">
        <w:rPr>
          <w:lang w:val="fr-FR"/>
        </w:rPr>
        <w:t>accès à l</w:t>
      </w:r>
      <w:r w:rsidR="00DB6EAF" w:rsidRPr="001C7B59">
        <w:rPr>
          <w:lang w:val="fr-FR"/>
        </w:rPr>
        <w:t>’</w:t>
      </w:r>
      <w:r w:rsidRPr="001C7B59">
        <w:rPr>
          <w:lang w:val="fr-FR"/>
        </w:rPr>
        <w:t>école des enfants de 0 à 8 ans.</w:t>
      </w:r>
    </w:p>
    <w:p w:rsidR="00822778" w:rsidRPr="00822778" w:rsidRDefault="00822778" w:rsidP="00822778">
      <w:pPr>
        <w:pStyle w:val="SingleTxt"/>
        <w:spacing w:after="0" w:line="120" w:lineRule="exact"/>
        <w:rPr>
          <w:b/>
          <w:bCs/>
          <w:i/>
          <w:sz w:val="10"/>
          <w:lang w:val="fr-FR"/>
        </w:rPr>
      </w:pPr>
    </w:p>
    <w:p w:rsidR="004432C5" w:rsidRDefault="00822778" w:rsidP="002C7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Enseignement secondaire général</w:t>
      </w:r>
    </w:p>
    <w:p w:rsidR="002C7E56" w:rsidRPr="002C7E56" w:rsidRDefault="002C7E56" w:rsidP="002C7E56">
      <w:pPr>
        <w:pStyle w:val="SingleTxt"/>
        <w:spacing w:after="0" w:line="120" w:lineRule="exact"/>
        <w:rPr>
          <w:sz w:val="10"/>
          <w:lang w:val="fr-FR"/>
        </w:rPr>
      </w:pPr>
    </w:p>
    <w:p w:rsidR="004432C5" w:rsidRDefault="002C7E56" w:rsidP="002C7E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Premier cycle (13-16</w:t>
      </w:r>
      <w:r>
        <w:rPr>
          <w:lang w:val="fr-FR"/>
        </w:rPr>
        <w:t xml:space="preserve"> </w:t>
      </w:r>
      <w:r w:rsidR="004432C5" w:rsidRPr="001C7B59">
        <w:rPr>
          <w:lang w:val="fr-FR"/>
        </w:rPr>
        <w:t>ans)</w:t>
      </w:r>
    </w:p>
    <w:p w:rsidR="002C7E56" w:rsidRPr="002C7E56" w:rsidRDefault="002C7E56" w:rsidP="002C7E56">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Les études dans ce cycle durent quatre ans et sont sanctionnées par le </w:t>
      </w:r>
      <w:r w:rsidR="008E5553">
        <w:rPr>
          <w:lang w:val="fr-FR"/>
        </w:rPr>
        <w:t>b</w:t>
      </w:r>
      <w:r w:rsidRPr="001C7B59">
        <w:rPr>
          <w:lang w:val="fr-FR"/>
        </w:rPr>
        <w:t>revet d</w:t>
      </w:r>
      <w:r w:rsidR="008E5553">
        <w:rPr>
          <w:lang w:val="fr-FR"/>
        </w:rPr>
        <w:t>’étude</w:t>
      </w:r>
      <w:r w:rsidR="001C7B59" w:rsidRPr="001C7B59">
        <w:rPr>
          <w:lang w:val="fr-FR"/>
        </w:rPr>
        <w:t xml:space="preserve"> </w:t>
      </w:r>
      <w:r w:rsidRPr="001C7B59">
        <w:rPr>
          <w:lang w:val="fr-FR"/>
        </w:rPr>
        <w:t xml:space="preserve">du </w:t>
      </w:r>
      <w:r w:rsidR="008E5553">
        <w:rPr>
          <w:lang w:val="fr-FR"/>
        </w:rPr>
        <w:t>p</w:t>
      </w:r>
      <w:r w:rsidRPr="001C7B59">
        <w:rPr>
          <w:lang w:val="fr-FR"/>
        </w:rPr>
        <w:t xml:space="preserve">remier </w:t>
      </w:r>
      <w:r w:rsidR="008E5553">
        <w:rPr>
          <w:lang w:val="fr-FR"/>
        </w:rPr>
        <w:t>c</w:t>
      </w:r>
      <w:r w:rsidRPr="001C7B59">
        <w:rPr>
          <w:lang w:val="fr-FR"/>
        </w:rPr>
        <w:t>ycle (BEPC), qui donne accès à l</w:t>
      </w:r>
      <w:r w:rsidR="00DB6EAF" w:rsidRPr="001C7B59">
        <w:rPr>
          <w:lang w:val="fr-FR"/>
        </w:rPr>
        <w:t>’</w:t>
      </w:r>
      <w:r w:rsidRPr="001C7B59">
        <w:rPr>
          <w:lang w:val="fr-FR"/>
        </w:rPr>
        <w:t>enseignement moyen général, technique et professionnel ou à la vie active.</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accroissement rapide des apprenants achevant le cycle primaire a entrainé une évolution sensible des effectifs du cycle de base2, avec 202.977 élèves en 2007-2008, 222.500 élèves en 2008-2009 et 253.576 élèves en 2009-2010. Quant au nombre des filles, il est passé de 85714 en 2008-2009 à 98811 en 2009-2010, ce qui représente 39</w:t>
      </w:r>
      <w:r w:rsidR="007B382B">
        <w:rPr>
          <w:lang w:val="fr-FR"/>
        </w:rPr>
        <w:t> %</w:t>
      </w:r>
      <w:r w:rsidRPr="001C7B59">
        <w:rPr>
          <w:lang w:val="fr-FR"/>
        </w:rPr>
        <w:t xml:space="preserve"> de l</w:t>
      </w:r>
      <w:r w:rsidR="00DB6EAF" w:rsidRPr="001C7B59">
        <w:rPr>
          <w:lang w:val="fr-FR"/>
        </w:rPr>
        <w:t>’</w:t>
      </w:r>
      <w:r w:rsidRPr="001C7B59">
        <w:rPr>
          <w:lang w:val="fr-FR"/>
        </w:rPr>
        <w:t>effectif total.</w:t>
      </w:r>
    </w:p>
    <w:p w:rsidR="002C7E56" w:rsidRPr="002C7E56" w:rsidRDefault="002C7E56" w:rsidP="002C7E56">
      <w:pPr>
        <w:pStyle w:val="SingleTxt"/>
        <w:spacing w:after="0" w:line="120" w:lineRule="exact"/>
        <w:rPr>
          <w:sz w:val="10"/>
          <w:lang w:val="fr-FR"/>
        </w:rPr>
      </w:pPr>
    </w:p>
    <w:p w:rsidR="004432C5" w:rsidRPr="001C7B59" w:rsidRDefault="002C7E56" w:rsidP="002C7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2C7E56">
        <w:rPr>
          <w:b w:val="0"/>
          <w:lang w:val="fr-FR"/>
        </w:rPr>
        <w:t>Tableau n° 4</w:t>
      </w:r>
      <w:r>
        <w:rPr>
          <w:b w:val="0"/>
          <w:lang w:val="fr-FR"/>
        </w:rPr>
        <w:t> </w:t>
      </w:r>
      <w:r w:rsidRPr="002C7E56">
        <w:rPr>
          <w:b w:val="0"/>
          <w:lang w:val="fr-FR"/>
        </w:rPr>
        <w:br/>
      </w:r>
      <w:r w:rsidR="00E15F6D" w:rsidRPr="001C7B59">
        <w:rPr>
          <w:lang w:val="fr-FR"/>
        </w:rPr>
        <w:t>Évolution</w:t>
      </w:r>
      <w:r w:rsidR="004432C5" w:rsidRPr="001C7B59">
        <w:rPr>
          <w:lang w:val="fr-FR"/>
        </w:rPr>
        <w:t xml:space="preserve"> de l</w:t>
      </w:r>
      <w:r w:rsidR="00DB6EAF" w:rsidRPr="001C7B59">
        <w:rPr>
          <w:lang w:val="fr-FR"/>
        </w:rPr>
        <w:t>’</w:t>
      </w:r>
      <w:r w:rsidR="004432C5" w:rsidRPr="001C7B59">
        <w:rPr>
          <w:lang w:val="fr-FR"/>
        </w:rPr>
        <w:t>effectif des filles au cycle de base</w:t>
      </w:r>
      <w:r>
        <w:rPr>
          <w:lang w:val="fr-FR"/>
        </w:rPr>
        <w:t xml:space="preserve"> </w:t>
      </w:r>
      <w:r w:rsidR="004432C5" w:rsidRPr="001C7B59">
        <w:rPr>
          <w:lang w:val="fr-FR"/>
        </w:rPr>
        <w:t xml:space="preserve">2 (public et privé) </w:t>
      </w:r>
      <w:r>
        <w:rPr>
          <w:lang w:val="fr-FR"/>
        </w:rPr>
        <w:br/>
      </w:r>
      <w:r w:rsidR="004432C5" w:rsidRPr="001C7B59">
        <w:rPr>
          <w:lang w:val="fr-FR"/>
        </w:rPr>
        <w:t xml:space="preserve">au plan national </w:t>
      </w:r>
    </w:p>
    <w:p w:rsidR="004432C5" w:rsidRPr="008A09C3" w:rsidRDefault="004432C5" w:rsidP="008A09C3">
      <w:pPr>
        <w:pStyle w:val="SingleTxt"/>
        <w:spacing w:after="0" w:line="120" w:lineRule="exact"/>
        <w:rPr>
          <w:sz w:val="10"/>
          <w:lang w:val="fr-FR"/>
        </w:rPr>
      </w:pPr>
    </w:p>
    <w:p w:rsidR="008A09C3" w:rsidRPr="008A09C3" w:rsidRDefault="008A09C3" w:rsidP="008A09C3">
      <w:pPr>
        <w:pStyle w:val="SingleTxt"/>
        <w:spacing w:after="0" w:line="120" w:lineRule="exact"/>
        <w:rPr>
          <w:sz w:val="10"/>
          <w:lang w:val="fr-FR"/>
        </w:rPr>
      </w:pPr>
    </w:p>
    <w:tbl>
      <w:tblPr>
        <w:tblW w:w="7344" w:type="dxa"/>
        <w:tblInd w:w="1251" w:type="dxa"/>
        <w:tblCellMar>
          <w:left w:w="0" w:type="dxa"/>
          <w:right w:w="0" w:type="dxa"/>
        </w:tblCellMar>
        <w:tblLook w:val="04A0" w:firstRow="1" w:lastRow="0" w:firstColumn="1" w:lastColumn="0" w:noHBand="0" w:noVBand="1"/>
      </w:tblPr>
      <w:tblGrid>
        <w:gridCol w:w="1681"/>
        <w:gridCol w:w="1680"/>
        <w:gridCol w:w="1865"/>
        <w:gridCol w:w="2118"/>
      </w:tblGrid>
      <w:tr w:rsidR="008A09C3" w:rsidRPr="00B4237B" w:rsidTr="008A09C3">
        <w:trPr>
          <w:trHeight w:val="240"/>
        </w:trPr>
        <w:tc>
          <w:tcPr>
            <w:tcW w:w="1144" w:type="pct"/>
            <w:tcBorders>
              <w:top w:val="single" w:sz="4" w:space="0" w:color="auto"/>
            </w:tcBorders>
            <w:shd w:val="clear" w:color="auto" w:fill="auto"/>
            <w:vAlign w:val="bottom"/>
          </w:tcPr>
          <w:p w:rsidR="008A09C3" w:rsidRPr="00554A9D" w:rsidRDefault="008A09C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p>
        </w:tc>
        <w:tc>
          <w:tcPr>
            <w:tcW w:w="3856" w:type="pct"/>
            <w:gridSpan w:val="3"/>
            <w:tcBorders>
              <w:top w:val="single" w:sz="4" w:space="0" w:color="auto"/>
              <w:bottom w:val="single" w:sz="4" w:space="0" w:color="auto"/>
            </w:tcBorders>
            <w:shd w:val="clear" w:color="auto" w:fill="auto"/>
            <w:vAlign w:val="bottom"/>
          </w:tcPr>
          <w:p w:rsidR="008A09C3" w:rsidRPr="00554A9D" w:rsidRDefault="008A09C3" w:rsidP="008A09C3">
            <w:pPr>
              <w:pStyle w:val="SingleTxtG"/>
              <w:spacing w:before="80" w:after="80" w:line="160" w:lineRule="exact"/>
              <w:ind w:left="144" w:right="43"/>
              <w:jc w:val="center"/>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Effectif</w:t>
            </w:r>
          </w:p>
        </w:tc>
      </w:tr>
      <w:tr w:rsidR="008A09C3" w:rsidRPr="00B4237B" w:rsidTr="008A09C3">
        <w:trPr>
          <w:trHeight w:val="240"/>
        </w:trPr>
        <w:tc>
          <w:tcPr>
            <w:tcW w:w="1144" w:type="pct"/>
            <w:shd w:val="clear" w:color="auto" w:fill="auto"/>
            <w:vAlign w:val="bottom"/>
          </w:tcPr>
          <w:p w:rsidR="008A09C3" w:rsidRPr="00554A9D" w:rsidRDefault="008A09C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p>
        </w:tc>
        <w:tc>
          <w:tcPr>
            <w:tcW w:w="1144" w:type="pct"/>
            <w:tcBorders>
              <w:top w:val="single" w:sz="4" w:space="0" w:color="auto"/>
            </w:tcBorders>
            <w:shd w:val="clear" w:color="auto" w:fill="auto"/>
            <w:vAlign w:val="bottom"/>
          </w:tcPr>
          <w:p w:rsidR="008A09C3" w:rsidRPr="00554A9D" w:rsidRDefault="008A09C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p>
        </w:tc>
        <w:tc>
          <w:tcPr>
            <w:tcW w:w="2712" w:type="pct"/>
            <w:gridSpan w:val="2"/>
            <w:tcBorders>
              <w:top w:val="single" w:sz="4" w:space="0" w:color="auto"/>
            </w:tcBorders>
            <w:shd w:val="clear" w:color="auto" w:fill="auto"/>
            <w:vAlign w:val="bottom"/>
          </w:tcPr>
          <w:p w:rsidR="008A09C3" w:rsidRPr="00554A9D" w:rsidRDefault="008A09C3" w:rsidP="008A09C3">
            <w:pPr>
              <w:pStyle w:val="SingleTxtG"/>
              <w:spacing w:before="80" w:after="80" w:line="160" w:lineRule="exact"/>
              <w:ind w:left="144" w:right="43"/>
              <w:jc w:val="center"/>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Dont filles</w:t>
            </w:r>
          </w:p>
        </w:tc>
      </w:tr>
      <w:tr w:rsidR="008A09C3" w:rsidRPr="00B4237B" w:rsidTr="008A09C3">
        <w:trPr>
          <w:trHeight w:val="240"/>
        </w:trPr>
        <w:tc>
          <w:tcPr>
            <w:tcW w:w="1144" w:type="pct"/>
            <w:tcBorders>
              <w:bottom w:val="single" w:sz="12" w:space="0" w:color="auto"/>
            </w:tcBorders>
            <w:shd w:val="clear" w:color="auto" w:fill="auto"/>
            <w:vAlign w:val="bottom"/>
          </w:tcPr>
          <w:p w:rsidR="008A09C3" w:rsidRPr="00554A9D" w:rsidRDefault="008A09C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Année</w:t>
            </w:r>
          </w:p>
        </w:tc>
        <w:tc>
          <w:tcPr>
            <w:tcW w:w="1144" w:type="pct"/>
            <w:tcBorders>
              <w:bottom w:val="single" w:sz="12" w:space="0" w:color="auto"/>
            </w:tcBorders>
            <w:shd w:val="clear" w:color="auto" w:fill="auto"/>
            <w:vAlign w:val="bottom"/>
          </w:tcPr>
          <w:p w:rsidR="008A09C3" w:rsidRPr="00554A9D" w:rsidRDefault="008A09C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Total</w:t>
            </w:r>
          </w:p>
        </w:tc>
        <w:tc>
          <w:tcPr>
            <w:tcW w:w="1270" w:type="pct"/>
            <w:tcBorders>
              <w:bottom w:val="single" w:sz="12" w:space="0" w:color="auto"/>
            </w:tcBorders>
            <w:shd w:val="clear" w:color="auto" w:fill="auto"/>
            <w:vAlign w:val="bottom"/>
          </w:tcPr>
          <w:p w:rsidR="008A09C3" w:rsidRPr="00554A9D" w:rsidRDefault="008A09C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Nombre</w:t>
            </w:r>
          </w:p>
        </w:tc>
        <w:tc>
          <w:tcPr>
            <w:tcW w:w="1442" w:type="pct"/>
            <w:tcBorders>
              <w:bottom w:val="single" w:sz="12" w:space="0" w:color="auto"/>
            </w:tcBorders>
            <w:shd w:val="clear" w:color="auto" w:fill="auto"/>
            <w:vAlign w:val="bottom"/>
          </w:tcPr>
          <w:p w:rsidR="008A09C3" w:rsidRPr="00554A9D" w:rsidRDefault="008A09C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Pourcentage</w:t>
            </w:r>
          </w:p>
        </w:tc>
      </w:tr>
      <w:tr w:rsidR="008A09C3" w:rsidRPr="00B4237B" w:rsidTr="008A09C3">
        <w:trPr>
          <w:trHeight w:hRule="exact" w:val="115"/>
        </w:trPr>
        <w:tc>
          <w:tcPr>
            <w:tcW w:w="1144" w:type="pct"/>
            <w:tcBorders>
              <w:top w:val="single" w:sz="12" w:space="0" w:color="auto"/>
            </w:tcBorders>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p>
        </w:tc>
        <w:tc>
          <w:tcPr>
            <w:tcW w:w="1144" w:type="pct"/>
            <w:tcBorders>
              <w:top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p>
        </w:tc>
        <w:tc>
          <w:tcPr>
            <w:tcW w:w="1270" w:type="pct"/>
            <w:tcBorders>
              <w:top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p>
        </w:tc>
        <w:tc>
          <w:tcPr>
            <w:tcW w:w="1442" w:type="pct"/>
            <w:tcBorders>
              <w:top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p>
        </w:tc>
      </w:tr>
      <w:tr w:rsidR="008A09C3" w:rsidRPr="00B4237B" w:rsidTr="008A09C3">
        <w:trPr>
          <w:trHeight w:val="240"/>
        </w:trPr>
        <w:tc>
          <w:tcPr>
            <w:tcW w:w="1144" w:type="pct"/>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2004/05</w:t>
            </w:r>
          </w:p>
        </w:tc>
        <w:tc>
          <w:tcPr>
            <w:tcW w:w="1144"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151 593</w:t>
            </w:r>
          </w:p>
        </w:tc>
        <w:tc>
          <w:tcPr>
            <w:tcW w:w="1270"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59 836</w:t>
            </w:r>
          </w:p>
        </w:tc>
        <w:tc>
          <w:tcPr>
            <w:tcW w:w="1442"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Pr>
                <w:bCs/>
                <w:sz w:val="17"/>
                <w:szCs w:val="17"/>
                <w:lang w:val="fr-FR"/>
              </w:rPr>
              <w:t>39,5</w:t>
            </w:r>
          </w:p>
        </w:tc>
      </w:tr>
      <w:tr w:rsidR="008A09C3" w:rsidRPr="00B4237B" w:rsidTr="008A09C3">
        <w:trPr>
          <w:trHeight w:val="240"/>
        </w:trPr>
        <w:tc>
          <w:tcPr>
            <w:tcW w:w="1144" w:type="pct"/>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2005/06</w:t>
            </w:r>
          </w:p>
        </w:tc>
        <w:tc>
          <w:tcPr>
            <w:tcW w:w="1144"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179 721</w:t>
            </w:r>
          </w:p>
        </w:tc>
        <w:tc>
          <w:tcPr>
            <w:tcW w:w="1270"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69 951</w:t>
            </w:r>
          </w:p>
        </w:tc>
        <w:tc>
          <w:tcPr>
            <w:tcW w:w="1442"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Pr>
                <w:bCs/>
                <w:sz w:val="17"/>
                <w:szCs w:val="17"/>
                <w:lang w:val="fr-FR"/>
              </w:rPr>
              <w:t>38,9</w:t>
            </w:r>
          </w:p>
        </w:tc>
      </w:tr>
      <w:tr w:rsidR="008A09C3" w:rsidRPr="00B4237B" w:rsidTr="008A09C3">
        <w:trPr>
          <w:trHeight w:val="240"/>
        </w:trPr>
        <w:tc>
          <w:tcPr>
            <w:tcW w:w="1144" w:type="pct"/>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2006/07</w:t>
            </w:r>
          </w:p>
        </w:tc>
        <w:tc>
          <w:tcPr>
            <w:tcW w:w="1144"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184 593</w:t>
            </w:r>
          </w:p>
        </w:tc>
        <w:tc>
          <w:tcPr>
            <w:tcW w:w="1270"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71 381</w:t>
            </w:r>
          </w:p>
        </w:tc>
        <w:tc>
          <w:tcPr>
            <w:tcW w:w="1442"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Pr>
                <w:bCs/>
                <w:sz w:val="17"/>
                <w:szCs w:val="17"/>
                <w:lang w:val="fr-FR"/>
              </w:rPr>
              <w:t>38,7</w:t>
            </w:r>
          </w:p>
        </w:tc>
      </w:tr>
      <w:tr w:rsidR="008A09C3" w:rsidRPr="00B4237B" w:rsidTr="008A09C3">
        <w:trPr>
          <w:trHeight w:val="240"/>
        </w:trPr>
        <w:tc>
          <w:tcPr>
            <w:tcW w:w="1144" w:type="pct"/>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2007/08</w:t>
            </w:r>
          </w:p>
        </w:tc>
        <w:tc>
          <w:tcPr>
            <w:tcW w:w="1144"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202 977</w:t>
            </w:r>
          </w:p>
        </w:tc>
        <w:tc>
          <w:tcPr>
            <w:tcW w:w="1270"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78 081</w:t>
            </w:r>
          </w:p>
        </w:tc>
        <w:tc>
          <w:tcPr>
            <w:tcW w:w="1442"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Pr>
                <w:bCs/>
                <w:sz w:val="17"/>
                <w:szCs w:val="17"/>
                <w:lang w:val="fr-FR"/>
              </w:rPr>
              <w:t>38,5</w:t>
            </w:r>
          </w:p>
        </w:tc>
      </w:tr>
      <w:tr w:rsidR="008A09C3" w:rsidRPr="00B4237B" w:rsidTr="008A09C3">
        <w:trPr>
          <w:trHeight w:val="240"/>
        </w:trPr>
        <w:tc>
          <w:tcPr>
            <w:tcW w:w="1144" w:type="pct"/>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2008/09</w:t>
            </w:r>
          </w:p>
        </w:tc>
        <w:tc>
          <w:tcPr>
            <w:tcW w:w="1144"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222 500</w:t>
            </w:r>
          </w:p>
        </w:tc>
        <w:tc>
          <w:tcPr>
            <w:tcW w:w="1270" w:type="pct"/>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85 714</w:t>
            </w:r>
          </w:p>
        </w:tc>
        <w:tc>
          <w:tcPr>
            <w:tcW w:w="1442" w:type="pct"/>
            <w:shd w:val="clear" w:color="auto" w:fill="auto"/>
            <w:vAlign w:val="bottom"/>
          </w:tcPr>
          <w:p w:rsidR="008A09C3" w:rsidRPr="00B4237B" w:rsidRDefault="008A09C3" w:rsidP="008A09C3">
            <w:pPr>
              <w:pStyle w:val="SingleTxtG"/>
              <w:spacing w:before="40" w:after="40" w:line="210" w:lineRule="exact"/>
              <w:ind w:left="144" w:right="43"/>
              <w:jc w:val="right"/>
              <w:rPr>
                <w:bCs/>
                <w:sz w:val="17"/>
                <w:szCs w:val="17"/>
                <w:lang w:val="fr-FR"/>
              </w:rPr>
            </w:pPr>
            <w:r>
              <w:rPr>
                <w:bCs/>
                <w:sz w:val="17"/>
                <w:szCs w:val="17"/>
                <w:lang w:val="fr-FR"/>
              </w:rPr>
              <w:t>38,5</w:t>
            </w:r>
          </w:p>
        </w:tc>
      </w:tr>
      <w:tr w:rsidR="008A09C3" w:rsidRPr="00B4237B" w:rsidTr="008A09C3">
        <w:trPr>
          <w:trHeight w:val="240"/>
        </w:trPr>
        <w:tc>
          <w:tcPr>
            <w:tcW w:w="1144" w:type="pct"/>
            <w:tcBorders>
              <w:bottom w:val="single" w:sz="12" w:space="0" w:color="auto"/>
            </w:tcBorders>
            <w:shd w:val="clear" w:color="auto" w:fill="auto"/>
            <w:vAlign w:val="bottom"/>
          </w:tcPr>
          <w:p w:rsidR="008A09C3" w:rsidRPr="00B4237B" w:rsidRDefault="008A09C3" w:rsidP="00DD7DAB">
            <w:pPr>
              <w:pStyle w:val="SingleTxtG"/>
              <w:spacing w:before="40" w:after="40" w:line="210" w:lineRule="exact"/>
              <w:ind w:left="0" w:right="40"/>
              <w:jc w:val="left"/>
              <w:rPr>
                <w:bCs/>
                <w:sz w:val="17"/>
                <w:szCs w:val="17"/>
                <w:lang w:val="fr-FR"/>
              </w:rPr>
            </w:pPr>
            <w:r w:rsidRPr="00B4237B">
              <w:rPr>
                <w:bCs/>
                <w:sz w:val="17"/>
                <w:szCs w:val="17"/>
                <w:lang w:val="fr-FR"/>
              </w:rPr>
              <w:t>2009/10</w:t>
            </w:r>
          </w:p>
        </w:tc>
        <w:tc>
          <w:tcPr>
            <w:tcW w:w="1144" w:type="pct"/>
            <w:tcBorders>
              <w:bottom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253 576</w:t>
            </w:r>
          </w:p>
        </w:tc>
        <w:tc>
          <w:tcPr>
            <w:tcW w:w="1270" w:type="pct"/>
            <w:tcBorders>
              <w:bottom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sidRPr="00B4237B">
              <w:rPr>
                <w:bCs/>
                <w:sz w:val="17"/>
                <w:szCs w:val="17"/>
                <w:lang w:val="fr-FR"/>
              </w:rPr>
              <w:t>98 811</w:t>
            </w:r>
          </w:p>
        </w:tc>
        <w:tc>
          <w:tcPr>
            <w:tcW w:w="1442" w:type="pct"/>
            <w:tcBorders>
              <w:bottom w:val="single" w:sz="12" w:space="0" w:color="auto"/>
            </w:tcBorders>
            <w:shd w:val="clear" w:color="auto" w:fill="auto"/>
            <w:vAlign w:val="bottom"/>
          </w:tcPr>
          <w:p w:rsidR="008A09C3" w:rsidRPr="00B4237B" w:rsidRDefault="008A09C3" w:rsidP="00DD7DAB">
            <w:pPr>
              <w:pStyle w:val="SingleTxtG"/>
              <w:spacing w:before="40" w:after="40" w:line="210" w:lineRule="exact"/>
              <w:ind w:left="144" w:right="43"/>
              <w:jc w:val="right"/>
              <w:rPr>
                <w:bCs/>
                <w:sz w:val="17"/>
                <w:szCs w:val="17"/>
                <w:lang w:val="fr-FR"/>
              </w:rPr>
            </w:pPr>
            <w:r>
              <w:rPr>
                <w:bCs/>
                <w:sz w:val="17"/>
                <w:szCs w:val="17"/>
                <w:lang w:val="fr-FR"/>
              </w:rPr>
              <w:t>39,0</w:t>
            </w:r>
          </w:p>
        </w:tc>
      </w:tr>
    </w:tbl>
    <w:p w:rsidR="004432C5" w:rsidRPr="008A09C3" w:rsidRDefault="004432C5" w:rsidP="008A09C3">
      <w:pPr>
        <w:pStyle w:val="SingleTxt"/>
        <w:spacing w:after="0" w:line="120" w:lineRule="exact"/>
        <w:rPr>
          <w:sz w:val="10"/>
          <w:lang w:val="fr-FR"/>
        </w:rPr>
      </w:pPr>
    </w:p>
    <w:p w:rsidR="004432C5" w:rsidRDefault="004432C5" w:rsidP="008A09C3">
      <w:pPr>
        <w:pStyle w:val="FootnoteText"/>
        <w:tabs>
          <w:tab w:val="right" w:pos="1476"/>
          <w:tab w:val="left" w:pos="1548"/>
          <w:tab w:val="right" w:pos="1836"/>
          <w:tab w:val="left" w:pos="1908"/>
        </w:tabs>
        <w:ind w:left="1548" w:right="1267" w:hanging="288"/>
        <w:rPr>
          <w:lang w:val="fr-FR"/>
        </w:rPr>
      </w:pPr>
      <w:r w:rsidRPr="008A09C3">
        <w:rPr>
          <w:i/>
          <w:lang w:val="fr-FR"/>
        </w:rPr>
        <w:t>Source</w:t>
      </w:r>
      <w:r w:rsidR="00DB6EAF" w:rsidRPr="001C7B59">
        <w:rPr>
          <w:b/>
          <w:lang w:val="fr-FR"/>
        </w:rPr>
        <w:t> </w:t>
      </w:r>
      <w:r w:rsidR="00907513" w:rsidRPr="00907513">
        <w:rPr>
          <w:lang w:val="fr-FR"/>
        </w:rPr>
        <w:t>:</w:t>
      </w:r>
      <w:r w:rsidRPr="001C7B59">
        <w:rPr>
          <w:lang w:val="fr-FR"/>
        </w:rPr>
        <w:t xml:space="preserve"> Annuaire statistique 2003-2004, MEBA et Recensement scolaire 2007-2008, MESS/RT</w:t>
      </w:r>
      <w:r w:rsidR="008A09C3">
        <w:rPr>
          <w:lang w:val="fr-FR"/>
        </w:rPr>
        <w:t>.</w:t>
      </w:r>
    </w:p>
    <w:p w:rsidR="008A09C3" w:rsidRPr="008A09C3" w:rsidRDefault="008A09C3" w:rsidP="008A09C3">
      <w:pPr>
        <w:pStyle w:val="FootnoteText"/>
        <w:tabs>
          <w:tab w:val="right" w:pos="1476"/>
          <w:tab w:val="left" w:pos="1548"/>
          <w:tab w:val="right" w:pos="1836"/>
          <w:tab w:val="left" w:pos="1908"/>
        </w:tabs>
        <w:spacing w:line="120" w:lineRule="exact"/>
        <w:ind w:left="1548" w:right="1267" w:hanging="288"/>
        <w:rPr>
          <w:sz w:val="10"/>
          <w:lang w:val="fr-FR"/>
        </w:rPr>
      </w:pPr>
    </w:p>
    <w:p w:rsidR="008A09C3" w:rsidRPr="008A09C3" w:rsidRDefault="008A09C3" w:rsidP="008A09C3">
      <w:pPr>
        <w:pStyle w:val="FootnoteText"/>
        <w:tabs>
          <w:tab w:val="right" w:pos="1476"/>
          <w:tab w:val="left" w:pos="1548"/>
          <w:tab w:val="right" w:pos="1836"/>
          <w:tab w:val="left" w:pos="1908"/>
        </w:tabs>
        <w:spacing w:line="120" w:lineRule="exact"/>
        <w:ind w:left="1548" w:right="1267" w:hanging="288"/>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2009-2010, les effectifs scolarisés en zone rurale (95</w:t>
      </w:r>
      <w:r w:rsidR="00907513">
        <w:rPr>
          <w:lang w:val="fr-FR"/>
        </w:rPr>
        <w:t> </w:t>
      </w:r>
      <w:r w:rsidRPr="001C7B59">
        <w:rPr>
          <w:lang w:val="fr-FR"/>
        </w:rPr>
        <w:t>999), représentent 37,86</w:t>
      </w:r>
      <w:r w:rsidR="007B382B">
        <w:rPr>
          <w:lang w:val="fr-FR"/>
        </w:rPr>
        <w:t> %</w:t>
      </w:r>
      <w:r w:rsidRPr="001C7B59">
        <w:rPr>
          <w:lang w:val="fr-FR"/>
        </w:rPr>
        <w:t xml:space="preserve"> des effectifs totaux contre 35,2</w:t>
      </w:r>
      <w:r w:rsidR="007B382B">
        <w:rPr>
          <w:lang w:val="fr-FR"/>
        </w:rPr>
        <w:t> %</w:t>
      </w:r>
      <w:r w:rsidRPr="001C7B59">
        <w:rPr>
          <w:lang w:val="fr-FR"/>
        </w:rPr>
        <w:t xml:space="preserve"> en 2008-2009.</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Depuis 2006-2007, le TBA en </w:t>
      </w:r>
      <w:r w:rsidR="00907513">
        <w:rPr>
          <w:lang w:val="fr-FR"/>
        </w:rPr>
        <w:t>sixième</w:t>
      </w:r>
      <w:r w:rsidRPr="001C7B59">
        <w:rPr>
          <w:vertAlign w:val="superscript"/>
          <w:lang w:val="fr-FR"/>
        </w:rPr>
        <w:t xml:space="preserve"> </w:t>
      </w:r>
      <w:r w:rsidRPr="001C7B59">
        <w:rPr>
          <w:lang w:val="fr-FR"/>
        </w:rPr>
        <w:t>a connu une augmentation sensible à la reprise dans l</w:t>
      </w:r>
      <w:r w:rsidR="00DB6EAF" w:rsidRPr="001C7B59">
        <w:rPr>
          <w:lang w:val="fr-FR"/>
        </w:rPr>
        <w:t>’</w:t>
      </w:r>
      <w:r w:rsidRPr="001C7B59">
        <w:rPr>
          <w:lang w:val="fr-FR"/>
        </w:rPr>
        <w:t>accès au cycle de base2. Ce taux est passé de 15,8</w:t>
      </w:r>
      <w:r w:rsidR="007B382B">
        <w:rPr>
          <w:lang w:val="fr-FR"/>
        </w:rPr>
        <w:t> %</w:t>
      </w:r>
      <w:r w:rsidRPr="001C7B59">
        <w:rPr>
          <w:lang w:val="fr-FR"/>
        </w:rPr>
        <w:t xml:space="preserve"> en 2006-2007 à 25,8</w:t>
      </w:r>
      <w:r w:rsidR="007B382B">
        <w:rPr>
          <w:lang w:val="fr-FR"/>
        </w:rPr>
        <w:t> %</w:t>
      </w:r>
      <w:r w:rsidRPr="001C7B59">
        <w:rPr>
          <w:lang w:val="fr-FR"/>
        </w:rPr>
        <w:t xml:space="preserve"> en 2009-2010, soit une augmentation d</w:t>
      </w:r>
      <w:r w:rsidR="00DB6EAF" w:rsidRPr="001C7B59">
        <w:rPr>
          <w:lang w:val="fr-FR"/>
        </w:rPr>
        <w:t>’</w:t>
      </w:r>
      <w:r w:rsidRPr="001C7B59">
        <w:rPr>
          <w:lang w:val="fr-FR"/>
        </w:rPr>
        <w:t>environ 10</w:t>
      </w:r>
      <w:r w:rsidR="007B382B">
        <w:rPr>
          <w:lang w:val="fr-FR"/>
        </w:rPr>
        <w:t> %</w:t>
      </w:r>
      <w:r w:rsidRPr="001C7B59">
        <w:rPr>
          <w:lang w:val="fr-FR"/>
        </w:rPr>
        <w:t xml:space="preserve"> sur la période.</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effet, le TBS n</w:t>
      </w:r>
      <w:r w:rsidR="00DB6EAF" w:rsidRPr="001C7B59">
        <w:rPr>
          <w:lang w:val="fr-FR"/>
        </w:rPr>
        <w:t>’</w:t>
      </w:r>
      <w:r w:rsidRPr="001C7B59">
        <w:rPr>
          <w:lang w:val="fr-FR"/>
        </w:rPr>
        <w:t>est que de 17,8</w:t>
      </w:r>
      <w:r w:rsidR="007B382B">
        <w:rPr>
          <w:lang w:val="fr-FR"/>
        </w:rPr>
        <w:t> %</w:t>
      </w:r>
      <w:r w:rsidRPr="001C7B59">
        <w:rPr>
          <w:lang w:val="fr-FR"/>
        </w:rPr>
        <w:t xml:space="preserve"> en 2009-2010, ce qui veut dire que les élèves inscrits cette année dans ce cycle ne représentent que 17,8</w:t>
      </w:r>
      <w:r w:rsidR="007B382B">
        <w:rPr>
          <w:lang w:val="fr-FR"/>
        </w:rPr>
        <w:t> %</w:t>
      </w:r>
      <w:r w:rsidRPr="001C7B59">
        <w:rPr>
          <w:lang w:val="fr-FR"/>
        </w:rPr>
        <w:t xml:space="preserve"> de la population des enfants en âge d</w:t>
      </w:r>
      <w:r w:rsidR="00DB6EAF" w:rsidRPr="001C7B59">
        <w:rPr>
          <w:lang w:val="fr-FR"/>
        </w:rPr>
        <w:t>’</w:t>
      </w:r>
      <w:r w:rsidRPr="001C7B59">
        <w:rPr>
          <w:lang w:val="fr-FR"/>
        </w:rPr>
        <w:t>être scolarisés (13-16</w:t>
      </w:r>
      <w:r w:rsidR="00907513">
        <w:rPr>
          <w:lang w:val="fr-FR"/>
        </w:rPr>
        <w:t xml:space="preserve"> </w:t>
      </w:r>
      <w:r w:rsidRPr="001C7B59">
        <w:rPr>
          <w:lang w:val="fr-FR"/>
        </w:rPr>
        <w:t>ans).</w:t>
      </w:r>
    </w:p>
    <w:p w:rsidR="00907513" w:rsidRPr="00907513" w:rsidRDefault="00907513" w:rsidP="00907513">
      <w:pPr>
        <w:pStyle w:val="SingleTxt"/>
        <w:spacing w:after="0" w:line="120" w:lineRule="exact"/>
        <w:rPr>
          <w:sz w:val="10"/>
          <w:lang w:val="fr-FR"/>
        </w:rPr>
      </w:pPr>
    </w:p>
    <w:p w:rsidR="00907513" w:rsidRDefault="00907513">
      <w:pPr>
        <w:spacing w:line="240" w:lineRule="auto"/>
        <w:rPr>
          <w:spacing w:val="2"/>
          <w:lang w:val="fr-FR"/>
        </w:rPr>
      </w:pPr>
      <w:r>
        <w:rPr>
          <w:b/>
          <w:lang w:val="fr-FR"/>
        </w:rPr>
        <w:br w:type="page"/>
      </w:r>
    </w:p>
    <w:p w:rsidR="004432C5" w:rsidRDefault="00907513" w:rsidP="009075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07513">
        <w:rPr>
          <w:b w:val="0"/>
          <w:lang w:val="fr-FR"/>
        </w:rPr>
        <w:tab/>
      </w:r>
      <w:r w:rsidRPr="00907513">
        <w:rPr>
          <w:b w:val="0"/>
          <w:lang w:val="fr-FR"/>
        </w:rPr>
        <w:tab/>
      </w:r>
      <w:r w:rsidR="004432C5" w:rsidRPr="00907513">
        <w:rPr>
          <w:b w:val="0"/>
          <w:lang w:val="fr-FR"/>
        </w:rPr>
        <w:t>Tableau n° 5</w:t>
      </w:r>
      <w:r w:rsidRPr="00907513">
        <w:rPr>
          <w:b w:val="0"/>
          <w:lang w:val="fr-FR"/>
        </w:rPr>
        <w:t> </w:t>
      </w:r>
      <w:r>
        <w:rPr>
          <w:lang w:val="fr-FR"/>
        </w:rPr>
        <w:br/>
      </w:r>
      <w:r w:rsidR="00E15F6D" w:rsidRPr="001C7B59">
        <w:rPr>
          <w:lang w:val="fr-FR"/>
        </w:rPr>
        <w:t>Évolution</w:t>
      </w:r>
      <w:r w:rsidR="004432C5" w:rsidRPr="001C7B59">
        <w:rPr>
          <w:lang w:val="fr-FR"/>
        </w:rPr>
        <w:t xml:space="preserve"> du taux brut de scolarisation au cycle de base 2 (public et privé)</w:t>
      </w:r>
    </w:p>
    <w:p w:rsidR="00907513" w:rsidRPr="00907513" w:rsidRDefault="00907513" w:rsidP="00907513">
      <w:pPr>
        <w:pStyle w:val="SingleTxt"/>
        <w:spacing w:after="0" w:line="120" w:lineRule="exact"/>
        <w:rPr>
          <w:sz w:val="10"/>
          <w:lang w:val="fr-FR"/>
        </w:rPr>
      </w:pPr>
    </w:p>
    <w:p w:rsidR="00907513" w:rsidRPr="00907513" w:rsidRDefault="00907513" w:rsidP="00907513">
      <w:pPr>
        <w:pStyle w:val="SingleTxt"/>
        <w:spacing w:after="0" w:line="120" w:lineRule="exact"/>
        <w:rPr>
          <w:sz w:val="10"/>
          <w:lang w:val="fr-FR"/>
        </w:rPr>
      </w:pPr>
    </w:p>
    <w:tbl>
      <w:tblPr>
        <w:tblW w:w="7308" w:type="dxa"/>
        <w:tblInd w:w="1269" w:type="dxa"/>
        <w:tblCellMar>
          <w:left w:w="0" w:type="dxa"/>
          <w:right w:w="0" w:type="dxa"/>
        </w:tblCellMar>
        <w:tblLook w:val="04A0" w:firstRow="1" w:lastRow="0" w:firstColumn="1" w:lastColumn="0" w:noHBand="0" w:noVBand="1"/>
      </w:tblPr>
      <w:tblGrid>
        <w:gridCol w:w="1339"/>
        <w:gridCol w:w="6"/>
        <w:gridCol w:w="1560"/>
        <w:gridCol w:w="6"/>
        <w:gridCol w:w="1519"/>
        <w:gridCol w:w="1389"/>
        <w:gridCol w:w="1489"/>
      </w:tblGrid>
      <w:tr w:rsidR="00907513" w:rsidRPr="00B4237B" w:rsidTr="00907513">
        <w:trPr>
          <w:trHeight w:val="240"/>
        </w:trPr>
        <w:tc>
          <w:tcPr>
            <w:tcW w:w="916" w:type="pct"/>
            <w:tcBorders>
              <w:top w:val="single" w:sz="4" w:space="0" w:color="auto"/>
              <w:bottom w:val="single" w:sz="12" w:space="0" w:color="auto"/>
            </w:tcBorders>
            <w:shd w:val="clear" w:color="auto" w:fill="auto"/>
            <w:vAlign w:val="bottom"/>
          </w:tcPr>
          <w:p w:rsidR="00907513" w:rsidRPr="00554A9D" w:rsidRDefault="0090751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Année scolaire</w:t>
            </w:r>
          </w:p>
        </w:tc>
        <w:tc>
          <w:tcPr>
            <w:tcW w:w="1071" w:type="pct"/>
            <w:gridSpan w:val="2"/>
            <w:tcBorders>
              <w:top w:val="single" w:sz="4" w:space="0" w:color="auto"/>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Ensemble</w:t>
            </w:r>
          </w:p>
        </w:tc>
        <w:tc>
          <w:tcPr>
            <w:tcW w:w="1043" w:type="pct"/>
            <w:gridSpan w:val="2"/>
            <w:tcBorders>
              <w:top w:val="single" w:sz="4" w:space="0" w:color="auto"/>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Garçons</w:t>
            </w:r>
          </w:p>
        </w:tc>
        <w:tc>
          <w:tcPr>
            <w:tcW w:w="950" w:type="pct"/>
            <w:tcBorders>
              <w:top w:val="single" w:sz="4" w:space="0" w:color="auto"/>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Filles</w:t>
            </w:r>
          </w:p>
        </w:tc>
        <w:tc>
          <w:tcPr>
            <w:tcW w:w="1019" w:type="pct"/>
            <w:tcBorders>
              <w:top w:val="single" w:sz="4" w:space="0" w:color="auto"/>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Indice</w:t>
            </w:r>
            <w:r>
              <w:rPr>
                <w:rFonts w:ascii="Times New Roman Italic" w:hAnsi="Times New Roman Italic"/>
                <w:bCs/>
                <w:i/>
                <w:spacing w:val="4"/>
                <w:w w:val="103"/>
                <w:sz w:val="14"/>
                <w:szCs w:val="14"/>
                <w:lang w:val="fr-FR"/>
              </w:rPr>
              <w:br/>
              <w:t>de parité</w:t>
            </w:r>
            <w:r>
              <w:rPr>
                <w:rFonts w:ascii="Times New Roman Italic" w:hAnsi="Times New Roman Italic"/>
                <w:bCs/>
                <w:i/>
                <w:spacing w:val="4"/>
                <w:w w:val="103"/>
                <w:sz w:val="14"/>
                <w:szCs w:val="14"/>
                <w:lang w:val="fr-FR"/>
              </w:rPr>
              <w:br/>
              <w:t>F/G</w:t>
            </w:r>
          </w:p>
        </w:tc>
      </w:tr>
      <w:tr w:rsidR="00907513" w:rsidRPr="00B4237B" w:rsidTr="00907513">
        <w:trPr>
          <w:trHeight w:hRule="exact" w:val="115"/>
        </w:trPr>
        <w:tc>
          <w:tcPr>
            <w:tcW w:w="916" w:type="pct"/>
            <w:tcBorders>
              <w:top w:val="single" w:sz="12" w:space="0" w:color="auto"/>
            </w:tcBorders>
            <w:shd w:val="clear" w:color="auto" w:fill="auto"/>
            <w:vAlign w:val="bottom"/>
          </w:tcPr>
          <w:p w:rsidR="00907513" w:rsidRPr="00B4237B" w:rsidRDefault="00907513" w:rsidP="00DD7DAB">
            <w:pPr>
              <w:pStyle w:val="SingleTxtG"/>
              <w:spacing w:before="40" w:after="40" w:line="210" w:lineRule="exact"/>
              <w:ind w:left="0" w:right="40"/>
              <w:jc w:val="left"/>
              <w:rPr>
                <w:bCs/>
                <w:sz w:val="17"/>
                <w:szCs w:val="17"/>
                <w:lang w:val="fr-FR"/>
              </w:rPr>
            </w:pPr>
          </w:p>
        </w:tc>
        <w:tc>
          <w:tcPr>
            <w:tcW w:w="1071" w:type="pct"/>
            <w:gridSpan w:val="2"/>
            <w:tcBorders>
              <w:top w:val="single" w:sz="12" w:space="0" w:color="auto"/>
            </w:tcBorders>
            <w:shd w:val="clear" w:color="auto" w:fill="auto"/>
            <w:vAlign w:val="bottom"/>
          </w:tcPr>
          <w:p w:rsidR="00907513" w:rsidRPr="00B4237B" w:rsidRDefault="00907513" w:rsidP="00DD7DAB">
            <w:pPr>
              <w:pStyle w:val="SingleTxtG"/>
              <w:spacing w:before="40" w:after="40" w:line="210" w:lineRule="exact"/>
              <w:ind w:left="144" w:right="43"/>
              <w:jc w:val="right"/>
              <w:rPr>
                <w:bCs/>
                <w:sz w:val="17"/>
                <w:szCs w:val="17"/>
                <w:lang w:val="fr-FR"/>
              </w:rPr>
            </w:pPr>
          </w:p>
        </w:tc>
        <w:tc>
          <w:tcPr>
            <w:tcW w:w="1043" w:type="pct"/>
            <w:gridSpan w:val="2"/>
            <w:tcBorders>
              <w:top w:val="single" w:sz="12" w:space="0" w:color="auto"/>
            </w:tcBorders>
            <w:shd w:val="clear" w:color="auto" w:fill="auto"/>
            <w:vAlign w:val="bottom"/>
          </w:tcPr>
          <w:p w:rsidR="00907513" w:rsidRPr="00B4237B" w:rsidRDefault="00907513" w:rsidP="00DD7DAB">
            <w:pPr>
              <w:pStyle w:val="SingleTxtG"/>
              <w:spacing w:before="40" w:after="40" w:line="210" w:lineRule="exact"/>
              <w:ind w:left="144" w:right="43"/>
              <w:jc w:val="right"/>
              <w:rPr>
                <w:bCs/>
                <w:sz w:val="17"/>
                <w:szCs w:val="17"/>
                <w:lang w:val="fr-FR"/>
              </w:rPr>
            </w:pPr>
          </w:p>
        </w:tc>
        <w:tc>
          <w:tcPr>
            <w:tcW w:w="950" w:type="pct"/>
            <w:tcBorders>
              <w:top w:val="single" w:sz="12" w:space="0" w:color="auto"/>
            </w:tcBorders>
            <w:shd w:val="clear" w:color="auto" w:fill="auto"/>
            <w:vAlign w:val="bottom"/>
          </w:tcPr>
          <w:p w:rsidR="00907513" w:rsidRPr="00B4237B" w:rsidRDefault="00907513" w:rsidP="00DD7DAB">
            <w:pPr>
              <w:pStyle w:val="SingleTxtG"/>
              <w:spacing w:before="40" w:after="40" w:line="210" w:lineRule="exact"/>
              <w:ind w:left="144" w:right="43"/>
              <w:jc w:val="right"/>
              <w:rPr>
                <w:bCs/>
                <w:sz w:val="17"/>
                <w:szCs w:val="17"/>
                <w:lang w:val="fr-FR"/>
              </w:rPr>
            </w:pPr>
          </w:p>
        </w:tc>
        <w:tc>
          <w:tcPr>
            <w:tcW w:w="1019" w:type="pct"/>
            <w:tcBorders>
              <w:top w:val="single" w:sz="12" w:space="0" w:color="auto"/>
            </w:tcBorders>
            <w:shd w:val="clear" w:color="auto" w:fill="auto"/>
            <w:vAlign w:val="bottom"/>
          </w:tcPr>
          <w:p w:rsidR="00907513" w:rsidRPr="00B4237B" w:rsidRDefault="00907513" w:rsidP="00DD7DAB">
            <w:pPr>
              <w:pStyle w:val="SingleTxtG"/>
              <w:spacing w:before="40" w:after="40" w:line="210" w:lineRule="exact"/>
              <w:ind w:left="144" w:right="43"/>
              <w:jc w:val="right"/>
              <w:rPr>
                <w:bCs/>
                <w:sz w:val="17"/>
                <w:szCs w:val="17"/>
                <w:lang w:val="fr-FR"/>
              </w:rPr>
            </w:pPr>
          </w:p>
        </w:tc>
      </w:tr>
      <w:tr w:rsidR="00907513" w:rsidRPr="00B4237B" w:rsidTr="00907513">
        <w:trPr>
          <w:trHeight w:val="240"/>
        </w:trPr>
        <w:tc>
          <w:tcPr>
            <w:tcW w:w="920"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2004-2005</w:t>
            </w:r>
          </w:p>
        </w:tc>
        <w:tc>
          <w:tcPr>
            <w:tcW w:w="1071"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14,49</w:t>
            </w:r>
          </w:p>
        </w:tc>
        <w:tc>
          <w:tcPr>
            <w:tcW w:w="103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17,77</w:t>
            </w:r>
          </w:p>
        </w:tc>
        <w:tc>
          <w:tcPr>
            <w:tcW w:w="950"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11,29</w:t>
            </w:r>
          </w:p>
        </w:tc>
        <w:tc>
          <w:tcPr>
            <w:tcW w:w="101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0,64</w:t>
            </w:r>
          </w:p>
        </w:tc>
      </w:tr>
      <w:tr w:rsidR="00907513" w:rsidRPr="00B4237B" w:rsidTr="00907513">
        <w:trPr>
          <w:trHeight w:val="240"/>
        </w:trPr>
        <w:tc>
          <w:tcPr>
            <w:tcW w:w="920"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2005-2006</w:t>
            </w:r>
          </w:p>
        </w:tc>
        <w:tc>
          <w:tcPr>
            <w:tcW w:w="1071"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16,10</w:t>
            </w:r>
          </w:p>
        </w:tc>
        <w:tc>
          <w:tcPr>
            <w:tcW w:w="103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19,77</w:t>
            </w:r>
          </w:p>
        </w:tc>
        <w:tc>
          <w:tcPr>
            <w:tcW w:w="950"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12,46</w:t>
            </w:r>
          </w:p>
        </w:tc>
        <w:tc>
          <w:tcPr>
            <w:tcW w:w="101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0,63</w:t>
            </w:r>
          </w:p>
        </w:tc>
      </w:tr>
      <w:tr w:rsidR="00907513" w:rsidRPr="00B4237B" w:rsidTr="00907513">
        <w:trPr>
          <w:trHeight w:val="240"/>
        </w:trPr>
        <w:tc>
          <w:tcPr>
            <w:tcW w:w="920"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2006-2007</w:t>
            </w:r>
          </w:p>
        </w:tc>
        <w:tc>
          <w:tcPr>
            <w:tcW w:w="1071"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15,55</w:t>
            </w:r>
          </w:p>
        </w:tc>
        <w:tc>
          <w:tcPr>
            <w:tcW w:w="103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19,06</w:t>
            </w:r>
          </w:p>
        </w:tc>
        <w:tc>
          <w:tcPr>
            <w:tcW w:w="950"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12,04</w:t>
            </w:r>
          </w:p>
        </w:tc>
        <w:tc>
          <w:tcPr>
            <w:tcW w:w="101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0,63</w:t>
            </w:r>
          </w:p>
        </w:tc>
      </w:tr>
      <w:tr w:rsidR="00907513" w:rsidRPr="00B4237B" w:rsidTr="00907513">
        <w:trPr>
          <w:trHeight w:val="240"/>
        </w:trPr>
        <w:tc>
          <w:tcPr>
            <w:tcW w:w="920"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2007-2008</w:t>
            </w:r>
          </w:p>
        </w:tc>
        <w:tc>
          <w:tcPr>
            <w:tcW w:w="1071"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16,08</w:t>
            </w:r>
          </w:p>
        </w:tc>
        <w:tc>
          <w:tcPr>
            <w:tcW w:w="103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19,65</w:t>
            </w:r>
          </w:p>
        </w:tc>
        <w:tc>
          <w:tcPr>
            <w:tcW w:w="950"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12,46</w:t>
            </w:r>
          </w:p>
        </w:tc>
        <w:tc>
          <w:tcPr>
            <w:tcW w:w="101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063,</w:t>
            </w:r>
          </w:p>
        </w:tc>
      </w:tr>
      <w:tr w:rsidR="00907513" w:rsidRPr="00B4237B" w:rsidTr="00907513">
        <w:trPr>
          <w:trHeight w:val="240"/>
        </w:trPr>
        <w:tc>
          <w:tcPr>
            <w:tcW w:w="920"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2008-2009</w:t>
            </w:r>
          </w:p>
        </w:tc>
        <w:tc>
          <w:tcPr>
            <w:tcW w:w="1071" w:type="pct"/>
            <w:gridSpan w:val="2"/>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16 ,6</w:t>
            </w:r>
          </w:p>
        </w:tc>
        <w:tc>
          <w:tcPr>
            <w:tcW w:w="103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20 ,2</w:t>
            </w:r>
          </w:p>
        </w:tc>
        <w:tc>
          <w:tcPr>
            <w:tcW w:w="950"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13,0</w:t>
            </w:r>
          </w:p>
        </w:tc>
        <w:tc>
          <w:tcPr>
            <w:tcW w:w="1019" w:type="pct"/>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0,64</w:t>
            </w:r>
          </w:p>
        </w:tc>
      </w:tr>
      <w:tr w:rsidR="00907513" w:rsidRPr="00B4237B" w:rsidTr="00907513">
        <w:trPr>
          <w:trHeight w:val="240"/>
        </w:trPr>
        <w:tc>
          <w:tcPr>
            <w:tcW w:w="920" w:type="pct"/>
            <w:gridSpan w:val="2"/>
            <w:tcBorders>
              <w:bottom w:val="single" w:sz="12" w:space="0" w:color="auto"/>
            </w:tcBorders>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2009-2010</w:t>
            </w:r>
          </w:p>
        </w:tc>
        <w:tc>
          <w:tcPr>
            <w:tcW w:w="1071" w:type="pct"/>
            <w:gridSpan w:val="2"/>
            <w:tcBorders>
              <w:bottom w:val="single" w:sz="12" w:space="0" w:color="auto"/>
            </w:tcBorders>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17,8</w:t>
            </w:r>
          </w:p>
        </w:tc>
        <w:tc>
          <w:tcPr>
            <w:tcW w:w="1039" w:type="pct"/>
            <w:tcBorders>
              <w:bottom w:val="single" w:sz="12" w:space="0" w:color="auto"/>
            </w:tcBorders>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21,4</w:t>
            </w:r>
          </w:p>
        </w:tc>
        <w:tc>
          <w:tcPr>
            <w:tcW w:w="950" w:type="pct"/>
            <w:tcBorders>
              <w:bottom w:val="single" w:sz="12" w:space="0" w:color="auto"/>
            </w:tcBorders>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14,1</w:t>
            </w:r>
          </w:p>
        </w:tc>
        <w:tc>
          <w:tcPr>
            <w:tcW w:w="1019" w:type="pct"/>
            <w:tcBorders>
              <w:bottom w:val="single" w:sz="12" w:space="0" w:color="auto"/>
            </w:tcBorders>
            <w:shd w:val="clear" w:color="auto" w:fill="auto"/>
            <w:vAlign w:val="bottom"/>
          </w:tcPr>
          <w:p w:rsidR="00907513" w:rsidRPr="00B4237B" w:rsidRDefault="00907513"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0,66</w:t>
            </w:r>
          </w:p>
        </w:tc>
      </w:tr>
    </w:tbl>
    <w:p w:rsidR="00907513" w:rsidRPr="00907513" w:rsidRDefault="00907513" w:rsidP="00907513">
      <w:pPr>
        <w:pStyle w:val="SingleTxt"/>
        <w:spacing w:after="0" w:line="120" w:lineRule="exact"/>
        <w:rPr>
          <w:sz w:val="10"/>
          <w:lang w:val="fr-FR"/>
        </w:rPr>
      </w:pPr>
    </w:p>
    <w:p w:rsidR="004432C5" w:rsidRDefault="004432C5" w:rsidP="00907513">
      <w:pPr>
        <w:pStyle w:val="FootnoteText"/>
        <w:tabs>
          <w:tab w:val="right" w:pos="1476"/>
          <w:tab w:val="left" w:pos="1548"/>
          <w:tab w:val="right" w:pos="1836"/>
          <w:tab w:val="left" w:pos="1908"/>
        </w:tabs>
        <w:ind w:left="1548" w:right="1267" w:hanging="288"/>
        <w:rPr>
          <w:lang w:val="fr-FR"/>
        </w:rPr>
      </w:pPr>
      <w:r w:rsidRPr="00907513">
        <w:rPr>
          <w:i/>
          <w:lang w:val="fr-FR"/>
        </w:rPr>
        <w:t>Source</w:t>
      </w:r>
      <w:r w:rsidR="00DB6EAF" w:rsidRPr="001C7B59">
        <w:rPr>
          <w:b/>
          <w:lang w:val="fr-FR"/>
        </w:rPr>
        <w:t> </w:t>
      </w:r>
      <w:r w:rsidR="00DB6EAF" w:rsidRPr="00907513">
        <w:rPr>
          <w:lang w:val="fr-FR"/>
        </w:rPr>
        <w:t>:</w:t>
      </w:r>
      <w:r w:rsidRPr="001C7B59">
        <w:rPr>
          <w:lang w:val="fr-FR"/>
        </w:rPr>
        <w:t xml:space="preserve"> Recensement scolaire 2009/2010, MESS/RT</w:t>
      </w:r>
      <w:r w:rsidR="00907513">
        <w:rPr>
          <w:lang w:val="fr-FR"/>
        </w:rPr>
        <w:t>.</w:t>
      </w:r>
    </w:p>
    <w:p w:rsidR="00907513" w:rsidRPr="00907513" w:rsidRDefault="00907513" w:rsidP="00907513">
      <w:pPr>
        <w:pStyle w:val="SingleTxt"/>
        <w:spacing w:after="0" w:line="120" w:lineRule="exact"/>
        <w:rPr>
          <w:bCs/>
          <w:i/>
          <w:sz w:val="10"/>
          <w:lang w:val="fr-FR"/>
        </w:rPr>
      </w:pPr>
    </w:p>
    <w:p w:rsidR="00907513" w:rsidRPr="00907513" w:rsidRDefault="00907513" w:rsidP="00907513">
      <w:pPr>
        <w:pStyle w:val="SingleTxt"/>
        <w:spacing w:after="0" w:line="120" w:lineRule="exact"/>
        <w:rPr>
          <w:bCs/>
          <w:i/>
          <w:sz w:val="10"/>
          <w:lang w:val="fr-FR"/>
        </w:rPr>
      </w:pPr>
    </w:p>
    <w:p w:rsidR="004432C5" w:rsidRPr="001C7B59" w:rsidRDefault="004432C5" w:rsidP="008E5553">
      <w:pPr>
        <w:pStyle w:val="SingleTxt"/>
        <w:numPr>
          <w:ilvl w:val="0"/>
          <w:numId w:val="9"/>
        </w:numPr>
        <w:tabs>
          <w:tab w:val="clear" w:pos="475"/>
          <w:tab w:val="num" w:pos="1742"/>
        </w:tabs>
        <w:ind w:left="1267"/>
        <w:rPr>
          <w:b/>
          <w:lang w:val="fr-FR"/>
        </w:rPr>
      </w:pPr>
      <w:r w:rsidRPr="001C7B59">
        <w:rPr>
          <w:lang w:val="fr-FR"/>
        </w:rPr>
        <w:t>Le nombre des établissements (privé et public) est de 675 en 2010 contre 556 en 2008. L</w:t>
      </w:r>
      <w:r w:rsidR="00DB6EAF" w:rsidRPr="001C7B59">
        <w:rPr>
          <w:lang w:val="fr-FR"/>
        </w:rPr>
        <w:t>’</w:t>
      </w:r>
      <w:r w:rsidRPr="001C7B59">
        <w:rPr>
          <w:lang w:val="fr-FR"/>
        </w:rPr>
        <w:t>effectif des enseignants du secteur public n</w:t>
      </w:r>
      <w:r w:rsidR="00DB6EAF" w:rsidRPr="001C7B59">
        <w:rPr>
          <w:lang w:val="fr-FR"/>
        </w:rPr>
        <w:t>’</w:t>
      </w:r>
      <w:r w:rsidRPr="001C7B59">
        <w:rPr>
          <w:lang w:val="fr-FR"/>
        </w:rPr>
        <w:t>a cessé de croître. Il est passé de 5115 en 2008-2009 à 6311</w:t>
      </w:r>
      <w:r w:rsidR="00907513">
        <w:rPr>
          <w:lang w:val="fr-FR"/>
        </w:rPr>
        <w:t xml:space="preserve"> </w:t>
      </w:r>
      <w:r w:rsidRPr="001C7B59">
        <w:rPr>
          <w:lang w:val="fr-FR"/>
        </w:rPr>
        <w:t>en 2009-2010, soit une augmentation d</w:t>
      </w:r>
      <w:r w:rsidR="00DB6EAF" w:rsidRPr="001C7B59">
        <w:rPr>
          <w:lang w:val="fr-FR"/>
        </w:rPr>
        <w:t>’</w:t>
      </w:r>
      <w:r w:rsidRPr="001C7B59">
        <w:rPr>
          <w:lang w:val="fr-FR"/>
        </w:rPr>
        <w:t>environ 23,4</w:t>
      </w:r>
      <w:r w:rsidR="007B382B">
        <w:rPr>
          <w:lang w:val="fr-FR"/>
        </w:rPr>
        <w:t> %</w:t>
      </w:r>
      <w:r w:rsidRPr="001C7B59">
        <w:rPr>
          <w:lang w:val="fr-FR"/>
        </w:rPr>
        <w:t>. Cet effectif est composé de 23,5</w:t>
      </w:r>
      <w:r w:rsidR="007B382B">
        <w:rPr>
          <w:lang w:val="fr-FR"/>
        </w:rPr>
        <w:t> %</w:t>
      </w:r>
      <w:r w:rsidRPr="001C7B59">
        <w:rPr>
          <w:lang w:val="fr-FR"/>
        </w:rPr>
        <w:t xml:space="preserve"> de femmes. Il est essentiellement constitué de 89,6</w:t>
      </w:r>
      <w:r w:rsidR="007B382B">
        <w:rPr>
          <w:lang w:val="fr-FR"/>
        </w:rPr>
        <w:t> %</w:t>
      </w:r>
      <w:r w:rsidRPr="001C7B59">
        <w:rPr>
          <w:lang w:val="fr-FR"/>
        </w:rPr>
        <w:t xml:space="preserve"> de contractuels et d</w:t>
      </w:r>
      <w:r w:rsidR="00DB6EAF" w:rsidRPr="001C7B59">
        <w:rPr>
          <w:lang w:val="fr-FR"/>
        </w:rPr>
        <w:t>’</w:t>
      </w:r>
      <w:r w:rsidRPr="001C7B59">
        <w:rPr>
          <w:lang w:val="fr-FR"/>
        </w:rPr>
        <w:t xml:space="preserve">Appelés de Service Civique </w:t>
      </w:r>
      <w:r w:rsidR="00D60176" w:rsidRPr="001C7B59">
        <w:rPr>
          <w:lang w:val="fr-FR"/>
        </w:rPr>
        <w:t>national</w:t>
      </w:r>
      <w:r w:rsidRPr="001C7B59">
        <w:rPr>
          <w:lang w:val="fr-FR"/>
        </w:rPr>
        <w:t xml:space="preserve"> (ASCN) recrutés pour la plupart sans formation pédagogique initiale.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Avec 48116 élèves en 2009-2010, les redoublants représentent 19</w:t>
      </w:r>
      <w:r w:rsidR="007B382B">
        <w:rPr>
          <w:lang w:val="fr-FR"/>
        </w:rPr>
        <w:t> %</w:t>
      </w:r>
      <w:r w:rsidRPr="001C7B59">
        <w:rPr>
          <w:lang w:val="fr-FR"/>
        </w:rPr>
        <w:t xml:space="preserve"> des</w:t>
      </w:r>
      <w:r w:rsidR="001C7B59" w:rsidRPr="001C7B59">
        <w:rPr>
          <w:lang w:val="fr-FR"/>
        </w:rPr>
        <w:t xml:space="preserve"> </w:t>
      </w:r>
      <w:r w:rsidRPr="001C7B59">
        <w:rPr>
          <w:lang w:val="fr-FR"/>
        </w:rPr>
        <w:t>effectifs de ce cycle2 contre 20</w:t>
      </w:r>
      <w:r w:rsidR="007B382B">
        <w:rPr>
          <w:lang w:val="fr-FR"/>
        </w:rPr>
        <w:t> %</w:t>
      </w:r>
      <w:r w:rsidRPr="001C7B59">
        <w:rPr>
          <w:lang w:val="fr-FR"/>
        </w:rPr>
        <w:t xml:space="preserve"> en 2008-2009, soit une diminution d</w:t>
      </w:r>
      <w:r w:rsidR="00DB6EAF" w:rsidRPr="001C7B59">
        <w:rPr>
          <w:lang w:val="fr-FR"/>
        </w:rPr>
        <w:t>’</w:t>
      </w:r>
      <w:r w:rsidRPr="001C7B59">
        <w:rPr>
          <w:lang w:val="fr-FR"/>
        </w:rPr>
        <w:t>un point. Depuis quatre ans, on observe que les filles redoublent plus que les garçons. Seules 34,7</w:t>
      </w:r>
      <w:r w:rsidR="007B382B">
        <w:rPr>
          <w:lang w:val="fr-FR"/>
        </w:rPr>
        <w:t> %</w:t>
      </w:r>
      <w:r w:rsidRPr="001C7B59">
        <w:rPr>
          <w:lang w:val="fr-FR"/>
        </w:rPr>
        <w:t xml:space="preserve"> des élèves filles entrées en </w:t>
      </w:r>
      <w:r w:rsidR="00907513">
        <w:rPr>
          <w:lang w:val="fr-FR"/>
        </w:rPr>
        <w:t xml:space="preserve">sixième </w:t>
      </w:r>
      <w:r w:rsidRPr="001C7B59">
        <w:rPr>
          <w:lang w:val="fr-FR"/>
        </w:rPr>
        <w:t xml:space="preserve">atteignent la </w:t>
      </w:r>
      <w:r w:rsidR="00907513">
        <w:rPr>
          <w:lang w:val="fr-FR"/>
        </w:rPr>
        <w:t xml:space="preserve">troisième </w:t>
      </w:r>
      <w:r w:rsidRPr="001C7B59">
        <w:rPr>
          <w:lang w:val="fr-FR"/>
        </w:rPr>
        <w:t>en 2010, contre 39</w:t>
      </w:r>
      <w:r w:rsidR="007B382B">
        <w:rPr>
          <w:lang w:val="fr-FR"/>
        </w:rPr>
        <w:t> %</w:t>
      </w:r>
      <w:r w:rsidRPr="001C7B59">
        <w:rPr>
          <w:lang w:val="fr-FR"/>
        </w:rPr>
        <w:t xml:space="preserve"> en 2009, soit une diminution de près de 5</w:t>
      </w:r>
      <w:r w:rsidR="007B382B">
        <w:rPr>
          <w:lang w:val="fr-FR"/>
        </w:rPr>
        <w:t> %</w:t>
      </w:r>
      <w:r w:rsidRPr="001C7B59">
        <w:rPr>
          <w:lang w:val="fr-FR"/>
        </w:rPr>
        <w: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S</w:t>
      </w:r>
      <w:r w:rsidR="00DB6EAF" w:rsidRPr="001C7B59">
        <w:rPr>
          <w:lang w:val="fr-FR"/>
        </w:rPr>
        <w:t>’</w:t>
      </w:r>
      <w:r w:rsidRPr="001C7B59">
        <w:rPr>
          <w:lang w:val="fr-FR"/>
        </w:rPr>
        <w:t>agissant de l</w:t>
      </w:r>
      <w:r w:rsidR="00DB6EAF" w:rsidRPr="001C7B59">
        <w:rPr>
          <w:lang w:val="fr-FR"/>
        </w:rPr>
        <w:t>’</w:t>
      </w:r>
      <w:r w:rsidRPr="001C7B59">
        <w:rPr>
          <w:lang w:val="fr-FR"/>
        </w:rPr>
        <w:t>efficacité externe mesurée à travers le taux de réussite au BEPC, on note que les résultats de la session de juillet 2010 (31,35</w:t>
      </w:r>
      <w:r w:rsidR="007B382B">
        <w:rPr>
          <w:lang w:val="fr-FR"/>
        </w:rPr>
        <w:t> %</w:t>
      </w:r>
      <w:r w:rsidRPr="001C7B59">
        <w:rPr>
          <w:lang w:val="fr-FR"/>
        </w:rPr>
        <w:t xml:space="preserve"> d</w:t>
      </w:r>
      <w:r w:rsidR="00DB6EAF" w:rsidRPr="001C7B59">
        <w:rPr>
          <w:lang w:val="fr-FR"/>
        </w:rPr>
        <w:t>’</w:t>
      </w:r>
      <w:r w:rsidRPr="001C7B59">
        <w:rPr>
          <w:lang w:val="fr-FR"/>
        </w:rPr>
        <w:t>admis) sont en deçà de ceux de la session précédente (2009 avec 41,5</w:t>
      </w:r>
      <w:r w:rsidR="007B382B">
        <w:rPr>
          <w:lang w:val="fr-FR"/>
        </w:rPr>
        <w:t> %</w:t>
      </w:r>
      <w:r w:rsidRPr="001C7B59">
        <w:rPr>
          <w:lang w:val="fr-FR"/>
        </w:rPr>
        <w:t xml:space="preserve"> d</w:t>
      </w:r>
      <w:r w:rsidR="00DB6EAF" w:rsidRPr="001C7B59">
        <w:rPr>
          <w:lang w:val="fr-FR"/>
        </w:rPr>
        <w:t>’</w:t>
      </w:r>
      <w:r w:rsidRPr="001C7B59">
        <w:rPr>
          <w:lang w:val="fr-FR"/>
        </w:rPr>
        <w:t>admis).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Avec une hausse très sensible des nouveaux admis en </w:t>
      </w:r>
      <w:r w:rsidR="00907513">
        <w:rPr>
          <w:lang w:val="fr-FR"/>
        </w:rPr>
        <w:t>sixième</w:t>
      </w:r>
      <w:r w:rsidRPr="001C7B59">
        <w:rPr>
          <w:lang w:val="fr-FR"/>
        </w:rPr>
        <w:t>, la détérioration du taux de survie et celui de réussite, l</w:t>
      </w:r>
      <w:r w:rsidR="00DB6EAF" w:rsidRPr="001C7B59">
        <w:rPr>
          <w:lang w:val="fr-FR"/>
        </w:rPr>
        <w:t>’</w:t>
      </w:r>
      <w:r w:rsidRPr="001C7B59">
        <w:rPr>
          <w:lang w:val="fr-FR"/>
        </w:rPr>
        <w:t>objectif à l</w:t>
      </w:r>
      <w:r w:rsidR="00DB6EAF" w:rsidRPr="001C7B59">
        <w:rPr>
          <w:lang w:val="fr-FR"/>
        </w:rPr>
        <w:t>’</w:t>
      </w:r>
      <w:r w:rsidRPr="001C7B59">
        <w:rPr>
          <w:lang w:val="fr-FR"/>
        </w:rPr>
        <w:t>horizon 2015 qui est de tendre vers la parité entre zone rurale et urbaine et entre filles et garçons dans le total des effectifs scolarisés au cycle de base2 risque de ne pas être atteint.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causes immédiates de ces disparités entre filles et garçons sont liées à l</w:t>
      </w:r>
      <w:r w:rsidR="00DB6EAF" w:rsidRPr="001C7B59">
        <w:rPr>
          <w:lang w:val="fr-FR"/>
        </w:rPr>
        <w:t>’</w:t>
      </w:r>
      <w:r w:rsidRPr="001C7B59">
        <w:rPr>
          <w:lang w:val="fr-FR"/>
        </w:rPr>
        <w:t>absence de soutien familial, au manque d</w:t>
      </w:r>
      <w:r w:rsidR="00DB6EAF" w:rsidRPr="001C7B59">
        <w:rPr>
          <w:lang w:val="fr-FR"/>
        </w:rPr>
        <w:t>’</w:t>
      </w:r>
      <w:r w:rsidRPr="001C7B59">
        <w:rPr>
          <w:lang w:val="fr-FR"/>
        </w:rPr>
        <w:t>infrastructures d</w:t>
      </w:r>
      <w:r w:rsidR="00DB6EAF" w:rsidRPr="001C7B59">
        <w:rPr>
          <w:lang w:val="fr-FR"/>
        </w:rPr>
        <w:t>’</w:t>
      </w:r>
      <w:r w:rsidRPr="001C7B59">
        <w:rPr>
          <w:lang w:val="fr-FR"/>
        </w:rPr>
        <w:t>accueil, au manque de moyens chez les parents pour les filles qui accèdent au cycle secondaire I et II et supérieur. Ces différentes causes justifient l</w:t>
      </w:r>
      <w:r w:rsidR="00DB6EAF" w:rsidRPr="001C7B59">
        <w:rPr>
          <w:lang w:val="fr-FR"/>
        </w:rPr>
        <w:t>’</w:t>
      </w:r>
      <w:r w:rsidRPr="001C7B59">
        <w:rPr>
          <w:lang w:val="fr-FR"/>
        </w:rPr>
        <w:t>abandon et les déperditions scolaires.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Pour corriger ces disparités, les stratégies suivantes sont mises en œuvre</w:t>
      </w:r>
      <w:r w:rsidR="00DB6EAF" w:rsidRPr="001C7B59">
        <w:rPr>
          <w:lang w:val="fr-FR"/>
        </w:rPr>
        <w:t> :</w:t>
      </w:r>
      <w:r w:rsidRPr="001C7B59">
        <w:rPr>
          <w:lang w:val="fr-FR"/>
        </w:rPr>
        <w:t> </w:t>
      </w:r>
    </w:p>
    <w:p w:rsidR="004432C5" w:rsidRPr="001C7B59" w:rsidRDefault="00907513" w:rsidP="00907513">
      <w:pPr>
        <w:pStyle w:val="SingleTxt"/>
        <w:tabs>
          <w:tab w:val="right" w:pos="1685"/>
        </w:tabs>
        <w:ind w:left="1742" w:hanging="475"/>
        <w:rPr>
          <w:lang w:val="fr-FR"/>
        </w:rPr>
      </w:pPr>
      <w:r>
        <w:rPr>
          <w:lang w:val="fr-FR"/>
        </w:rPr>
        <w:tab/>
        <w:t>•</w:t>
      </w:r>
      <w:r>
        <w:rPr>
          <w:lang w:val="fr-FR"/>
        </w:rPr>
        <w:tab/>
      </w:r>
      <w:r w:rsidR="004432C5" w:rsidRPr="001C7B59">
        <w:rPr>
          <w:lang w:val="fr-FR"/>
        </w:rPr>
        <w:t>Placement des filles dans des familles d</w:t>
      </w:r>
      <w:r w:rsidR="00DB6EAF" w:rsidRPr="001C7B59">
        <w:rPr>
          <w:lang w:val="fr-FR"/>
        </w:rPr>
        <w:t>’</w:t>
      </w:r>
      <w:r w:rsidR="004432C5" w:rsidRPr="001C7B59">
        <w:rPr>
          <w:lang w:val="fr-FR"/>
        </w:rPr>
        <w:t>accueil (ONG FAD)</w:t>
      </w:r>
      <w:r w:rsidR="00DB6EAF" w:rsidRPr="001C7B59">
        <w:rPr>
          <w:lang w:val="fr-FR"/>
        </w:rPr>
        <w:t>;</w:t>
      </w:r>
    </w:p>
    <w:p w:rsidR="004432C5" w:rsidRPr="001C7B59" w:rsidRDefault="00907513" w:rsidP="00907513">
      <w:pPr>
        <w:pStyle w:val="SingleTxt"/>
        <w:tabs>
          <w:tab w:val="right" w:pos="1685"/>
        </w:tabs>
        <w:ind w:left="1742" w:hanging="475"/>
        <w:rPr>
          <w:lang w:val="fr-FR"/>
        </w:rPr>
      </w:pPr>
      <w:r>
        <w:rPr>
          <w:lang w:val="fr-FR"/>
        </w:rPr>
        <w:tab/>
        <w:t>•</w:t>
      </w:r>
      <w:r>
        <w:rPr>
          <w:lang w:val="fr-FR"/>
        </w:rPr>
        <w:tab/>
      </w:r>
      <w:r w:rsidR="004432C5" w:rsidRPr="001C7B59">
        <w:rPr>
          <w:lang w:val="fr-FR"/>
        </w:rPr>
        <w:t>Expérience pilote (bourses aux filles) UNICEF</w:t>
      </w:r>
      <w:r w:rsidR="00DB6EAF" w:rsidRPr="001C7B59">
        <w:rPr>
          <w:lang w:val="fr-FR"/>
        </w:rPr>
        <w:t>;</w:t>
      </w:r>
    </w:p>
    <w:p w:rsidR="004432C5" w:rsidRPr="001C7B59" w:rsidRDefault="00907513" w:rsidP="00907513">
      <w:pPr>
        <w:pStyle w:val="SingleTxt"/>
        <w:tabs>
          <w:tab w:val="right" w:pos="1685"/>
        </w:tabs>
        <w:ind w:left="1742" w:hanging="475"/>
        <w:rPr>
          <w:lang w:val="fr-FR"/>
        </w:rPr>
      </w:pPr>
      <w:r>
        <w:rPr>
          <w:lang w:val="fr-FR"/>
        </w:rPr>
        <w:tab/>
        <w:t>•</w:t>
      </w:r>
      <w:r>
        <w:rPr>
          <w:lang w:val="fr-FR"/>
        </w:rPr>
        <w:tab/>
      </w:r>
      <w:r w:rsidR="004432C5" w:rsidRPr="001C7B59">
        <w:rPr>
          <w:lang w:val="fr-FR"/>
        </w:rPr>
        <w:t xml:space="preserve">Appui aux filles des </w:t>
      </w:r>
      <w:r>
        <w:rPr>
          <w:lang w:val="fr-FR"/>
        </w:rPr>
        <w:t>c</w:t>
      </w:r>
      <w:r w:rsidR="004432C5" w:rsidRPr="001C7B59">
        <w:rPr>
          <w:lang w:val="fr-FR"/>
        </w:rPr>
        <w:t>ollèges d</w:t>
      </w:r>
      <w:r w:rsidR="00DB6EAF" w:rsidRPr="001C7B59">
        <w:rPr>
          <w:lang w:val="fr-FR"/>
        </w:rPr>
        <w:t>’</w:t>
      </w:r>
      <w:r w:rsidR="00D60176" w:rsidRPr="001C7B59">
        <w:rPr>
          <w:lang w:val="fr-FR"/>
        </w:rPr>
        <w:t>enseignement</w:t>
      </w:r>
      <w:r w:rsidR="004432C5" w:rsidRPr="001C7B59">
        <w:rPr>
          <w:lang w:val="fr-FR"/>
        </w:rPr>
        <w:t xml:space="preserve"> </w:t>
      </w:r>
      <w:r>
        <w:rPr>
          <w:lang w:val="fr-FR"/>
        </w:rPr>
        <w:t>g</w:t>
      </w:r>
      <w:r w:rsidR="004432C5" w:rsidRPr="001C7B59">
        <w:rPr>
          <w:lang w:val="fr-FR"/>
        </w:rPr>
        <w:t>énéral/</w:t>
      </w:r>
      <w:r>
        <w:rPr>
          <w:lang w:val="fr-FR"/>
        </w:rPr>
        <w:t>franco-a</w:t>
      </w:r>
      <w:r w:rsidR="004432C5" w:rsidRPr="001C7B59">
        <w:rPr>
          <w:lang w:val="fr-FR"/>
        </w:rPr>
        <w:t>rabe.</w:t>
      </w:r>
    </w:p>
    <w:p w:rsidR="00907513" w:rsidRPr="00907513" w:rsidRDefault="00907513" w:rsidP="00907513">
      <w:pPr>
        <w:pStyle w:val="SingleTxt"/>
        <w:spacing w:after="0" w:line="120" w:lineRule="exact"/>
        <w:rPr>
          <w:sz w:val="10"/>
          <w:lang w:val="fr-FR"/>
        </w:rPr>
      </w:pPr>
    </w:p>
    <w:p w:rsidR="004432C5" w:rsidRDefault="00907513" w:rsidP="009075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Second cycle (17</w:t>
      </w:r>
      <w:r w:rsidR="004432C5" w:rsidRPr="001C7B59">
        <w:rPr>
          <w:lang w:val="fr-FR"/>
        </w:rPr>
        <w:t>-19 ans)</w:t>
      </w:r>
    </w:p>
    <w:p w:rsidR="00907513" w:rsidRPr="00907513" w:rsidRDefault="00907513" w:rsidP="00907513">
      <w:pPr>
        <w:pStyle w:val="SingleTxt"/>
        <w:keepNe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second cycle de l</w:t>
      </w:r>
      <w:r w:rsidR="00DB6EAF" w:rsidRPr="001C7B59">
        <w:rPr>
          <w:lang w:val="fr-FR"/>
        </w:rPr>
        <w:t>’</w:t>
      </w:r>
      <w:r w:rsidRPr="001C7B59">
        <w:rPr>
          <w:lang w:val="fr-FR"/>
        </w:rPr>
        <w:t>enseignement secondaire général accueille les élèves de la tranche d</w:t>
      </w:r>
      <w:r w:rsidR="00DB6EAF" w:rsidRPr="001C7B59">
        <w:rPr>
          <w:lang w:val="fr-FR"/>
        </w:rPr>
        <w:t>’</w:t>
      </w:r>
      <w:r w:rsidRPr="001C7B59">
        <w:rPr>
          <w:lang w:val="fr-FR"/>
        </w:rPr>
        <w:t>âge</w:t>
      </w:r>
      <w:r w:rsidR="001C7B59" w:rsidRPr="001C7B59">
        <w:rPr>
          <w:lang w:val="fr-FR"/>
        </w:rPr>
        <w:t xml:space="preserve"> </w:t>
      </w:r>
      <w:r w:rsidRPr="001C7B59">
        <w:rPr>
          <w:lang w:val="fr-FR"/>
        </w:rPr>
        <w:t>17-19 ans. D</w:t>
      </w:r>
      <w:r w:rsidR="00DB6EAF" w:rsidRPr="001C7B59">
        <w:rPr>
          <w:lang w:val="fr-FR"/>
        </w:rPr>
        <w:t>’</w:t>
      </w:r>
      <w:r w:rsidRPr="001C7B59">
        <w:rPr>
          <w:lang w:val="fr-FR"/>
        </w:rPr>
        <w:t>une durée de trois ans, il conduit à l</w:t>
      </w:r>
      <w:r w:rsidR="00DB6EAF" w:rsidRPr="001C7B59">
        <w:rPr>
          <w:lang w:val="fr-FR"/>
        </w:rPr>
        <w:t>’</w:t>
      </w:r>
      <w:r w:rsidRPr="001C7B59">
        <w:rPr>
          <w:lang w:val="fr-FR"/>
        </w:rPr>
        <w:t>obtention du baccalauréat.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Depuis 2007-2008, on constate, une augmentation très significative des nouveaux admis en seconde. En effet, en 2010, ils sont au nombre de 13852 élèves à entrer au cycle moyen soit plus de 37</w:t>
      </w:r>
      <w:r w:rsidR="007B382B">
        <w:rPr>
          <w:lang w:val="fr-FR"/>
        </w:rPr>
        <w:t> %</w:t>
      </w:r>
      <w:r w:rsidRPr="001C7B59">
        <w:rPr>
          <w:lang w:val="fr-FR"/>
        </w:rPr>
        <w:t>. Ce flux massif</w:t>
      </w:r>
      <w:r w:rsidR="001C7B59" w:rsidRPr="001C7B59">
        <w:rPr>
          <w:lang w:val="fr-FR"/>
        </w:rPr>
        <w:t xml:space="preserve"> </w:t>
      </w:r>
      <w:r w:rsidRPr="001C7B59">
        <w:rPr>
          <w:lang w:val="fr-FR"/>
        </w:rPr>
        <w:t>des nouveaux entrants fait évoluer l</w:t>
      </w:r>
      <w:r w:rsidR="00DB6EAF" w:rsidRPr="001C7B59">
        <w:rPr>
          <w:lang w:val="fr-FR"/>
        </w:rPr>
        <w:t>’</w:t>
      </w:r>
      <w:r w:rsidRPr="001C7B59">
        <w:rPr>
          <w:lang w:val="fr-FR"/>
        </w:rPr>
        <w:t>effectif total de ce cycle (de 27131 en 2007-2008 à 27643 en 2008-2009 et à 33133 en 2009-2010).</w:t>
      </w:r>
    </w:p>
    <w:p w:rsidR="00907513" w:rsidRPr="00907513" w:rsidRDefault="00907513" w:rsidP="00907513">
      <w:pPr>
        <w:pStyle w:val="SingleTxt"/>
        <w:spacing w:after="0" w:line="120" w:lineRule="exact"/>
        <w:rPr>
          <w:sz w:val="10"/>
          <w:lang w:val="fr-FR"/>
        </w:rPr>
      </w:pPr>
    </w:p>
    <w:p w:rsidR="004432C5" w:rsidRDefault="00907513" w:rsidP="009075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907513">
        <w:rPr>
          <w:b w:val="0"/>
          <w:lang w:val="fr-FR"/>
        </w:rPr>
        <w:t>Tableau n° 6</w:t>
      </w:r>
      <w:r w:rsidR="00DB6EAF" w:rsidRPr="00907513">
        <w:rPr>
          <w:b w:val="0"/>
          <w:lang w:val="fr-FR"/>
        </w:rPr>
        <w:t> </w:t>
      </w:r>
      <w:r>
        <w:rPr>
          <w:b w:val="0"/>
          <w:lang w:val="fr-FR"/>
        </w:rPr>
        <w:br/>
      </w:r>
      <w:r w:rsidR="00E15F6D" w:rsidRPr="001C7B59">
        <w:rPr>
          <w:lang w:val="fr-FR"/>
        </w:rPr>
        <w:t>Évolution</w:t>
      </w:r>
      <w:r w:rsidR="004432C5" w:rsidRPr="001C7B59">
        <w:rPr>
          <w:lang w:val="fr-FR"/>
        </w:rPr>
        <w:t xml:space="preserve"> de l</w:t>
      </w:r>
      <w:r w:rsidR="00DB6EAF" w:rsidRPr="001C7B59">
        <w:rPr>
          <w:lang w:val="fr-FR"/>
        </w:rPr>
        <w:t>’</w:t>
      </w:r>
      <w:r w:rsidR="004432C5" w:rsidRPr="001C7B59">
        <w:rPr>
          <w:lang w:val="fr-FR"/>
        </w:rPr>
        <w:t>effectif des filles au cycle moyen (public et privé)</w:t>
      </w:r>
    </w:p>
    <w:p w:rsidR="00907513" w:rsidRPr="00907513" w:rsidRDefault="00907513" w:rsidP="00907513">
      <w:pPr>
        <w:pStyle w:val="SingleTxt"/>
        <w:spacing w:after="0" w:line="120" w:lineRule="exact"/>
        <w:rPr>
          <w:sz w:val="10"/>
          <w:lang w:val="fr-FR"/>
        </w:rPr>
      </w:pPr>
    </w:p>
    <w:p w:rsidR="00907513" w:rsidRPr="00907513" w:rsidRDefault="00907513" w:rsidP="00907513">
      <w:pPr>
        <w:pStyle w:val="SingleTxt"/>
        <w:spacing w:after="0" w:line="120" w:lineRule="exact"/>
        <w:rPr>
          <w:sz w:val="10"/>
          <w:lang w:val="fr-FR"/>
        </w:rPr>
      </w:pPr>
    </w:p>
    <w:tbl>
      <w:tblPr>
        <w:tblW w:w="7353" w:type="dxa"/>
        <w:tblInd w:w="1251" w:type="dxa"/>
        <w:tblCellMar>
          <w:left w:w="0" w:type="dxa"/>
          <w:right w:w="0" w:type="dxa"/>
        </w:tblCellMar>
        <w:tblLook w:val="04A0" w:firstRow="1" w:lastRow="0" w:firstColumn="1" w:lastColumn="0" w:noHBand="0" w:noVBand="1"/>
      </w:tblPr>
      <w:tblGrid>
        <w:gridCol w:w="18"/>
        <w:gridCol w:w="1663"/>
        <w:gridCol w:w="7"/>
        <w:gridCol w:w="1672"/>
        <w:gridCol w:w="44"/>
        <w:gridCol w:w="1812"/>
        <w:gridCol w:w="9"/>
        <w:gridCol w:w="2119"/>
        <w:gridCol w:w="9"/>
      </w:tblGrid>
      <w:tr w:rsidR="00907513" w:rsidRPr="00554A9D" w:rsidTr="00D610D0">
        <w:trPr>
          <w:gridAfter w:val="1"/>
          <w:wAfter w:w="6" w:type="pct"/>
          <w:trHeight w:val="240"/>
        </w:trPr>
        <w:tc>
          <w:tcPr>
            <w:tcW w:w="1143" w:type="pct"/>
            <w:gridSpan w:val="2"/>
            <w:tcBorders>
              <w:top w:val="single" w:sz="4" w:space="0" w:color="auto"/>
            </w:tcBorders>
            <w:shd w:val="clear" w:color="auto" w:fill="auto"/>
            <w:vAlign w:val="bottom"/>
          </w:tcPr>
          <w:p w:rsidR="00907513" w:rsidRPr="00554A9D" w:rsidRDefault="0090751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p>
        </w:tc>
        <w:tc>
          <w:tcPr>
            <w:tcW w:w="3851" w:type="pct"/>
            <w:gridSpan w:val="6"/>
            <w:tcBorders>
              <w:top w:val="single" w:sz="4" w:space="0" w:color="auto"/>
              <w:bottom w:val="single" w:sz="4" w:space="0" w:color="auto"/>
            </w:tcBorders>
            <w:shd w:val="clear" w:color="auto" w:fill="auto"/>
            <w:vAlign w:val="bottom"/>
          </w:tcPr>
          <w:p w:rsidR="00907513" w:rsidRPr="00554A9D" w:rsidRDefault="00907513" w:rsidP="00DD7DAB">
            <w:pPr>
              <w:pStyle w:val="SingleTxtG"/>
              <w:spacing w:before="80" w:after="80" w:line="160" w:lineRule="exact"/>
              <w:ind w:left="144" w:right="43"/>
              <w:jc w:val="center"/>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Effectif</w:t>
            </w:r>
          </w:p>
        </w:tc>
      </w:tr>
      <w:tr w:rsidR="00907513" w:rsidRPr="00554A9D" w:rsidTr="00D610D0">
        <w:trPr>
          <w:gridAfter w:val="1"/>
          <w:wAfter w:w="6" w:type="pct"/>
          <w:trHeight w:val="240"/>
        </w:trPr>
        <w:tc>
          <w:tcPr>
            <w:tcW w:w="1143" w:type="pct"/>
            <w:gridSpan w:val="2"/>
            <w:shd w:val="clear" w:color="auto" w:fill="auto"/>
            <w:vAlign w:val="bottom"/>
          </w:tcPr>
          <w:p w:rsidR="00907513" w:rsidRPr="00554A9D" w:rsidRDefault="0090751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p>
        </w:tc>
        <w:tc>
          <w:tcPr>
            <w:tcW w:w="1142" w:type="pct"/>
            <w:gridSpan w:val="2"/>
            <w:tcBorders>
              <w:top w:val="single" w:sz="4"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p>
        </w:tc>
        <w:tc>
          <w:tcPr>
            <w:tcW w:w="2708" w:type="pct"/>
            <w:gridSpan w:val="4"/>
            <w:tcBorders>
              <w:top w:val="single" w:sz="4" w:space="0" w:color="auto"/>
            </w:tcBorders>
            <w:shd w:val="clear" w:color="auto" w:fill="auto"/>
            <w:vAlign w:val="bottom"/>
          </w:tcPr>
          <w:p w:rsidR="00907513" w:rsidRPr="00554A9D" w:rsidRDefault="00907513" w:rsidP="00DD7DAB">
            <w:pPr>
              <w:pStyle w:val="SingleTxtG"/>
              <w:spacing w:before="80" w:after="80" w:line="160" w:lineRule="exact"/>
              <w:ind w:left="144" w:right="43"/>
              <w:jc w:val="center"/>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Dont filles</w:t>
            </w:r>
          </w:p>
        </w:tc>
      </w:tr>
      <w:tr w:rsidR="00907513" w:rsidRPr="00554A9D" w:rsidTr="00D610D0">
        <w:trPr>
          <w:gridAfter w:val="1"/>
          <w:wAfter w:w="6" w:type="pct"/>
          <w:trHeight w:val="240"/>
        </w:trPr>
        <w:tc>
          <w:tcPr>
            <w:tcW w:w="1143" w:type="pct"/>
            <w:gridSpan w:val="2"/>
            <w:tcBorders>
              <w:bottom w:val="single" w:sz="12" w:space="0" w:color="auto"/>
            </w:tcBorders>
            <w:shd w:val="clear" w:color="auto" w:fill="auto"/>
            <w:vAlign w:val="bottom"/>
          </w:tcPr>
          <w:p w:rsidR="00907513" w:rsidRPr="00554A9D" w:rsidRDefault="00907513"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Année</w:t>
            </w:r>
          </w:p>
        </w:tc>
        <w:tc>
          <w:tcPr>
            <w:tcW w:w="1142" w:type="pct"/>
            <w:gridSpan w:val="2"/>
            <w:tcBorders>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Total</w:t>
            </w:r>
          </w:p>
        </w:tc>
        <w:tc>
          <w:tcPr>
            <w:tcW w:w="1268" w:type="pct"/>
            <w:gridSpan w:val="3"/>
            <w:tcBorders>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Nombre</w:t>
            </w:r>
          </w:p>
        </w:tc>
        <w:tc>
          <w:tcPr>
            <w:tcW w:w="1440" w:type="pct"/>
            <w:tcBorders>
              <w:bottom w:val="single" w:sz="12" w:space="0" w:color="auto"/>
            </w:tcBorders>
            <w:shd w:val="clear" w:color="auto" w:fill="auto"/>
            <w:vAlign w:val="bottom"/>
          </w:tcPr>
          <w:p w:rsidR="00907513" w:rsidRPr="00554A9D" w:rsidRDefault="00907513"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Pr>
                <w:rFonts w:ascii="Times New Roman Italic" w:hAnsi="Times New Roman Italic"/>
                <w:bCs/>
                <w:i/>
                <w:spacing w:val="4"/>
                <w:w w:val="103"/>
                <w:sz w:val="14"/>
                <w:szCs w:val="14"/>
                <w:lang w:val="fr-FR"/>
              </w:rPr>
              <w:t>Pourcentage</w:t>
            </w:r>
          </w:p>
        </w:tc>
      </w:tr>
      <w:tr w:rsidR="00D610D0" w:rsidRPr="00B4237B" w:rsidTr="00D610D0">
        <w:trPr>
          <w:gridBefore w:val="1"/>
          <w:wBefore w:w="12" w:type="pct"/>
          <w:trHeight w:hRule="exact" w:val="115"/>
          <w:tblHeader/>
        </w:trPr>
        <w:tc>
          <w:tcPr>
            <w:tcW w:w="1136" w:type="pct"/>
            <w:gridSpan w:val="2"/>
            <w:shd w:val="clear" w:color="auto" w:fill="auto"/>
            <w:vAlign w:val="bottom"/>
          </w:tcPr>
          <w:p w:rsidR="00D610D0" w:rsidRPr="00B4237B" w:rsidRDefault="00D610D0" w:rsidP="00DD7DAB">
            <w:pPr>
              <w:pStyle w:val="SingleTxtG"/>
              <w:spacing w:before="40" w:after="40" w:line="210" w:lineRule="exact"/>
              <w:ind w:left="0" w:right="40"/>
              <w:jc w:val="left"/>
              <w:rPr>
                <w:bCs/>
                <w:sz w:val="17"/>
                <w:szCs w:val="24"/>
                <w:lang w:val="fr-FR"/>
              </w:rPr>
            </w:pPr>
          </w:p>
        </w:tc>
        <w:tc>
          <w:tcPr>
            <w:tcW w:w="1167" w:type="pct"/>
            <w:gridSpan w:val="2"/>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1232" w:type="pct"/>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1453" w:type="pct"/>
            <w:gridSpan w:val="3"/>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r>
      <w:tr w:rsidR="00D610D0" w:rsidRPr="00B4237B" w:rsidTr="00D610D0">
        <w:trPr>
          <w:gridBefore w:val="1"/>
          <w:wBefore w:w="12" w:type="pct"/>
          <w:trHeight w:val="240"/>
        </w:trPr>
        <w:tc>
          <w:tcPr>
            <w:tcW w:w="113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2004-2005</w:t>
            </w:r>
          </w:p>
        </w:tc>
        <w:tc>
          <w:tcPr>
            <w:tcW w:w="1167"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25</w:t>
            </w:r>
            <w:r>
              <w:rPr>
                <w:bCs/>
                <w:sz w:val="17"/>
                <w:szCs w:val="24"/>
                <w:lang w:val="fr-FR"/>
              </w:rPr>
              <w:t xml:space="preserve"> </w:t>
            </w:r>
            <w:r w:rsidRPr="00B4237B">
              <w:rPr>
                <w:bCs/>
                <w:sz w:val="17"/>
                <w:szCs w:val="24"/>
                <w:lang w:val="fr-FR"/>
              </w:rPr>
              <w:t>440</w:t>
            </w:r>
          </w:p>
        </w:tc>
        <w:tc>
          <w:tcPr>
            <w:tcW w:w="1232"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9</w:t>
            </w:r>
            <w:r>
              <w:rPr>
                <w:bCs/>
                <w:sz w:val="17"/>
                <w:szCs w:val="24"/>
                <w:lang w:val="fr-FR"/>
              </w:rPr>
              <w:t xml:space="preserve"> </w:t>
            </w:r>
            <w:r w:rsidRPr="00B4237B">
              <w:rPr>
                <w:bCs/>
                <w:sz w:val="17"/>
                <w:szCs w:val="24"/>
                <w:lang w:val="fr-FR"/>
              </w:rPr>
              <w:t>338</w:t>
            </w:r>
          </w:p>
        </w:tc>
        <w:tc>
          <w:tcPr>
            <w:tcW w:w="1453" w:type="pct"/>
            <w:gridSpan w:val="3"/>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36,7</w:t>
            </w:r>
          </w:p>
        </w:tc>
      </w:tr>
      <w:tr w:rsidR="00D610D0" w:rsidRPr="00B4237B" w:rsidTr="00D610D0">
        <w:trPr>
          <w:gridBefore w:val="1"/>
          <w:wBefore w:w="12" w:type="pct"/>
          <w:trHeight w:val="240"/>
        </w:trPr>
        <w:tc>
          <w:tcPr>
            <w:tcW w:w="113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2005-2006</w:t>
            </w:r>
          </w:p>
        </w:tc>
        <w:tc>
          <w:tcPr>
            <w:tcW w:w="1167"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30</w:t>
            </w:r>
            <w:r>
              <w:rPr>
                <w:bCs/>
                <w:sz w:val="17"/>
                <w:szCs w:val="24"/>
                <w:lang w:val="fr-FR"/>
              </w:rPr>
              <w:t xml:space="preserve"> </w:t>
            </w:r>
            <w:r w:rsidRPr="00B4237B">
              <w:rPr>
                <w:bCs/>
                <w:sz w:val="17"/>
                <w:szCs w:val="24"/>
                <w:lang w:val="fr-FR"/>
              </w:rPr>
              <w:t>905</w:t>
            </w:r>
          </w:p>
        </w:tc>
        <w:tc>
          <w:tcPr>
            <w:tcW w:w="1232"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11</w:t>
            </w:r>
            <w:r>
              <w:rPr>
                <w:bCs/>
                <w:sz w:val="17"/>
                <w:szCs w:val="24"/>
                <w:lang w:val="fr-FR"/>
              </w:rPr>
              <w:t xml:space="preserve"> </w:t>
            </w:r>
            <w:r w:rsidRPr="00B4237B">
              <w:rPr>
                <w:bCs/>
                <w:sz w:val="17"/>
                <w:szCs w:val="24"/>
                <w:lang w:val="fr-FR"/>
              </w:rPr>
              <w:t>146</w:t>
            </w:r>
          </w:p>
        </w:tc>
        <w:tc>
          <w:tcPr>
            <w:tcW w:w="1453" w:type="pct"/>
            <w:gridSpan w:val="3"/>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36,1</w:t>
            </w:r>
          </w:p>
        </w:tc>
      </w:tr>
      <w:tr w:rsidR="00D610D0" w:rsidRPr="00B4237B" w:rsidTr="00D610D0">
        <w:trPr>
          <w:gridBefore w:val="1"/>
          <w:wBefore w:w="12" w:type="pct"/>
          <w:trHeight w:val="240"/>
        </w:trPr>
        <w:tc>
          <w:tcPr>
            <w:tcW w:w="113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2006-2007</w:t>
            </w:r>
          </w:p>
        </w:tc>
        <w:tc>
          <w:tcPr>
            <w:tcW w:w="1167"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26</w:t>
            </w:r>
            <w:r>
              <w:rPr>
                <w:bCs/>
                <w:sz w:val="17"/>
                <w:szCs w:val="24"/>
                <w:lang w:val="fr-FR"/>
              </w:rPr>
              <w:t xml:space="preserve"> </w:t>
            </w:r>
            <w:r w:rsidRPr="00B4237B">
              <w:rPr>
                <w:bCs/>
                <w:sz w:val="17"/>
                <w:szCs w:val="24"/>
                <w:lang w:val="fr-FR"/>
              </w:rPr>
              <w:t>897</w:t>
            </w:r>
          </w:p>
        </w:tc>
        <w:tc>
          <w:tcPr>
            <w:tcW w:w="1232"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9</w:t>
            </w:r>
            <w:r>
              <w:rPr>
                <w:bCs/>
                <w:sz w:val="17"/>
                <w:szCs w:val="24"/>
                <w:lang w:val="fr-FR"/>
              </w:rPr>
              <w:t xml:space="preserve"> </w:t>
            </w:r>
            <w:r w:rsidRPr="00B4237B">
              <w:rPr>
                <w:bCs/>
                <w:sz w:val="17"/>
                <w:szCs w:val="24"/>
                <w:lang w:val="fr-FR"/>
              </w:rPr>
              <w:t>317</w:t>
            </w:r>
          </w:p>
        </w:tc>
        <w:tc>
          <w:tcPr>
            <w:tcW w:w="1453" w:type="pct"/>
            <w:gridSpan w:val="3"/>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34,6</w:t>
            </w:r>
          </w:p>
        </w:tc>
      </w:tr>
      <w:tr w:rsidR="00D610D0" w:rsidRPr="00B4237B" w:rsidTr="00D610D0">
        <w:trPr>
          <w:gridBefore w:val="1"/>
          <w:wBefore w:w="12" w:type="pct"/>
          <w:trHeight w:val="240"/>
        </w:trPr>
        <w:tc>
          <w:tcPr>
            <w:tcW w:w="113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2007-2008</w:t>
            </w:r>
          </w:p>
        </w:tc>
        <w:tc>
          <w:tcPr>
            <w:tcW w:w="1167"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27</w:t>
            </w:r>
            <w:r>
              <w:rPr>
                <w:bCs/>
                <w:sz w:val="17"/>
                <w:szCs w:val="24"/>
                <w:lang w:val="fr-FR"/>
              </w:rPr>
              <w:t xml:space="preserve"> </w:t>
            </w:r>
            <w:r w:rsidRPr="00B4237B">
              <w:rPr>
                <w:bCs/>
                <w:sz w:val="17"/>
                <w:szCs w:val="24"/>
                <w:lang w:val="fr-FR"/>
              </w:rPr>
              <w:t>131</w:t>
            </w:r>
          </w:p>
        </w:tc>
        <w:tc>
          <w:tcPr>
            <w:tcW w:w="1232"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8</w:t>
            </w:r>
            <w:r>
              <w:rPr>
                <w:bCs/>
                <w:sz w:val="17"/>
                <w:szCs w:val="24"/>
                <w:lang w:val="fr-FR"/>
              </w:rPr>
              <w:t xml:space="preserve"> </w:t>
            </w:r>
            <w:r w:rsidRPr="00B4237B">
              <w:rPr>
                <w:bCs/>
                <w:sz w:val="17"/>
                <w:szCs w:val="24"/>
                <w:lang w:val="fr-FR"/>
              </w:rPr>
              <w:t>979</w:t>
            </w:r>
          </w:p>
        </w:tc>
        <w:tc>
          <w:tcPr>
            <w:tcW w:w="1453" w:type="pct"/>
            <w:gridSpan w:val="3"/>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33,1</w:t>
            </w:r>
          </w:p>
        </w:tc>
      </w:tr>
      <w:tr w:rsidR="00D610D0" w:rsidRPr="00B4237B" w:rsidTr="00D610D0">
        <w:trPr>
          <w:gridBefore w:val="1"/>
          <w:wBefore w:w="12" w:type="pct"/>
          <w:trHeight w:val="240"/>
        </w:trPr>
        <w:tc>
          <w:tcPr>
            <w:tcW w:w="113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2008-2009</w:t>
            </w:r>
          </w:p>
        </w:tc>
        <w:tc>
          <w:tcPr>
            <w:tcW w:w="1167"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27</w:t>
            </w:r>
            <w:r>
              <w:rPr>
                <w:bCs/>
                <w:sz w:val="17"/>
                <w:szCs w:val="24"/>
                <w:lang w:val="fr-FR"/>
              </w:rPr>
              <w:t xml:space="preserve"> </w:t>
            </w:r>
            <w:r w:rsidRPr="00B4237B">
              <w:rPr>
                <w:bCs/>
                <w:sz w:val="17"/>
                <w:szCs w:val="24"/>
                <w:lang w:val="fr-FR"/>
              </w:rPr>
              <w:t>643</w:t>
            </w:r>
          </w:p>
        </w:tc>
        <w:tc>
          <w:tcPr>
            <w:tcW w:w="1232"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9</w:t>
            </w:r>
            <w:r>
              <w:rPr>
                <w:bCs/>
                <w:sz w:val="17"/>
                <w:szCs w:val="24"/>
                <w:lang w:val="fr-FR"/>
              </w:rPr>
              <w:t xml:space="preserve"> </w:t>
            </w:r>
            <w:r w:rsidRPr="00B4237B">
              <w:rPr>
                <w:bCs/>
                <w:sz w:val="17"/>
                <w:szCs w:val="24"/>
                <w:lang w:val="fr-FR"/>
              </w:rPr>
              <w:t>104</w:t>
            </w:r>
          </w:p>
        </w:tc>
        <w:tc>
          <w:tcPr>
            <w:tcW w:w="1453" w:type="pct"/>
            <w:gridSpan w:val="3"/>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33,0</w:t>
            </w:r>
          </w:p>
        </w:tc>
      </w:tr>
      <w:tr w:rsidR="00D610D0" w:rsidRPr="00B4237B" w:rsidTr="00D610D0">
        <w:trPr>
          <w:gridBefore w:val="1"/>
          <w:wBefore w:w="12" w:type="pct"/>
          <w:trHeight w:val="240"/>
        </w:trPr>
        <w:tc>
          <w:tcPr>
            <w:tcW w:w="1136" w:type="pct"/>
            <w:gridSpan w:val="2"/>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2009-2010</w:t>
            </w:r>
          </w:p>
        </w:tc>
        <w:tc>
          <w:tcPr>
            <w:tcW w:w="1167" w:type="pct"/>
            <w:gridSpan w:val="2"/>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33</w:t>
            </w:r>
            <w:r>
              <w:rPr>
                <w:bCs/>
                <w:sz w:val="17"/>
                <w:szCs w:val="24"/>
                <w:lang w:val="fr-FR"/>
              </w:rPr>
              <w:t xml:space="preserve"> </w:t>
            </w:r>
            <w:r w:rsidRPr="00B4237B">
              <w:rPr>
                <w:bCs/>
                <w:sz w:val="17"/>
                <w:szCs w:val="24"/>
                <w:lang w:val="fr-FR"/>
              </w:rPr>
              <w:t>351</w:t>
            </w:r>
          </w:p>
        </w:tc>
        <w:tc>
          <w:tcPr>
            <w:tcW w:w="1232"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10</w:t>
            </w:r>
            <w:r>
              <w:rPr>
                <w:bCs/>
                <w:sz w:val="17"/>
                <w:szCs w:val="24"/>
                <w:lang w:val="fr-FR"/>
              </w:rPr>
              <w:t xml:space="preserve"> </w:t>
            </w:r>
            <w:r w:rsidRPr="00B4237B">
              <w:rPr>
                <w:bCs/>
                <w:sz w:val="17"/>
                <w:szCs w:val="24"/>
                <w:lang w:val="fr-FR"/>
              </w:rPr>
              <w:t>635</w:t>
            </w:r>
          </w:p>
        </w:tc>
        <w:tc>
          <w:tcPr>
            <w:tcW w:w="1453" w:type="pct"/>
            <w:gridSpan w:val="3"/>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31,9</w:t>
            </w:r>
          </w:p>
        </w:tc>
      </w:tr>
    </w:tbl>
    <w:p w:rsidR="00907513" w:rsidRPr="00D610D0" w:rsidRDefault="00907513" w:rsidP="00D610D0">
      <w:pPr>
        <w:pStyle w:val="SingleTxt"/>
        <w:spacing w:after="0" w:line="120" w:lineRule="exact"/>
        <w:rPr>
          <w:b/>
          <w:bCs/>
          <w:i/>
          <w:sz w:val="10"/>
          <w:lang w:val="fr-FR"/>
        </w:rPr>
      </w:pPr>
    </w:p>
    <w:p w:rsidR="004432C5" w:rsidRDefault="004432C5" w:rsidP="00D610D0">
      <w:pPr>
        <w:pStyle w:val="FootnoteText"/>
        <w:tabs>
          <w:tab w:val="right" w:pos="1476"/>
          <w:tab w:val="left" w:pos="1548"/>
          <w:tab w:val="right" w:pos="1836"/>
          <w:tab w:val="left" w:pos="1908"/>
        </w:tabs>
        <w:ind w:left="1548" w:right="1267" w:hanging="288"/>
        <w:rPr>
          <w:lang w:val="fr-FR"/>
        </w:rPr>
      </w:pPr>
      <w:r w:rsidRPr="00D610D0">
        <w:rPr>
          <w:i/>
          <w:lang w:val="fr-FR"/>
        </w:rPr>
        <w:t>Source</w:t>
      </w:r>
      <w:r w:rsidR="00DB6EAF" w:rsidRPr="001C7B59">
        <w:rPr>
          <w:b/>
          <w:lang w:val="fr-FR"/>
        </w:rPr>
        <w:t> </w:t>
      </w:r>
      <w:r w:rsidR="00907513" w:rsidRPr="00907513">
        <w:rPr>
          <w:lang w:val="fr-FR"/>
        </w:rPr>
        <w:t>:</w:t>
      </w:r>
      <w:r w:rsidRPr="001C7B59">
        <w:rPr>
          <w:lang w:val="fr-FR"/>
        </w:rPr>
        <w:t xml:space="preserve"> Recensement scolaire 2009-2010, MESS/RT</w:t>
      </w:r>
      <w:r w:rsidR="00D610D0">
        <w:rPr>
          <w:lang w:val="fr-FR"/>
        </w:rPr>
        <w:t>.</w:t>
      </w:r>
    </w:p>
    <w:p w:rsidR="00D610D0" w:rsidRPr="00D610D0" w:rsidRDefault="00D610D0" w:rsidP="00D610D0">
      <w:pPr>
        <w:pStyle w:val="SingleTxt"/>
        <w:spacing w:after="0" w:line="120" w:lineRule="exact"/>
        <w:rPr>
          <w:bCs/>
          <w:i/>
          <w:sz w:val="10"/>
          <w:lang w:val="fr-FR"/>
        </w:rPr>
      </w:pPr>
    </w:p>
    <w:p w:rsidR="00D610D0" w:rsidRPr="00D610D0" w:rsidRDefault="00D610D0" w:rsidP="00D610D0">
      <w:pPr>
        <w:pStyle w:val="SingleTxt"/>
        <w:spacing w:after="0" w:line="120" w:lineRule="exact"/>
        <w:rPr>
          <w:bCs/>
          <w:i/>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2010, le nombre d</w:t>
      </w:r>
      <w:r w:rsidR="00DB6EAF" w:rsidRPr="001C7B59">
        <w:rPr>
          <w:lang w:val="fr-FR"/>
        </w:rPr>
        <w:t>’</w:t>
      </w:r>
      <w:r w:rsidRPr="001C7B59">
        <w:rPr>
          <w:lang w:val="fr-FR"/>
        </w:rPr>
        <w:t>établissements et de Complexes d</w:t>
      </w:r>
      <w:r w:rsidR="00DB6EAF" w:rsidRPr="001C7B59">
        <w:rPr>
          <w:lang w:val="fr-FR"/>
        </w:rPr>
        <w:t>’</w:t>
      </w:r>
      <w:r w:rsidR="00D60176" w:rsidRPr="001C7B59">
        <w:rPr>
          <w:lang w:val="fr-FR"/>
        </w:rPr>
        <w:t>enseignement</w:t>
      </w:r>
      <w:r w:rsidRPr="001C7B59">
        <w:rPr>
          <w:lang w:val="fr-FR"/>
        </w:rPr>
        <w:t xml:space="preserve"> </w:t>
      </w:r>
      <w:r w:rsidR="00D60176" w:rsidRPr="001C7B59">
        <w:rPr>
          <w:lang w:val="fr-FR"/>
        </w:rPr>
        <w:t>secondaire</w:t>
      </w:r>
      <w:r w:rsidRPr="001C7B59">
        <w:rPr>
          <w:lang w:val="fr-FR"/>
        </w:rPr>
        <w:t xml:space="preserve"> (CES), publics et privés est de 184 contre 155 en 2009 et 171 en 2008. 10</w:t>
      </w:r>
      <w:r w:rsidR="007B382B">
        <w:rPr>
          <w:lang w:val="fr-FR"/>
        </w:rPr>
        <w:t> %</w:t>
      </w:r>
      <w:r w:rsidRPr="001C7B59">
        <w:rPr>
          <w:lang w:val="fr-FR"/>
        </w:rPr>
        <w:t xml:space="preserve"> des salles de classes utilisées n</w:t>
      </w:r>
      <w:r w:rsidR="00DB6EAF" w:rsidRPr="001C7B59">
        <w:rPr>
          <w:lang w:val="fr-FR"/>
        </w:rPr>
        <w:t>’</w:t>
      </w:r>
      <w:r w:rsidRPr="001C7B59">
        <w:rPr>
          <w:lang w:val="fr-FR"/>
        </w:rPr>
        <w:t>offrent pas de bonnes conditions d</w:t>
      </w:r>
      <w:r w:rsidR="00DB6EAF" w:rsidRPr="001C7B59">
        <w:rPr>
          <w:lang w:val="fr-FR"/>
        </w:rPr>
        <w:t>’</w:t>
      </w:r>
      <w:r w:rsidRPr="001C7B59">
        <w:rPr>
          <w:lang w:val="fr-FR"/>
        </w:rPr>
        <w:t>enseignement car elles sont en paillotes.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nombre d</w:t>
      </w:r>
      <w:r w:rsidR="00DB6EAF" w:rsidRPr="001C7B59">
        <w:rPr>
          <w:lang w:val="fr-FR"/>
        </w:rPr>
        <w:t>’</w:t>
      </w:r>
      <w:r w:rsidRPr="001C7B59">
        <w:rPr>
          <w:lang w:val="fr-FR"/>
        </w:rPr>
        <w:t>enseignants exerçant dans ce secteur</w:t>
      </w:r>
      <w:r w:rsidR="001C7B59" w:rsidRPr="001C7B59">
        <w:rPr>
          <w:lang w:val="fr-FR"/>
        </w:rPr>
        <w:t xml:space="preserve"> </w:t>
      </w:r>
      <w:r w:rsidRPr="001C7B59">
        <w:rPr>
          <w:lang w:val="fr-FR"/>
        </w:rPr>
        <w:t>est de 1971 en</w:t>
      </w:r>
      <w:r w:rsidR="001C7B59" w:rsidRPr="001C7B59">
        <w:rPr>
          <w:lang w:val="fr-FR"/>
        </w:rPr>
        <w:t xml:space="preserve"> </w:t>
      </w:r>
      <w:r w:rsidRPr="001C7B59">
        <w:rPr>
          <w:lang w:val="fr-FR"/>
        </w:rPr>
        <w:t>2009-2010 contre 1989 en 2008-2009 et de 1656 en 2007-2008. C</w:t>
      </w:r>
      <w:r w:rsidR="00DB6EAF" w:rsidRPr="001C7B59">
        <w:rPr>
          <w:lang w:val="fr-FR"/>
        </w:rPr>
        <w:t>’</w:t>
      </w:r>
      <w:r w:rsidRPr="001C7B59">
        <w:rPr>
          <w:lang w:val="fr-FR"/>
        </w:rPr>
        <w:t>est un effectif composé de 12,13</w:t>
      </w:r>
      <w:r w:rsidR="007B382B">
        <w:rPr>
          <w:lang w:val="fr-FR"/>
        </w:rPr>
        <w:t> %</w:t>
      </w:r>
      <w:r w:rsidRPr="001C7B59">
        <w:rPr>
          <w:lang w:val="fr-FR"/>
        </w:rPr>
        <w:t xml:space="preserve"> de femmes et de 63,2</w:t>
      </w:r>
      <w:r w:rsidR="007B382B">
        <w:rPr>
          <w:lang w:val="fr-FR"/>
        </w:rPr>
        <w:t> %</w:t>
      </w:r>
      <w:r w:rsidR="00D610D0">
        <w:rPr>
          <w:lang w:val="fr-FR"/>
        </w:rPr>
        <w:t xml:space="preserve"> de contractuels et a</w:t>
      </w:r>
      <w:r w:rsidRPr="001C7B59">
        <w:rPr>
          <w:lang w:val="fr-FR"/>
        </w:rPr>
        <w:t xml:space="preserve">ppelés de </w:t>
      </w:r>
      <w:r w:rsidR="00D610D0">
        <w:rPr>
          <w:lang w:val="fr-FR"/>
        </w:rPr>
        <w:t>s</w:t>
      </w:r>
      <w:r w:rsidRPr="001C7B59">
        <w:rPr>
          <w:lang w:val="fr-FR"/>
        </w:rPr>
        <w:t xml:space="preserve">ervice </w:t>
      </w:r>
      <w:r w:rsidR="00D610D0">
        <w:rPr>
          <w:lang w:val="fr-FR"/>
        </w:rPr>
        <w:t>c</w:t>
      </w:r>
      <w:r w:rsidRPr="001C7B59">
        <w:rPr>
          <w:lang w:val="fr-FR"/>
        </w:rPr>
        <w:t xml:space="preserve">ivique </w:t>
      </w:r>
      <w:r w:rsidR="00D60176" w:rsidRPr="001C7B59">
        <w:rPr>
          <w:lang w:val="fr-FR"/>
        </w:rPr>
        <w:t>national</w:t>
      </w:r>
      <w:r w:rsidRPr="001C7B59">
        <w:rPr>
          <w:lang w:val="fr-FR"/>
        </w:rPr>
        <w:t xml:space="preserve">.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Au nombre de 4985 en 2009-2010, les redoublants représentent 14,9</w:t>
      </w:r>
      <w:r w:rsidR="007B382B">
        <w:rPr>
          <w:lang w:val="fr-FR"/>
        </w:rPr>
        <w:t> %</w:t>
      </w:r>
      <w:r w:rsidRPr="001C7B59">
        <w:rPr>
          <w:lang w:val="fr-FR"/>
        </w:rPr>
        <w:t xml:space="preserve"> des effectifs du cycle moyen contre 20,1</w:t>
      </w:r>
      <w:r w:rsidR="007B382B">
        <w:rPr>
          <w:lang w:val="fr-FR"/>
        </w:rPr>
        <w:t> %</w:t>
      </w:r>
      <w:r w:rsidRPr="001C7B59">
        <w:rPr>
          <w:lang w:val="fr-FR"/>
        </w:rPr>
        <w:t xml:space="preserve"> en 2008-2009. Le pourcentage des filles redoublantes est supérieur à celui des garçons (15,7</w:t>
      </w:r>
      <w:r w:rsidR="007B382B">
        <w:rPr>
          <w:lang w:val="fr-FR"/>
        </w:rPr>
        <w:t> %</w:t>
      </w:r>
      <w:r w:rsidRPr="001C7B59">
        <w:rPr>
          <w:lang w:val="fr-FR"/>
        </w:rPr>
        <w:t xml:space="preserve"> contre 13,5</w:t>
      </w:r>
      <w:r w:rsidR="007B382B">
        <w:rPr>
          <w:lang w:val="fr-FR"/>
        </w:rPr>
        <w:t> %</w:t>
      </w:r>
      <w:r w:rsidRPr="001C7B59">
        <w:rPr>
          <w:lang w:val="fr-FR"/>
        </w:rPr>
        <w: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examinant le taux d</w:t>
      </w:r>
      <w:r w:rsidR="00DB6EAF" w:rsidRPr="001C7B59">
        <w:rPr>
          <w:lang w:val="fr-FR"/>
        </w:rPr>
        <w:t>’</w:t>
      </w:r>
      <w:r w:rsidRPr="001C7B59">
        <w:rPr>
          <w:lang w:val="fr-FR"/>
        </w:rPr>
        <w:t>achèvement, on observe que seulement 24,2</w:t>
      </w:r>
      <w:r w:rsidR="007B382B">
        <w:rPr>
          <w:lang w:val="fr-FR"/>
        </w:rPr>
        <w:t> %</w:t>
      </w:r>
      <w:r w:rsidRPr="001C7B59">
        <w:rPr>
          <w:lang w:val="fr-FR"/>
        </w:rPr>
        <w:t xml:space="preserve"> des élèves achèvent ce cycle et on constate également que les garçons achèvent mieux que les</w:t>
      </w:r>
      <w:r w:rsidR="001C7B59" w:rsidRPr="001C7B59">
        <w:rPr>
          <w:lang w:val="fr-FR"/>
        </w:rPr>
        <w:t xml:space="preserve"> </w:t>
      </w:r>
      <w:r w:rsidRPr="001C7B59">
        <w:rPr>
          <w:lang w:val="fr-FR"/>
        </w:rPr>
        <w:t>filles (3,4</w:t>
      </w:r>
      <w:r w:rsidR="007B382B">
        <w:rPr>
          <w:lang w:val="fr-FR"/>
        </w:rPr>
        <w:t> %</w:t>
      </w:r>
      <w:r w:rsidRPr="001C7B59">
        <w:rPr>
          <w:lang w:val="fr-FR"/>
        </w:rPr>
        <w:t xml:space="preserve"> et 1,4</w:t>
      </w:r>
      <w:r w:rsidR="007B382B">
        <w:rPr>
          <w:lang w:val="fr-FR"/>
        </w:rPr>
        <w:t> %</w:t>
      </w:r>
      <w:r w:rsidRPr="001C7B59">
        <w:rPr>
          <w:lang w:val="fr-FR"/>
        </w:rPr>
        <w:t xml:space="preserve"> en 2009-2010). Pour ce qui est du taux de survie, on remarque également que seuls 53,3</w:t>
      </w:r>
      <w:r w:rsidR="007B382B">
        <w:rPr>
          <w:lang w:val="fr-FR"/>
        </w:rPr>
        <w:t> %</w:t>
      </w:r>
      <w:r w:rsidRPr="001C7B59">
        <w:rPr>
          <w:lang w:val="fr-FR"/>
        </w:rPr>
        <w:t xml:space="preserve"> des élèves entrés en classe de seconde</w:t>
      </w:r>
      <w:r w:rsidR="001C7B59" w:rsidRPr="001C7B59">
        <w:rPr>
          <w:lang w:val="fr-FR"/>
        </w:rPr>
        <w:t xml:space="preserve"> </w:t>
      </w:r>
      <w:r w:rsidRPr="001C7B59">
        <w:rPr>
          <w:lang w:val="fr-FR"/>
        </w:rPr>
        <w:t xml:space="preserve">atteignent la terminale, à ce niveau également les filles abandonnent plus que les garçons (près du double) en 2009-2010.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Sur 14977 candidats qui se sont présentés à la session 2009 toutes séries confondues, 4450 ont été déclarés admis soit un taux de 29,7</w:t>
      </w:r>
      <w:r w:rsidR="007B382B">
        <w:rPr>
          <w:lang w:val="fr-FR"/>
        </w:rPr>
        <w:t> %</w:t>
      </w:r>
      <w:r w:rsidRPr="001C7B59">
        <w:rPr>
          <w:lang w:val="fr-FR"/>
        </w:rPr>
        <w:t>. Ces résultats sont en nette amélioration.</w:t>
      </w:r>
    </w:p>
    <w:p w:rsidR="004432C5" w:rsidRDefault="00D610D0" w:rsidP="00D61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Enseignement supérieur</w:t>
      </w:r>
    </w:p>
    <w:p w:rsidR="00D610D0" w:rsidRPr="00D610D0" w:rsidRDefault="00D610D0" w:rsidP="00D610D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enseignement supérieur est le troisième degré de l</w:t>
      </w:r>
      <w:r w:rsidR="00DB6EAF" w:rsidRPr="001C7B59">
        <w:rPr>
          <w:lang w:val="fr-FR"/>
        </w:rPr>
        <w:t>’</w:t>
      </w:r>
      <w:r w:rsidRPr="001C7B59">
        <w:rPr>
          <w:lang w:val="fr-FR"/>
        </w:rPr>
        <w:t>enseignement formel. Il comprend l</w:t>
      </w:r>
      <w:r w:rsidR="00DB6EAF" w:rsidRPr="001C7B59">
        <w:rPr>
          <w:lang w:val="fr-FR"/>
        </w:rPr>
        <w:t>’</w:t>
      </w:r>
      <w:r w:rsidRPr="001C7B59">
        <w:rPr>
          <w:lang w:val="fr-FR"/>
        </w:rPr>
        <w:t>ensemble des formations post baccalauréat. Il est dispensé dans les universités, les instituts, les grandes écoles et les centres spécialisés.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2009-2010, les inscrits à l</w:t>
      </w:r>
      <w:r w:rsidR="00DB6EAF" w:rsidRPr="001C7B59">
        <w:rPr>
          <w:lang w:val="fr-FR"/>
        </w:rPr>
        <w:t>’</w:t>
      </w:r>
      <w:r w:rsidRPr="001C7B59">
        <w:rPr>
          <w:lang w:val="fr-FR"/>
        </w:rPr>
        <w:t>université de Niamey sont au nombre de 11292 étudiants et l</w:t>
      </w:r>
      <w:r w:rsidR="00DB6EAF" w:rsidRPr="001C7B59">
        <w:rPr>
          <w:lang w:val="fr-FR"/>
        </w:rPr>
        <w:t>’</w:t>
      </w:r>
      <w:r w:rsidRPr="001C7B59">
        <w:rPr>
          <w:lang w:val="fr-FR"/>
        </w:rPr>
        <w:t>université de Say compte 1195 étudiants dont 202 filles.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plus des deux universités (l</w:t>
      </w:r>
      <w:r w:rsidR="00DB6EAF" w:rsidRPr="001C7B59">
        <w:rPr>
          <w:lang w:val="fr-FR"/>
        </w:rPr>
        <w:t>’</w:t>
      </w:r>
      <w:r w:rsidRPr="001C7B59">
        <w:rPr>
          <w:lang w:val="fr-FR"/>
        </w:rPr>
        <w:t>Université Abdou Moumouni de Niamey et l</w:t>
      </w:r>
      <w:r w:rsidR="00DB6EAF" w:rsidRPr="001C7B59">
        <w:rPr>
          <w:lang w:val="fr-FR"/>
        </w:rPr>
        <w:t>’</w:t>
      </w:r>
      <w:r w:rsidRPr="001C7B59">
        <w:rPr>
          <w:lang w:val="fr-FR"/>
        </w:rPr>
        <w:t xml:space="preserve">Université Islamique de Say), il existe trois Instituts </w:t>
      </w:r>
      <w:r w:rsidR="007B382B">
        <w:rPr>
          <w:lang w:val="fr-FR"/>
        </w:rPr>
        <w:t>universitaire</w:t>
      </w:r>
      <w:r w:rsidRPr="001C7B59">
        <w:rPr>
          <w:lang w:val="fr-FR"/>
        </w:rPr>
        <w:t xml:space="preserve">s de </w:t>
      </w:r>
      <w:r w:rsidR="007B382B">
        <w:rPr>
          <w:lang w:val="fr-FR"/>
        </w:rPr>
        <w:t>technolog</w:t>
      </w:r>
      <w:r w:rsidRPr="001C7B59">
        <w:rPr>
          <w:lang w:val="fr-FR"/>
        </w:rPr>
        <w:t>ie (IUT) à Tahoua, Maradi et Zinder, des grandes écoles spécialisées et (ENAM,</w:t>
      </w:r>
      <w:r w:rsidR="001C7B59" w:rsidRPr="001C7B59">
        <w:rPr>
          <w:lang w:val="fr-FR"/>
        </w:rPr>
        <w:t xml:space="preserve"> </w:t>
      </w:r>
      <w:r w:rsidRPr="001C7B59">
        <w:rPr>
          <w:lang w:val="fr-FR"/>
        </w:rPr>
        <w:t>EMIG, EAMAC,</w:t>
      </w:r>
      <w:r w:rsidR="001C7B59" w:rsidRPr="001C7B59">
        <w:rPr>
          <w:lang w:val="fr-FR"/>
        </w:rPr>
        <w:t xml:space="preserve"> </w:t>
      </w:r>
      <w:r w:rsidRPr="001C7B59">
        <w:rPr>
          <w:lang w:val="fr-FR"/>
        </w:rPr>
        <w:t>ENSP,</w:t>
      </w:r>
      <w:r w:rsidR="001C7B59" w:rsidRPr="001C7B59">
        <w:rPr>
          <w:lang w:val="fr-FR"/>
        </w:rPr>
        <w:t xml:space="preserve"> </w:t>
      </w:r>
      <w:r w:rsidRPr="001C7B59">
        <w:rPr>
          <w:lang w:val="fr-FR"/>
        </w:rPr>
        <w:t>AGRHYMET), centres de recherche (INRAN, ICRISAT, IRSH, IRI, IREM). Notons aussi la multiplication</w:t>
      </w:r>
      <w:r w:rsidR="001C7B59" w:rsidRPr="001C7B59">
        <w:rPr>
          <w:lang w:val="fr-FR"/>
        </w:rPr>
        <w:t xml:space="preserve"> </w:t>
      </w:r>
      <w:r w:rsidRPr="001C7B59">
        <w:rPr>
          <w:lang w:val="fr-FR"/>
        </w:rPr>
        <w:t>des écoles de formation et d</w:t>
      </w:r>
      <w:r w:rsidR="00DB6EAF" w:rsidRPr="001C7B59">
        <w:rPr>
          <w:lang w:val="fr-FR"/>
        </w:rPr>
        <w:t>’</w:t>
      </w:r>
      <w:r w:rsidRPr="001C7B59">
        <w:rPr>
          <w:lang w:val="fr-FR"/>
        </w:rPr>
        <w:t>instituts supérieurs dans le secteur privé.</w:t>
      </w:r>
    </w:p>
    <w:p w:rsidR="00D610D0" w:rsidRPr="00D610D0" w:rsidRDefault="00D610D0" w:rsidP="00D610D0">
      <w:pPr>
        <w:pStyle w:val="SingleTxt"/>
        <w:spacing w:after="0" w:line="120" w:lineRule="exact"/>
        <w:rPr>
          <w:sz w:val="10"/>
          <w:lang w:val="fr-FR"/>
        </w:rPr>
      </w:pPr>
    </w:p>
    <w:p w:rsidR="004432C5" w:rsidRDefault="00D610D0" w:rsidP="00D61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w:t>
      </w:r>
      <w:r w:rsidR="00DB6EAF" w:rsidRPr="001C7B59">
        <w:rPr>
          <w:lang w:val="fr-FR"/>
        </w:rPr>
        <w:t>’</w:t>
      </w:r>
      <w:r w:rsidR="004432C5" w:rsidRPr="001C7B59">
        <w:rPr>
          <w:lang w:val="fr-FR"/>
        </w:rPr>
        <w:t>Alphabétisation et la formation des adultes</w:t>
      </w:r>
    </w:p>
    <w:p w:rsidR="00D610D0" w:rsidRPr="00D610D0" w:rsidRDefault="00D610D0" w:rsidP="00D610D0">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programmes d</w:t>
      </w:r>
      <w:r w:rsidR="00DB6EAF" w:rsidRPr="001C7B59">
        <w:rPr>
          <w:lang w:val="fr-FR"/>
        </w:rPr>
        <w:t>’</w:t>
      </w:r>
      <w:r w:rsidRPr="001C7B59">
        <w:rPr>
          <w:lang w:val="fr-FR"/>
        </w:rPr>
        <w:t>alphabétisation et de formation des adultes sont conçus pour offrir la chance aux jeunes et adultes non scolarisés ou déscolarisés d</w:t>
      </w:r>
      <w:r w:rsidR="00DB6EAF" w:rsidRPr="001C7B59">
        <w:rPr>
          <w:lang w:val="fr-FR"/>
        </w:rPr>
        <w:t>’</w:t>
      </w:r>
      <w:r w:rsidRPr="001C7B59">
        <w:rPr>
          <w:lang w:val="fr-FR"/>
        </w:rPr>
        <w:t>obtenir un minimum de connaissances qui leur sont utiles dans la vie courante. Cette formation des adultes est assurée dans les centres d</w:t>
      </w:r>
      <w:r w:rsidR="00DB6EAF" w:rsidRPr="001C7B59">
        <w:rPr>
          <w:lang w:val="fr-FR"/>
        </w:rPr>
        <w:t>’</w:t>
      </w:r>
      <w:r w:rsidRPr="001C7B59">
        <w:rPr>
          <w:lang w:val="fr-FR"/>
        </w:rPr>
        <w:t>alphabétisation et de formation des adultes, les écoles professionnelles et diverses structures occasionnelles de formation et d</w:t>
      </w:r>
      <w:r w:rsidR="00DB6EAF" w:rsidRPr="001C7B59">
        <w:rPr>
          <w:lang w:val="fr-FR"/>
        </w:rPr>
        <w:t>’</w:t>
      </w:r>
      <w:r w:rsidRPr="001C7B59">
        <w:rPr>
          <w:lang w:val="fr-FR"/>
        </w:rPr>
        <w:t>encadrement financées par l</w:t>
      </w:r>
      <w:r w:rsidR="00DB6EAF" w:rsidRPr="001C7B59">
        <w:rPr>
          <w:lang w:val="fr-FR"/>
        </w:rPr>
        <w:t>’</w:t>
      </w:r>
      <w:r w:rsidR="008E5553">
        <w:rPr>
          <w:lang w:val="fr-FR"/>
        </w:rPr>
        <w:t>État</w:t>
      </w:r>
      <w:r w:rsidRPr="001C7B59">
        <w:rPr>
          <w:lang w:val="fr-FR"/>
        </w:rPr>
        <w:t>, les collectivités territoriales et les PTF.</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campagnes d</w:t>
      </w:r>
      <w:r w:rsidR="00DB6EAF" w:rsidRPr="001C7B59">
        <w:rPr>
          <w:lang w:val="fr-FR"/>
        </w:rPr>
        <w:t>’</w:t>
      </w:r>
      <w:r w:rsidRPr="001C7B59">
        <w:rPr>
          <w:lang w:val="fr-FR"/>
        </w:rPr>
        <w:t>alphabétisation qui se sont succédées entre 2000-2001 et 2003-2004 ont enregistré une augmentation régulière du nombre d</w:t>
      </w:r>
      <w:r w:rsidR="00DB6EAF" w:rsidRPr="001C7B59">
        <w:rPr>
          <w:lang w:val="fr-FR"/>
        </w:rPr>
        <w:t>’</w:t>
      </w:r>
      <w:r w:rsidRPr="001C7B59">
        <w:rPr>
          <w:lang w:val="fr-FR"/>
        </w:rPr>
        <w:t>apprenants</w:t>
      </w:r>
      <w:r w:rsidR="001C7B59" w:rsidRPr="001C7B59">
        <w:rPr>
          <w:lang w:val="fr-FR"/>
        </w:rPr>
        <w:t xml:space="preserve"> </w:t>
      </w:r>
      <w:r w:rsidRPr="001C7B59">
        <w:rPr>
          <w:lang w:val="fr-FR"/>
        </w:rPr>
        <w:t>selon un rythme d</w:t>
      </w:r>
      <w:r w:rsidR="00DB6EAF" w:rsidRPr="001C7B59">
        <w:rPr>
          <w:lang w:val="fr-FR"/>
        </w:rPr>
        <w:t>’</w:t>
      </w:r>
      <w:r w:rsidRPr="001C7B59">
        <w:rPr>
          <w:lang w:val="fr-FR"/>
        </w:rPr>
        <w:t>accroissement moyen de 22</w:t>
      </w:r>
      <w:r w:rsidR="007B382B">
        <w:rPr>
          <w:lang w:val="fr-FR"/>
        </w:rPr>
        <w:t> %</w:t>
      </w:r>
      <w:r w:rsidRPr="001C7B59">
        <w:rPr>
          <w:lang w:val="fr-FR"/>
        </w:rPr>
        <w:t xml:space="preserve"> par an. Mais cet effort s</w:t>
      </w:r>
      <w:r w:rsidR="00DB6EAF" w:rsidRPr="001C7B59">
        <w:rPr>
          <w:lang w:val="fr-FR"/>
        </w:rPr>
        <w:t>’</w:t>
      </w:r>
      <w:r w:rsidRPr="001C7B59">
        <w:rPr>
          <w:lang w:val="fr-FR"/>
        </w:rPr>
        <w:t>est quelque peu ralenti en 2004-2005</w:t>
      </w:r>
      <w:r w:rsidR="00DB6EAF" w:rsidRPr="001C7B59">
        <w:rPr>
          <w:lang w:val="fr-FR"/>
        </w:rPr>
        <w:t>;</w:t>
      </w:r>
      <w:r w:rsidRPr="001C7B59">
        <w:rPr>
          <w:lang w:val="fr-FR"/>
        </w:rPr>
        <w:t xml:space="preserve"> d</w:t>
      </w:r>
      <w:r w:rsidR="00DB6EAF" w:rsidRPr="001C7B59">
        <w:rPr>
          <w:lang w:val="fr-FR"/>
        </w:rPr>
        <w:t>’</w:t>
      </w:r>
      <w:r w:rsidRPr="001C7B59">
        <w:rPr>
          <w:lang w:val="fr-FR"/>
        </w:rPr>
        <w:t>où un fléchissement du nombre de centres ayant fonctionné en 2004-2005 par rapport à la campagne 2003-2004. Une reprise de l</w:t>
      </w:r>
      <w:r w:rsidR="00DB6EAF" w:rsidRPr="001C7B59">
        <w:rPr>
          <w:lang w:val="fr-FR"/>
        </w:rPr>
        <w:t>’</w:t>
      </w:r>
      <w:r w:rsidRPr="001C7B59">
        <w:rPr>
          <w:lang w:val="fr-FR"/>
        </w:rPr>
        <w:t>augmentation des effectifs est observée pendant la campagne 2009-2010 avec une hausse de 30</w:t>
      </w:r>
      <w:r w:rsidR="007B382B">
        <w:rPr>
          <w:lang w:val="fr-FR"/>
        </w:rPr>
        <w:t> %</w:t>
      </w:r>
      <w:r w:rsidR="001C7B59" w:rsidRPr="001C7B59">
        <w:rPr>
          <w:lang w:val="fr-FR"/>
        </w:rPr>
        <w:t xml:space="preserve"> </w:t>
      </w:r>
      <w:r w:rsidRPr="001C7B59">
        <w:rPr>
          <w:lang w:val="fr-FR"/>
        </w:rPr>
        <w:t>des effectifs de la campagne précédente.</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participation</w:t>
      </w:r>
      <w:r w:rsidR="001C7B59" w:rsidRPr="001C7B59">
        <w:rPr>
          <w:lang w:val="fr-FR"/>
        </w:rPr>
        <w:t xml:space="preserve"> </w:t>
      </w:r>
      <w:r w:rsidRPr="001C7B59">
        <w:rPr>
          <w:lang w:val="fr-FR"/>
        </w:rPr>
        <w:t>des femmes aux cours d</w:t>
      </w:r>
      <w:r w:rsidR="00DB6EAF" w:rsidRPr="001C7B59">
        <w:rPr>
          <w:lang w:val="fr-FR"/>
        </w:rPr>
        <w:t>’</w:t>
      </w:r>
      <w:r w:rsidRPr="001C7B59">
        <w:rPr>
          <w:lang w:val="fr-FR"/>
        </w:rPr>
        <w:t xml:space="preserve">alphabétisation est prédominante depuis 2002-2003, car six apprenants sur </w:t>
      </w:r>
      <w:r w:rsidR="00DB6EAF" w:rsidRPr="001C7B59">
        <w:rPr>
          <w:lang w:val="fr-FR"/>
        </w:rPr>
        <w:t>10</w:t>
      </w:r>
      <w:r w:rsidRPr="001C7B59">
        <w:rPr>
          <w:lang w:val="fr-FR"/>
        </w:rPr>
        <w:t xml:space="preserve"> sont des femmes. Cette situation s</w:t>
      </w:r>
      <w:r w:rsidR="00DB6EAF" w:rsidRPr="001C7B59">
        <w:rPr>
          <w:lang w:val="fr-FR"/>
        </w:rPr>
        <w:t>’</w:t>
      </w:r>
      <w:r w:rsidRPr="001C7B59">
        <w:rPr>
          <w:lang w:val="fr-FR"/>
        </w:rPr>
        <w:t>explique par l</w:t>
      </w:r>
      <w:r w:rsidR="00DB6EAF" w:rsidRPr="001C7B59">
        <w:rPr>
          <w:lang w:val="fr-FR"/>
        </w:rPr>
        <w:t>’</w:t>
      </w:r>
      <w:r w:rsidRPr="001C7B59">
        <w:rPr>
          <w:lang w:val="fr-FR"/>
        </w:rPr>
        <w:t xml:space="preserve">ouverture des centres de type féminin qui représentent chaque année plus de la moitié des centres.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Pour la campagne 2009-2010, 51</w:t>
      </w:r>
      <w:r w:rsidR="007B382B">
        <w:rPr>
          <w:lang w:val="fr-FR"/>
        </w:rPr>
        <w:t> %</w:t>
      </w:r>
      <w:r w:rsidRPr="001C7B59">
        <w:rPr>
          <w:lang w:val="fr-FR"/>
        </w:rPr>
        <w:t xml:space="preserve"> des centres sont de type féminin.</w:t>
      </w:r>
    </w:p>
    <w:p w:rsidR="008E5553" w:rsidRPr="008E5553" w:rsidRDefault="008E5553" w:rsidP="008E5553">
      <w:pPr>
        <w:pStyle w:val="SingleTxt"/>
        <w:spacing w:after="0" w:line="120" w:lineRule="exact"/>
        <w:rPr>
          <w:b/>
          <w:bCs/>
          <w:i/>
          <w:sz w:val="10"/>
          <w:lang w:val="fr-FR"/>
        </w:rPr>
      </w:pPr>
    </w:p>
    <w:p w:rsidR="004432C5" w:rsidRDefault="00D610D0" w:rsidP="00D61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610D0">
        <w:rPr>
          <w:b w:val="0"/>
          <w:lang w:val="fr-FR"/>
        </w:rPr>
        <w:tab/>
      </w:r>
      <w:r w:rsidR="004432C5" w:rsidRPr="00D610D0">
        <w:rPr>
          <w:b w:val="0"/>
          <w:lang w:val="fr-FR"/>
        </w:rPr>
        <w:t>Tableau n° 7</w:t>
      </w:r>
      <w:r>
        <w:rPr>
          <w:b w:val="0"/>
          <w:lang w:val="fr-FR"/>
        </w:rPr>
        <w:br/>
      </w:r>
      <w:r w:rsidR="00E15F6D" w:rsidRPr="001C7B59">
        <w:rPr>
          <w:lang w:val="fr-FR"/>
        </w:rPr>
        <w:t>Évolution</w:t>
      </w:r>
      <w:r w:rsidR="004432C5" w:rsidRPr="001C7B59">
        <w:rPr>
          <w:lang w:val="fr-FR"/>
        </w:rPr>
        <w:t xml:space="preserve"> des apprenants et du taux de fréquentation</w:t>
      </w:r>
    </w:p>
    <w:p w:rsidR="00D610D0" w:rsidRPr="00D610D0" w:rsidRDefault="00D610D0" w:rsidP="00D610D0">
      <w:pPr>
        <w:pStyle w:val="SingleTxt"/>
        <w:spacing w:after="0" w:line="120" w:lineRule="exact"/>
        <w:rPr>
          <w:sz w:val="10"/>
          <w:lang w:val="fr-FR"/>
        </w:rPr>
      </w:pPr>
    </w:p>
    <w:p w:rsidR="00D610D0" w:rsidRPr="00D610D0" w:rsidRDefault="00D610D0" w:rsidP="00D610D0">
      <w:pPr>
        <w:pStyle w:val="SingleTxt"/>
        <w:spacing w:after="0" w:line="120" w:lineRule="exact"/>
        <w:rPr>
          <w:sz w:val="10"/>
          <w:lang w:val="fr-FR"/>
        </w:rPr>
      </w:pPr>
    </w:p>
    <w:tbl>
      <w:tblPr>
        <w:tblW w:w="7308" w:type="dxa"/>
        <w:tblInd w:w="1278" w:type="dxa"/>
        <w:tblLayout w:type="fixed"/>
        <w:tblCellMar>
          <w:left w:w="0" w:type="dxa"/>
          <w:right w:w="0" w:type="dxa"/>
        </w:tblCellMar>
        <w:tblLook w:val="04A0" w:firstRow="1" w:lastRow="0" w:firstColumn="1" w:lastColumn="0" w:noHBand="0" w:noVBand="1"/>
      </w:tblPr>
      <w:tblGrid>
        <w:gridCol w:w="642"/>
        <w:gridCol w:w="764"/>
        <w:gridCol w:w="764"/>
        <w:gridCol w:w="757"/>
        <w:gridCol w:w="94"/>
        <w:gridCol w:w="678"/>
        <w:gridCol w:w="729"/>
        <w:gridCol w:w="738"/>
        <w:gridCol w:w="243"/>
        <w:gridCol w:w="570"/>
        <w:gridCol w:w="598"/>
        <w:gridCol w:w="731"/>
      </w:tblGrid>
      <w:tr w:rsidR="00D610D0" w:rsidRPr="00B4237B" w:rsidTr="00963A71">
        <w:trPr>
          <w:trHeight w:val="240"/>
          <w:tblHeader/>
        </w:trPr>
        <w:tc>
          <w:tcPr>
            <w:tcW w:w="439" w:type="pct"/>
            <w:tcBorders>
              <w:top w:val="single" w:sz="4" w:space="0" w:color="auto"/>
            </w:tcBorders>
            <w:shd w:val="clear" w:color="auto" w:fill="auto"/>
            <w:vAlign w:val="bottom"/>
          </w:tcPr>
          <w:p w:rsidR="00D610D0" w:rsidRPr="00B4237B" w:rsidRDefault="00D610D0" w:rsidP="00DD7DAB">
            <w:pPr>
              <w:pStyle w:val="SingleTxtG"/>
              <w:spacing w:before="81" w:after="81" w:line="160" w:lineRule="exact"/>
              <w:ind w:left="0" w:right="40"/>
              <w:jc w:val="left"/>
              <w:rPr>
                <w:bCs/>
                <w:i/>
                <w:sz w:val="14"/>
                <w:szCs w:val="24"/>
                <w:lang w:val="fr-FR"/>
              </w:rPr>
            </w:pPr>
          </w:p>
        </w:tc>
        <w:tc>
          <w:tcPr>
            <w:tcW w:w="1563" w:type="pct"/>
            <w:gridSpan w:val="3"/>
            <w:tcBorders>
              <w:top w:val="single" w:sz="4" w:space="0" w:color="auto"/>
              <w:bottom w:val="single" w:sz="4" w:space="0" w:color="auto"/>
            </w:tcBorders>
            <w:shd w:val="clear" w:color="auto" w:fill="auto"/>
            <w:vAlign w:val="bottom"/>
          </w:tcPr>
          <w:p w:rsidR="00D610D0" w:rsidRPr="00B4237B" w:rsidRDefault="00D610D0" w:rsidP="00D610D0">
            <w:pPr>
              <w:pStyle w:val="SingleTxtG"/>
              <w:spacing w:before="81" w:after="81" w:line="160" w:lineRule="exact"/>
              <w:ind w:left="144" w:right="43"/>
              <w:jc w:val="center"/>
              <w:rPr>
                <w:bCs/>
                <w:i/>
                <w:sz w:val="14"/>
                <w:szCs w:val="24"/>
                <w:lang w:val="fr-FR"/>
              </w:rPr>
            </w:pPr>
            <w:r w:rsidRPr="00B4237B">
              <w:rPr>
                <w:bCs/>
                <w:i/>
                <w:sz w:val="14"/>
                <w:szCs w:val="24"/>
                <w:lang w:val="fr-FR"/>
              </w:rPr>
              <w:t>En début de campagne</w:t>
            </w:r>
          </w:p>
        </w:tc>
        <w:tc>
          <w:tcPr>
            <w:tcW w:w="64" w:type="pct"/>
            <w:tcBorders>
              <w:top w:val="single" w:sz="4" w:space="0" w:color="auto"/>
            </w:tcBorders>
            <w:shd w:val="clear" w:color="auto" w:fill="auto"/>
            <w:vAlign w:val="bottom"/>
          </w:tcPr>
          <w:p w:rsidR="00D610D0" w:rsidRPr="00B4237B" w:rsidRDefault="00D610D0" w:rsidP="00D610D0">
            <w:pPr>
              <w:pStyle w:val="SingleTxtG"/>
              <w:spacing w:before="81" w:after="81" w:line="160" w:lineRule="exact"/>
              <w:ind w:left="144" w:right="43"/>
              <w:jc w:val="center"/>
              <w:rPr>
                <w:bCs/>
                <w:i/>
                <w:sz w:val="14"/>
                <w:szCs w:val="24"/>
                <w:lang w:val="fr-FR"/>
              </w:rPr>
            </w:pPr>
          </w:p>
        </w:tc>
        <w:tc>
          <w:tcPr>
            <w:tcW w:w="1468" w:type="pct"/>
            <w:gridSpan w:val="3"/>
            <w:tcBorders>
              <w:top w:val="single" w:sz="4" w:space="0" w:color="auto"/>
              <w:bottom w:val="single" w:sz="4" w:space="0" w:color="auto"/>
            </w:tcBorders>
            <w:shd w:val="clear" w:color="auto" w:fill="auto"/>
            <w:vAlign w:val="bottom"/>
          </w:tcPr>
          <w:p w:rsidR="00D610D0" w:rsidRPr="00B4237B" w:rsidRDefault="00D610D0" w:rsidP="00D610D0">
            <w:pPr>
              <w:pStyle w:val="SingleTxtG"/>
              <w:spacing w:before="81" w:after="81" w:line="160" w:lineRule="exact"/>
              <w:ind w:left="144" w:right="43"/>
              <w:jc w:val="center"/>
              <w:rPr>
                <w:bCs/>
                <w:i/>
                <w:sz w:val="14"/>
                <w:szCs w:val="24"/>
                <w:lang w:val="fr-FR"/>
              </w:rPr>
            </w:pPr>
            <w:r w:rsidRPr="00B4237B">
              <w:rPr>
                <w:bCs/>
                <w:i/>
                <w:sz w:val="14"/>
                <w:szCs w:val="24"/>
                <w:lang w:val="fr-FR"/>
              </w:rPr>
              <w:t>En fin de campagne</w:t>
            </w:r>
          </w:p>
        </w:tc>
        <w:tc>
          <w:tcPr>
            <w:tcW w:w="166" w:type="pct"/>
            <w:tcBorders>
              <w:top w:val="single" w:sz="4" w:space="0" w:color="auto"/>
            </w:tcBorders>
            <w:shd w:val="clear" w:color="auto" w:fill="auto"/>
            <w:vAlign w:val="bottom"/>
          </w:tcPr>
          <w:p w:rsidR="00D610D0" w:rsidRPr="00B4237B" w:rsidRDefault="00D610D0" w:rsidP="00D610D0">
            <w:pPr>
              <w:pStyle w:val="SingleTxtG"/>
              <w:spacing w:before="81" w:after="81" w:line="160" w:lineRule="exact"/>
              <w:ind w:left="144" w:right="43"/>
              <w:jc w:val="center"/>
              <w:rPr>
                <w:bCs/>
                <w:i/>
                <w:sz w:val="14"/>
                <w:szCs w:val="24"/>
                <w:lang w:val="fr-FR"/>
              </w:rPr>
            </w:pPr>
          </w:p>
        </w:tc>
        <w:tc>
          <w:tcPr>
            <w:tcW w:w="1299" w:type="pct"/>
            <w:gridSpan w:val="3"/>
            <w:tcBorders>
              <w:top w:val="single" w:sz="4" w:space="0" w:color="auto"/>
              <w:bottom w:val="single" w:sz="4" w:space="0" w:color="auto"/>
            </w:tcBorders>
            <w:shd w:val="clear" w:color="auto" w:fill="auto"/>
            <w:vAlign w:val="bottom"/>
          </w:tcPr>
          <w:p w:rsidR="00D610D0" w:rsidRPr="00B4237B" w:rsidRDefault="00D610D0" w:rsidP="00D610D0">
            <w:pPr>
              <w:pStyle w:val="SingleTxtG"/>
              <w:spacing w:before="81" w:after="81" w:line="160" w:lineRule="exact"/>
              <w:ind w:left="144" w:right="43"/>
              <w:jc w:val="center"/>
              <w:rPr>
                <w:bCs/>
                <w:i/>
                <w:sz w:val="14"/>
                <w:szCs w:val="24"/>
                <w:lang w:val="fr-FR"/>
              </w:rPr>
            </w:pPr>
            <w:r w:rsidRPr="00B4237B">
              <w:rPr>
                <w:bCs/>
                <w:i/>
                <w:sz w:val="14"/>
                <w:szCs w:val="24"/>
                <w:lang w:val="fr-FR"/>
              </w:rPr>
              <w:t>Taux de fréquentation</w:t>
            </w:r>
            <w:r>
              <w:rPr>
                <w:bCs/>
                <w:i/>
                <w:sz w:val="14"/>
                <w:szCs w:val="24"/>
                <w:lang w:val="fr-FR"/>
              </w:rPr>
              <w:br/>
              <w:t>(pourcentage)</w:t>
            </w:r>
          </w:p>
        </w:tc>
      </w:tr>
      <w:tr w:rsidR="00963A71" w:rsidRPr="00D610D0" w:rsidTr="00963A71">
        <w:trPr>
          <w:trHeight w:val="240"/>
          <w:tblHeader/>
        </w:trPr>
        <w:tc>
          <w:tcPr>
            <w:tcW w:w="439" w:type="pct"/>
            <w:shd w:val="clear" w:color="auto" w:fill="auto"/>
            <w:vAlign w:val="bottom"/>
          </w:tcPr>
          <w:p w:rsidR="00D610D0" w:rsidRPr="00D610D0" w:rsidRDefault="00D610D0" w:rsidP="00D610D0">
            <w:pPr>
              <w:pStyle w:val="SingleTxtG"/>
              <w:spacing w:before="81" w:after="81" w:line="160" w:lineRule="exact"/>
              <w:ind w:left="0" w:right="40"/>
              <w:jc w:val="left"/>
              <w:rPr>
                <w:bCs/>
                <w:i/>
                <w:sz w:val="14"/>
                <w:szCs w:val="24"/>
                <w:lang w:val="fr-FR"/>
              </w:rPr>
            </w:pPr>
            <w:r>
              <w:rPr>
                <w:bCs/>
                <w:i/>
                <w:sz w:val="14"/>
                <w:szCs w:val="24"/>
                <w:lang w:val="fr-FR"/>
              </w:rPr>
              <w:t>Année</w:t>
            </w:r>
          </w:p>
        </w:tc>
        <w:tc>
          <w:tcPr>
            <w:tcW w:w="523" w:type="pct"/>
            <w:tcBorders>
              <w:top w:val="single" w:sz="4" w:space="0" w:color="auto"/>
            </w:tcBorders>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Total</w:t>
            </w:r>
          </w:p>
        </w:tc>
        <w:tc>
          <w:tcPr>
            <w:tcW w:w="523" w:type="pct"/>
            <w:tcBorders>
              <w:top w:val="single" w:sz="4" w:space="0" w:color="auto"/>
            </w:tcBorders>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Hommes</w:t>
            </w:r>
          </w:p>
        </w:tc>
        <w:tc>
          <w:tcPr>
            <w:tcW w:w="518" w:type="pct"/>
            <w:tcBorders>
              <w:top w:val="single" w:sz="4" w:space="0" w:color="auto"/>
            </w:tcBorders>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Femmes</w:t>
            </w:r>
          </w:p>
        </w:tc>
        <w:tc>
          <w:tcPr>
            <w:tcW w:w="528" w:type="pct"/>
            <w:gridSpan w:val="2"/>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Total</w:t>
            </w:r>
          </w:p>
        </w:tc>
        <w:tc>
          <w:tcPr>
            <w:tcW w:w="499" w:type="pct"/>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Hommes</w:t>
            </w:r>
          </w:p>
        </w:tc>
        <w:tc>
          <w:tcPr>
            <w:tcW w:w="505" w:type="pct"/>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Femmes</w:t>
            </w:r>
          </w:p>
        </w:tc>
        <w:tc>
          <w:tcPr>
            <w:tcW w:w="556" w:type="pct"/>
            <w:gridSpan w:val="2"/>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Total</w:t>
            </w:r>
          </w:p>
        </w:tc>
        <w:tc>
          <w:tcPr>
            <w:tcW w:w="409" w:type="pct"/>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Hommes</w:t>
            </w:r>
          </w:p>
        </w:tc>
        <w:tc>
          <w:tcPr>
            <w:tcW w:w="500" w:type="pct"/>
            <w:shd w:val="clear" w:color="auto" w:fill="auto"/>
            <w:vAlign w:val="bottom"/>
          </w:tcPr>
          <w:p w:rsidR="00D610D0" w:rsidRPr="00D610D0" w:rsidRDefault="00D610D0" w:rsidP="00D610D0">
            <w:pPr>
              <w:pStyle w:val="SingleTxtG"/>
              <w:spacing w:before="81" w:after="81" w:line="160" w:lineRule="exact"/>
              <w:ind w:left="0" w:right="40"/>
              <w:jc w:val="right"/>
              <w:rPr>
                <w:bCs/>
                <w:i/>
                <w:sz w:val="14"/>
                <w:szCs w:val="24"/>
                <w:lang w:val="fr-FR"/>
              </w:rPr>
            </w:pPr>
            <w:r w:rsidRPr="00D610D0">
              <w:rPr>
                <w:bCs/>
                <w:i/>
                <w:sz w:val="14"/>
                <w:szCs w:val="24"/>
                <w:lang w:val="fr-FR"/>
              </w:rPr>
              <w:t>Femmes</w:t>
            </w:r>
          </w:p>
        </w:tc>
      </w:tr>
      <w:tr w:rsidR="00963A71" w:rsidRPr="00B4237B" w:rsidTr="00963A71">
        <w:trPr>
          <w:trHeight w:hRule="exact" w:val="115"/>
          <w:tblHeader/>
        </w:trPr>
        <w:tc>
          <w:tcPr>
            <w:tcW w:w="439"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0" w:right="40"/>
              <w:jc w:val="left"/>
              <w:rPr>
                <w:bCs/>
                <w:sz w:val="17"/>
                <w:szCs w:val="24"/>
                <w:lang w:val="fr-FR"/>
              </w:rPr>
            </w:pPr>
          </w:p>
        </w:tc>
        <w:tc>
          <w:tcPr>
            <w:tcW w:w="523"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23"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18"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28" w:type="pct"/>
            <w:gridSpan w:val="2"/>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499"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05"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56" w:type="pct"/>
            <w:gridSpan w:val="2"/>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409"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c>
          <w:tcPr>
            <w:tcW w:w="500" w:type="pct"/>
            <w:tcBorders>
              <w:top w:val="single" w:sz="12" w:space="0" w:color="auto"/>
            </w:tcBorders>
            <w:shd w:val="clear" w:color="auto" w:fill="auto"/>
            <w:vAlign w:val="bottom"/>
          </w:tcPr>
          <w:p w:rsidR="00D610D0" w:rsidRPr="00B4237B" w:rsidRDefault="00D610D0" w:rsidP="00DD7DAB">
            <w:pPr>
              <w:pStyle w:val="SingleTxtG"/>
              <w:spacing w:before="40" w:after="40" w:line="210" w:lineRule="exact"/>
              <w:ind w:left="144" w:right="43"/>
              <w:jc w:val="right"/>
              <w:rPr>
                <w:bCs/>
                <w:sz w:val="17"/>
                <w:szCs w:val="24"/>
                <w:lang w:val="fr-FR"/>
              </w:rPr>
            </w:pPr>
          </w:p>
        </w:tc>
      </w:tr>
      <w:tr w:rsidR="00D610D0" w:rsidRPr="00B4237B" w:rsidTr="00963A71">
        <w:trPr>
          <w:trHeight w:val="240"/>
        </w:trPr>
        <w:tc>
          <w:tcPr>
            <w:tcW w:w="43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2007-2008</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54</w:t>
            </w:r>
            <w:r w:rsidR="00963A71">
              <w:rPr>
                <w:bCs/>
                <w:sz w:val="17"/>
                <w:szCs w:val="24"/>
                <w:lang w:val="fr-FR"/>
              </w:rPr>
              <w:t xml:space="preserve"> </w:t>
            </w:r>
            <w:r w:rsidRPr="00B4237B">
              <w:rPr>
                <w:bCs/>
                <w:sz w:val="17"/>
                <w:szCs w:val="24"/>
                <w:lang w:val="fr-FR"/>
              </w:rPr>
              <w:t>235</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15</w:t>
            </w:r>
            <w:r w:rsidR="00963A71">
              <w:rPr>
                <w:bCs/>
                <w:sz w:val="17"/>
                <w:szCs w:val="24"/>
                <w:lang w:val="fr-FR"/>
              </w:rPr>
              <w:t xml:space="preserve"> </w:t>
            </w:r>
            <w:r w:rsidRPr="00B4237B">
              <w:rPr>
                <w:bCs/>
                <w:sz w:val="17"/>
                <w:szCs w:val="24"/>
                <w:lang w:val="fr-FR"/>
              </w:rPr>
              <w:t>737</w:t>
            </w:r>
          </w:p>
        </w:tc>
        <w:tc>
          <w:tcPr>
            <w:tcW w:w="518"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38</w:t>
            </w:r>
            <w:r w:rsidR="00963A71">
              <w:rPr>
                <w:bCs/>
                <w:sz w:val="17"/>
                <w:szCs w:val="24"/>
                <w:lang w:val="fr-FR"/>
              </w:rPr>
              <w:t xml:space="preserve"> </w:t>
            </w:r>
            <w:r w:rsidRPr="00B4237B">
              <w:rPr>
                <w:bCs/>
                <w:sz w:val="17"/>
                <w:szCs w:val="24"/>
                <w:lang w:val="fr-FR"/>
              </w:rPr>
              <w:t>498</w:t>
            </w:r>
          </w:p>
        </w:tc>
        <w:tc>
          <w:tcPr>
            <w:tcW w:w="528"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39</w:t>
            </w:r>
            <w:r w:rsidR="00963A71">
              <w:rPr>
                <w:bCs/>
                <w:sz w:val="17"/>
                <w:szCs w:val="24"/>
                <w:lang w:val="fr-FR"/>
              </w:rPr>
              <w:t xml:space="preserve"> </w:t>
            </w:r>
            <w:r w:rsidRPr="00B4237B">
              <w:rPr>
                <w:bCs/>
                <w:sz w:val="17"/>
                <w:szCs w:val="24"/>
                <w:lang w:val="fr-FR"/>
              </w:rPr>
              <w:t>561</w:t>
            </w:r>
          </w:p>
        </w:tc>
        <w:tc>
          <w:tcPr>
            <w:tcW w:w="49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11</w:t>
            </w:r>
            <w:r w:rsidR="00963A71">
              <w:rPr>
                <w:bCs/>
                <w:sz w:val="17"/>
                <w:szCs w:val="24"/>
                <w:lang w:val="fr-FR"/>
              </w:rPr>
              <w:t xml:space="preserve"> </w:t>
            </w:r>
            <w:r w:rsidRPr="00B4237B">
              <w:rPr>
                <w:bCs/>
                <w:sz w:val="17"/>
                <w:szCs w:val="24"/>
                <w:lang w:val="fr-FR"/>
              </w:rPr>
              <w:t>279</w:t>
            </w:r>
          </w:p>
        </w:tc>
        <w:tc>
          <w:tcPr>
            <w:tcW w:w="505"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28</w:t>
            </w:r>
            <w:r w:rsidR="00963A71">
              <w:rPr>
                <w:bCs/>
                <w:sz w:val="17"/>
                <w:szCs w:val="24"/>
                <w:lang w:val="fr-FR"/>
              </w:rPr>
              <w:t xml:space="preserve"> </w:t>
            </w:r>
            <w:r w:rsidRPr="00B4237B">
              <w:rPr>
                <w:bCs/>
                <w:sz w:val="17"/>
                <w:szCs w:val="24"/>
                <w:lang w:val="fr-FR"/>
              </w:rPr>
              <w:t>282</w:t>
            </w:r>
          </w:p>
        </w:tc>
        <w:tc>
          <w:tcPr>
            <w:tcW w:w="55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73</w:t>
            </w:r>
          </w:p>
        </w:tc>
        <w:tc>
          <w:tcPr>
            <w:tcW w:w="40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72</w:t>
            </w:r>
          </w:p>
        </w:tc>
        <w:tc>
          <w:tcPr>
            <w:tcW w:w="500"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73</w:t>
            </w:r>
          </w:p>
        </w:tc>
      </w:tr>
      <w:tr w:rsidR="00D610D0" w:rsidRPr="00B4237B" w:rsidTr="00963A71">
        <w:trPr>
          <w:trHeight w:val="240"/>
        </w:trPr>
        <w:tc>
          <w:tcPr>
            <w:tcW w:w="43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2008-2009</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52</w:t>
            </w:r>
            <w:r w:rsidR="00963A71">
              <w:rPr>
                <w:bCs/>
                <w:sz w:val="17"/>
                <w:szCs w:val="24"/>
                <w:lang w:val="fr-FR"/>
              </w:rPr>
              <w:t xml:space="preserve"> </w:t>
            </w:r>
            <w:r w:rsidRPr="00B4237B">
              <w:rPr>
                <w:bCs/>
                <w:sz w:val="17"/>
                <w:szCs w:val="24"/>
                <w:lang w:val="fr-FR"/>
              </w:rPr>
              <w:t>356</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18</w:t>
            </w:r>
            <w:r w:rsidR="00963A71">
              <w:rPr>
                <w:bCs/>
                <w:sz w:val="17"/>
                <w:szCs w:val="24"/>
                <w:lang w:val="fr-FR"/>
              </w:rPr>
              <w:t xml:space="preserve"> </w:t>
            </w:r>
            <w:r w:rsidRPr="00B4237B">
              <w:rPr>
                <w:bCs/>
                <w:sz w:val="17"/>
                <w:szCs w:val="24"/>
                <w:lang w:val="fr-FR"/>
              </w:rPr>
              <w:t>674</w:t>
            </w:r>
          </w:p>
        </w:tc>
        <w:tc>
          <w:tcPr>
            <w:tcW w:w="518"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33</w:t>
            </w:r>
            <w:r w:rsidR="00963A71">
              <w:rPr>
                <w:bCs/>
                <w:sz w:val="17"/>
                <w:szCs w:val="24"/>
                <w:lang w:val="fr-FR"/>
              </w:rPr>
              <w:t xml:space="preserve"> </w:t>
            </w:r>
            <w:r w:rsidRPr="00B4237B">
              <w:rPr>
                <w:bCs/>
                <w:sz w:val="17"/>
                <w:szCs w:val="24"/>
                <w:lang w:val="fr-FR"/>
              </w:rPr>
              <w:t>682</w:t>
            </w:r>
          </w:p>
        </w:tc>
        <w:tc>
          <w:tcPr>
            <w:tcW w:w="528"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47</w:t>
            </w:r>
            <w:r w:rsidR="00963A71">
              <w:rPr>
                <w:bCs/>
                <w:sz w:val="17"/>
                <w:szCs w:val="24"/>
                <w:lang w:val="fr-FR"/>
              </w:rPr>
              <w:t xml:space="preserve"> </w:t>
            </w:r>
            <w:r w:rsidRPr="00B4237B">
              <w:rPr>
                <w:bCs/>
                <w:sz w:val="17"/>
                <w:szCs w:val="24"/>
                <w:lang w:val="fr-FR"/>
              </w:rPr>
              <w:t>269</w:t>
            </w:r>
          </w:p>
        </w:tc>
        <w:tc>
          <w:tcPr>
            <w:tcW w:w="49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16</w:t>
            </w:r>
            <w:r w:rsidR="00963A71">
              <w:rPr>
                <w:bCs/>
                <w:sz w:val="17"/>
                <w:szCs w:val="24"/>
                <w:lang w:val="fr-FR"/>
              </w:rPr>
              <w:t xml:space="preserve"> </w:t>
            </w:r>
            <w:r w:rsidRPr="00B4237B">
              <w:rPr>
                <w:bCs/>
                <w:sz w:val="17"/>
                <w:szCs w:val="24"/>
                <w:lang w:val="fr-FR"/>
              </w:rPr>
              <w:t>115</w:t>
            </w:r>
          </w:p>
        </w:tc>
        <w:tc>
          <w:tcPr>
            <w:tcW w:w="505"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31</w:t>
            </w:r>
            <w:r w:rsidR="00963A71">
              <w:rPr>
                <w:bCs/>
                <w:sz w:val="17"/>
                <w:szCs w:val="24"/>
                <w:lang w:val="fr-FR"/>
              </w:rPr>
              <w:t xml:space="preserve"> </w:t>
            </w:r>
            <w:r w:rsidRPr="00B4237B">
              <w:rPr>
                <w:bCs/>
                <w:sz w:val="17"/>
                <w:szCs w:val="24"/>
                <w:lang w:val="fr-FR"/>
              </w:rPr>
              <w:t>154</w:t>
            </w:r>
          </w:p>
        </w:tc>
        <w:tc>
          <w:tcPr>
            <w:tcW w:w="55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90</w:t>
            </w:r>
          </w:p>
        </w:tc>
        <w:tc>
          <w:tcPr>
            <w:tcW w:w="40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86</w:t>
            </w:r>
          </w:p>
        </w:tc>
        <w:tc>
          <w:tcPr>
            <w:tcW w:w="500"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92</w:t>
            </w:r>
          </w:p>
        </w:tc>
      </w:tr>
      <w:tr w:rsidR="00963A71" w:rsidRPr="00B4237B" w:rsidTr="00963A71">
        <w:trPr>
          <w:trHeight w:val="240"/>
        </w:trPr>
        <w:tc>
          <w:tcPr>
            <w:tcW w:w="43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2009-2010</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67</w:t>
            </w:r>
            <w:r w:rsidR="00963A71">
              <w:rPr>
                <w:bCs/>
                <w:sz w:val="17"/>
                <w:szCs w:val="24"/>
                <w:lang w:val="fr-FR"/>
              </w:rPr>
              <w:t xml:space="preserve"> </w:t>
            </w:r>
            <w:r w:rsidRPr="00B4237B">
              <w:rPr>
                <w:bCs/>
                <w:sz w:val="17"/>
                <w:szCs w:val="24"/>
                <w:lang w:val="fr-FR"/>
              </w:rPr>
              <w:t>991</w:t>
            </w:r>
          </w:p>
        </w:tc>
        <w:tc>
          <w:tcPr>
            <w:tcW w:w="523"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19</w:t>
            </w:r>
            <w:r w:rsidR="00963A71">
              <w:rPr>
                <w:bCs/>
                <w:sz w:val="17"/>
                <w:szCs w:val="24"/>
                <w:lang w:val="fr-FR"/>
              </w:rPr>
              <w:t xml:space="preserve"> </w:t>
            </w:r>
            <w:r w:rsidRPr="00B4237B">
              <w:rPr>
                <w:bCs/>
                <w:sz w:val="17"/>
                <w:szCs w:val="24"/>
                <w:lang w:val="fr-FR"/>
              </w:rPr>
              <w:t>449</w:t>
            </w:r>
          </w:p>
        </w:tc>
        <w:tc>
          <w:tcPr>
            <w:tcW w:w="518"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48</w:t>
            </w:r>
            <w:r w:rsidR="00963A71">
              <w:rPr>
                <w:bCs/>
                <w:sz w:val="17"/>
                <w:szCs w:val="24"/>
                <w:lang w:val="fr-FR"/>
              </w:rPr>
              <w:t xml:space="preserve"> </w:t>
            </w:r>
            <w:r w:rsidRPr="00B4237B">
              <w:rPr>
                <w:bCs/>
                <w:sz w:val="17"/>
                <w:szCs w:val="24"/>
                <w:lang w:val="fr-FR"/>
              </w:rPr>
              <w:t>542</w:t>
            </w:r>
          </w:p>
        </w:tc>
        <w:tc>
          <w:tcPr>
            <w:tcW w:w="528"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50</w:t>
            </w:r>
            <w:r w:rsidR="00963A71">
              <w:rPr>
                <w:bCs/>
                <w:sz w:val="17"/>
                <w:szCs w:val="24"/>
                <w:lang w:val="fr-FR"/>
              </w:rPr>
              <w:t xml:space="preserve"> </w:t>
            </w:r>
            <w:r w:rsidRPr="00B4237B">
              <w:rPr>
                <w:bCs/>
                <w:sz w:val="17"/>
                <w:szCs w:val="24"/>
                <w:lang w:val="fr-FR"/>
              </w:rPr>
              <w:t>887</w:t>
            </w:r>
          </w:p>
        </w:tc>
        <w:tc>
          <w:tcPr>
            <w:tcW w:w="49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14</w:t>
            </w:r>
            <w:r w:rsidR="00963A71">
              <w:rPr>
                <w:bCs/>
                <w:sz w:val="17"/>
                <w:szCs w:val="24"/>
                <w:lang w:val="fr-FR"/>
              </w:rPr>
              <w:t xml:space="preserve"> </w:t>
            </w:r>
            <w:r w:rsidRPr="00B4237B">
              <w:rPr>
                <w:bCs/>
                <w:sz w:val="17"/>
                <w:szCs w:val="24"/>
                <w:lang w:val="fr-FR"/>
              </w:rPr>
              <w:t>894</w:t>
            </w:r>
          </w:p>
        </w:tc>
        <w:tc>
          <w:tcPr>
            <w:tcW w:w="505"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35</w:t>
            </w:r>
            <w:r w:rsidR="00963A71">
              <w:rPr>
                <w:bCs/>
                <w:sz w:val="17"/>
                <w:szCs w:val="24"/>
                <w:lang w:val="fr-FR"/>
              </w:rPr>
              <w:t xml:space="preserve"> </w:t>
            </w:r>
            <w:r w:rsidRPr="00B4237B">
              <w:rPr>
                <w:bCs/>
                <w:sz w:val="17"/>
                <w:szCs w:val="24"/>
                <w:lang w:val="fr-FR"/>
              </w:rPr>
              <w:t>993</w:t>
            </w:r>
          </w:p>
        </w:tc>
        <w:tc>
          <w:tcPr>
            <w:tcW w:w="556" w:type="pct"/>
            <w:gridSpan w:val="2"/>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75</w:t>
            </w:r>
          </w:p>
        </w:tc>
        <w:tc>
          <w:tcPr>
            <w:tcW w:w="409"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77</w:t>
            </w:r>
          </w:p>
        </w:tc>
        <w:tc>
          <w:tcPr>
            <w:tcW w:w="500" w:type="pct"/>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74</w:t>
            </w:r>
          </w:p>
        </w:tc>
      </w:tr>
      <w:tr w:rsidR="00963A71" w:rsidRPr="00B4237B" w:rsidTr="00963A71">
        <w:trPr>
          <w:trHeight w:val="240"/>
        </w:trPr>
        <w:tc>
          <w:tcPr>
            <w:tcW w:w="439"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2010-2011</w:t>
            </w:r>
          </w:p>
        </w:tc>
        <w:tc>
          <w:tcPr>
            <w:tcW w:w="523"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62</w:t>
            </w:r>
            <w:r w:rsidR="00963A71">
              <w:rPr>
                <w:bCs/>
                <w:sz w:val="17"/>
                <w:szCs w:val="24"/>
                <w:lang w:val="fr-FR"/>
              </w:rPr>
              <w:t xml:space="preserve"> </w:t>
            </w:r>
            <w:r w:rsidRPr="00B4237B">
              <w:rPr>
                <w:bCs/>
                <w:sz w:val="17"/>
                <w:szCs w:val="24"/>
                <w:lang w:val="fr-FR"/>
              </w:rPr>
              <w:t>965</w:t>
            </w:r>
          </w:p>
        </w:tc>
        <w:tc>
          <w:tcPr>
            <w:tcW w:w="523"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22</w:t>
            </w:r>
            <w:r w:rsidR="00963A71">
              <w:rPr>
                <w:bCs/>
                <w:sz w:val="17"/>
                <w:szCs w:val="24"/>
                <w:lang w:val="fr-FR"/>
              </w:rPr>
              <w:t xml:space="preserve"> </w:t>
            </w:r>
            <w:r w:rsidRPr="00B4237B">
              <w:rPr>
                <w:bCs/>
                <w:sz w:val="17"/>
                <w:szCs w:val="24"/>
                <w:lang w:val="fr-FR"/>
              </w:rPr>
              <w:t>584</w:t>
            </w:r>
          </w:p>
        </w:tc>
        <w:tc>
          <w:tcPr>
            <w:tcW w:w="518"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40</w:t>
            </w:r>
            <w:r w:rsidR="00963A71">
              <w:rPr>
                <w:bCs/>
                <w:sz w:val="17"/>
                <w:szCs w:val="24"/>
                <w:lang w:val="fr-FR"/>
              </w:rPr>
              <w:t xml:space="preserve"> </w:t>
            </w:r>
            <w:r w:rsidRPr="00B4237B">
              <w:rPr>
                <w:bCs/>
                <w:sz w:val="17"/>
                <w:szCs w:val="24"/>
                <w:lang w:val="fr-FR"/>
              </w:rPr>
              <w:t>381</w:t>
            </w:r>
          </w:p>
        </w:tc>
        <w:tc>
          <w:tcPr>
            <w:tcW w:w="528" w:type="pct"/>
            <w:gridSpan w:val="2"/>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35</w:t>
            </w:r>
            <w:r w:rsidR="00963A71">
              <w:rPr>
                <w:bCs/>
                <w:sz w:val="17"/>
                <w:szCs w:val="24"/>
                <w:lang w:val="fr-FR"/>
              </w:rPr>
              <w:t xml:space="preserve"> </w:t>
            </w:r>
            <w:r w:rsidRPr="00B4237B">
              <w:rPr>
                <w:bCs/>
                <w:sz w:val="17"/>
                <w:szCs w:val="24"/>
                <w:lang w:val="fr-FR"/>
              </w:rPr>
              <w:t>651</w:t>
            </w:r>
          </w:p>
        </w:tc>
        <w:tc>
          <w:tcPr>
            <w:tcW w:w="499"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12</w:t>
            </w:r>
            <w:r w:rsidR="00963A71">
              <w:rPr>
                <w:bCs/>
                <w:sz w:val="17"/>
                <w:szCs w:val="24"/>
                <w:lang w:val="fr-FR"/>
              </w:rPr>
              <w:t xml:space="preserve"> </w:t>
            </w:r>
            <w:r w:rsidRPr="00B4237B">
              <w:rPr>
                <w:bCs/>
                <w:sz w:val="17"/>
                <w:szCs w:val="24"/>
                <w:lang w:val="fr-FR"/>
              </w:rPr>
              <w:t>046</w:t>
            </w:r>
          </w:p>
        </w:tc>
        <w:tc>
          <w:tcPr>
            <w:tcW w:w="505"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23</w:t>
            </w:r>
            <w:r w:rsidR="00963A71">
              <w:rPr>
                <w:bCs/>
                <w:sz w:val="17"/>
                <w:szCs w:val="24"/>
                <w:lang w:val="fr-FR"/>
              </w:rPr>
              <w:t xml:space="preserve"> </w:t>
            </w:r>
            <w:r w:rsidRPr="00B4237B">
              <w:rPr>
                <w:bCs/>
                <w:sz w:val="17"/>
                <w:szCs w:val="24"/>
                <w:lang w:val="fr-FR"/>
              </w:rPr>
              <w:t>605</w:t>
            </w:r>
          </w:p>
        </w:tc>
        <w:tc>
          <w:tcPr>
            <w:tcW w:w="556" w:type="pct"/>
            <w:gridSpan w:val="2"/>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57</w:t>
            </w:r>
          </w:p>
        </w:tc>
        <w:tc>
          <w:tcPr>
            <w:tcW w:w="409"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53</w:t>
            </w:r>
          </w:p>
        </w:tc>
        <w:tc>
          <w:tcPr>
            <w:tcW w:w="500" w:type="pct"/>
            <w:tcBorders>
              <w:bottom w:val="single" w:sz="12" w:space="0" w:color="auto"/>
            </w:tcBorders>
            <w:shd w:val="clear" w:color="auto" w:fill="auto"/>
            <w:vAlign w:val="bottom"/>
          </w:tcPr>
          <w:p w:rsidR="00D610D0" w:rsidRPr="00B4237B" w:rsidRDefault="00D610D0" w:rsidP="00DD7DAB">
            <w:pPr>
              <w:pStyle w:val="SingleTxtG"/>
              <w:tabs>
                <w:tab w:val="left" w:pos="288"/>
                <w:tab w:val="left" w:pos="576"/>
                <w:tab w:val="left" w:pos="864"/>
                <w:tab w:val="left" w:pos="1152"/>
              </w:tabs>
              <w:spacing w:before="40" w:after="40" w:line="210" w:lineRule="exact"/>
              <w:ind w:left="113" w:right="40"/>
              <w:jc w:val="right"/>
              <w:rPr>
                <w:bCs/>
                <w:sz w:val="17"/>
                <w:szCs w:val="24"/>
                <w:lang w:val="fr-FR"/>
              </w:rPr>
            </w:pPr>
            <w:r w:rsidRPr="00B4237B">
              <w:rPr>
                <w:bCs/>
                <w:sz w:val="17"/>
                <w:szCs w:val="24"/>
                <w:lang w:val="fr-FR"/>
              </w:rPr>
              <w:t>58</w:t>
            </w:r>
          </w:p>
        </w:tc>
      </w:tr>
    </w:tbl>
    <w:p w:rsidR="00D610D0" w:rsidRPr="00D610D0" w:rsidRDefault="00D610D0" w:rsidP="00D610D0">
      <w:pPr>
        <w:pStyle w:val="SingleTxt"/>
        <w:spacing w:after="0" w:line="120" w:lineRule="exact"/>
        <w:rPr>
          <w:sz w:val="10"/>
          <w:lang w:val="fr-FR"/>
        </w:rPr>
      </w:pPr>
    </w:p>
    <w:p w:rsidR="004432C5" w:rsidRDefault="004432C5" w:rsidP="00D610D0">
      <w:pPr>
        <w:pStyle w:val="FootnoteText"/>
        <w:tabs>
          <w:tab w:val="right" w:pos="1476"/>
          <w:tab w:val="left" w:pos="1548"/>
          <w:tab w:val="right" w:pos="1836"/>
          <w:tab w:val="left" w:pos="1908"/>
        </w:tabs>
        <w:ind w:left="1548" w:right="1267" w:hanging="288"/>
        <w:rPr>
          <w:lang w:val="fr-FR"/>
        </w:rPr>
      </w:pPr>
      <w:r w:rsidRPr="00D610D0">
        <w:rPr>
          <w:i/>
          <w:lang w:val="fr-FR"/>
        </w:rPr>
        <w:t>Source</w:t>
      </w:r>
      <w:r w:rsidR="00DB6EAF" w:rsidRPr="001C7B59">
        <w:rPr>
          <w:b/>
          <w:lang w:val="fr-FR"/>
        </w:rPr>
        <w:t> </w:t>
      </w:r>
      <w:r w:rsidR="00907513" w:rsidRPr="00907513">
        <w:rPr>
          <w:lang w:val="fr-FR"/>
        </w:rPr>
        <w:t>:</w:t>
      </w:r>
      <w:r w:rsidRPr="001C7B59">
        <w:rPr>
          <w:lang w:val="fr-FR"/>
        </w:rPr>
        <w:t xml:space="preserve"> Statistiques de l</w:t>
      </w:r>
      <w:r w:rsidR="00DB6EAF" w:rsidRPr="001C7B59">
        <w:rPr>
          <w:lang w:val="fr-FR"/>
        </w:rPr>
        <w:t>’</w:t>
      </w:r>
      <w:r w:rsidRPr="001C7B59">
        <w:rPr>
          <w:lang w:val="fr-FR"/>
        </w:rPr>
        <w:t>éducation de base, annuaire de 2011-2012, MEN</w:t>
      </w:r>
    </w:p>
    <w:p w:rsidR="00D610D0" w:rsidRPr="00D610D0" w:rsidRDefault="00D610D0" w:rsidP="00D610D0">
      <w:pPr>
        <w:pStyle w:val="SingleTxt"/>
        <w:spacing w:after="0" w:line="120" w:lineRule="exact"/>
        <w:rPr>
          <w:bCs/>
          <w:i/>
          <w:sz w:val="10"/>
          <w:lang w:val="fr-FR"/>
        </w:rPr>
      </w:pPr>
    </w:p>
    <w:p w:rsidR="00D610D0" w:rsidRPr="00D610D0" w:rsidRDefault="00D610D0" w:rsidP="00D610D0">
      <w:pPr>
        <w:pStyle w:val="SingleTxt"/>
        <w:spacing w:after="0" w:line="120" w:lineRule="exact"/>
        <w:rPr>
          <w:bCs/>
          <w:i/>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Une reprise de l</w:t>
      </w:r>
      <w:r w:rsidR="00DB6EAF" w:rsidRPr="001C7B59">
        <w:rPr>
          <w:lang w:val="fr-FR"/>
        </w:rPr>
        <w:t>’</w:t>
      </w:r>
      <w:r w:rsidRPr="001C7B59">
        <w:rPr>
          <w:lang w:val="fr-FR"/>
        </w:rPr>
        <w:t>augmentation des centres est observée pendant la campagne 2008-2009 avec 294 centres dont 272 recensés en milieu rural. Cette multiplication des centres ouverts témoigne de l</w:t>
      </w:r>
      <w:r w:rsidR="00DB6EAF" w:rsidRPr="001C7B59">
        <w:rPr>
          <w:lang w:val="fr-FR"/>
        </w:rPr>
        <w:t>’</w:t>
      </w:r>
      <w:r w:rsidRPr="001C7B59">
        <w:rPr>
          <w:lang w:val="fr-FR"/>
        </w:rPr>
        <w:t>intérêt manifesté par plusieurs promoteurs à accompagner toutes les initiatives qui permettent de réduire l</w:t>
      </w:r>
      <w:r w:rsidR="00DB6EAF" w:rsidRPr="001C7B59">
        <w:rPr>
          <w:lang w:val="fr-FR"/>
        </w:rPr>
        <w:t>’</w:t>
      </w:r>
      <w:r w:rsidRPr="001C7B59">
        <w:rPr>
          <w:lang w:val="fr-FR"/>
        </w:rPr>
        <w:t>analphabétisme. Pour favoriser la formation continue des apprenants et la pérennisation des acquis, il a été créé des bibliothèques villageoises et des presses villageoises. Malgré la prédominance des centres féminins, le personnel d</w:t>
      </w:r>
      <w:r w:rsidR="00DB6EAF" w:rsidRPr="001C7B59">
        <w:rPr>
          <w:lang w:val="fr-FR"/>
        </w:rPr>
        <w:t>’</w:t>
      </w:r>
      <w:r w:rsidRPr="001C7B59">
        <w:rPr>
          <w:lang w:val="fr-FR"/>
        </w:rPr>
        <w:t>encadrement est majoritairement constitué d</w:t>
      </w:r>
      <w:r w:rsidR="00DB6EAF" w:rsidRPr="001C7B59">
        <w:rPr>
          <w:lang w:val="fr-FR"/>
        </w:rPr>
        <w:t>’</w:t>
      </w:r>
      <w:r w:rsidRPr="001C7B59">
        <w:rPr>
          <w:lang w:val="fr-FR"/>
        </w:rPr>
        <w:t>hommes, les femmes ne représentent que 48</w:t>
      </w:r>
      <w:r w:rsidR="007B382B">
        <w:rPr>
          <w:lang w:val="fr-FR"/>
        </w:rPr>
        <w:t> %</w:t>
      </w:r>
      <w:r w:rsidRPr="001C7B59">
        <w:rPr>
          <w:lang w:val="fr-FR"/>
        </w:rPr>
        <w:t>.</w:t>
      </w:r>
    </w:p>
    <w:p w:rsidR="00963A71" w:rsidRPr="00963A71" w:rsidRDefault="00963A71" w:rsidP="00963A71">
      <w:pPr>
        <w:pStyle w:val="SingleTxt"/>
        <w:spacing w:after="0" w:line="120" w:lineRule="exact"/>
        <w:rPr>
          <w:sz w:val="10"/>
          <w:lang w:val="fr-FR"/>
        </w:rPr>
      </w:pPr>
    </w:p>
    <w:p w:rsidR="004432C5" w:rsidRDefault="00963A71" w:rsidP="00963A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963A71">
        <w:rPr>
          <w:b w:val="0"/>
          <w:lang w:val="fr-FR"/>
        </w:rPr>
        <w:t>Tableau n° 8</w:t>
      </w:r>
      <w:r w:rsidR="00DB6EAF" w:rsidRPr="00963A71">
        <w:rPr>
          <w:b w:val="0"/>
          <w:lang w:val="fr-FR"/>
        </w:rPr>
        <w:t> </w:t>
      </w:r>
      <w:r>
        <w:rPr>
          <w:b w:val="0"/>
          <w:lang w:val="fr-FR"/>
        </w:rPr>
        <w:br/>
      </w:r>
      <w:r w:rsidR="00E15F6D" w:rsidRPr="001C7B59">
        <w:rPr>
          <w:lang w:val="fr-FR"/>
        </w:rPr>
        <w:t>Évolution</w:t>
      </w:r>
      <w:r w:rsidR="004432C5" w:rsidRPr="001C7B59">
        <w:rPr>
          <w:lang w:val="fr-FR"/>
        </w:rPr>
        <w:t xml:space="preserve"> des centres d</w:t>
      </w:r>
      <w:r w:rsidR="00DB6EAF" w:rsidRPr="001C7B59">
        <w:rPr>
          <w:lang w:val="fr-FR"/>
        </w:rPr>
        <w:t>’</w:t>
      </w:r>
      <w:r w:rsidR="004432C5" w:rsidRPr="001C7B59">
        <w:rPr>
          <w:lang w:val="fr-FR"/>
        </w:rPr>
        <w:t>alphabétisation</w:t>
      </w:r>
    </w:p>
    <w:p w:rsidR="00963A71" w:rsidRPr="00963A71" w:rsidRDefault="00963A71" w:rsidP="00963A71">
      <w:pPr>
        <w:pStyle w:val="SingleTxt"/>
        <w:spacing w:after="0" w:line="120" w:lineRule="exact"/>
        <w:rPr>
          <w:sz w:val="10"/>
          <w:lang w:val="fr-FR"/>
        </w:rPr>
      </w:pPr>
    </w:p>
    <w:p w:rsidR="00963A71" w:rsidRPr="00963A71" w:rsidRDefault="00963A71" w:rsidP="00963A71">
      <w:pPr>
        <w:pStyle w:val="SingleTxt"/>
        <w:spacing w:after="0" w:line="120" w:lineRule="exact"/>
        <w:rPr>
          <w:sz w:val="10"/>
          <w:lang w:val="fr-FR"/>
        </w:rPr>
      </w:pPr>
    </w:p>
    <w:tbl>
      <w:tblPr>
        <w:tblW w:w="7353" w:type="dxa"/>
        <w:tblInd w:w="1242" w:type="dxa"/>
        <w:tblCellMar>
          <w:left w:w="0" w:type="dxa"/>
          <w:right w:w="0" w:type="dxa"/>
        </w:tblCellMar>
        <w:tblLook w:val="04A0" w:firstRow="1" w:lastRow="0" w:firstColumn="1" w:lastColumn="0" w:noHBand="0" w:noVBand="1"/>
      </w:tblPr>
      <w:tblGrid>
        <w:gridCol w:w="1718"/>
        <w:gridCol w:w="1772"/>
        <w:gridCol w:w="1853"/>
        <w:gridCol w:w="2010"/>
      </w:tblGrid>
      <w:tr w:rsidR="00963A71" w:rsidRPr="007A12D3" w:rsidTr="00963A71">
        <w:trPr>
          <w:trHeight w:val="240"/>
          <w:tblHeader/>
        </w:trPr>
        <w:tc>
          <w:tcPr>
            <w:tcW w:w="1168" w:type="pct"/>
            <w:vMerge w:val="restart"/>
            <w:tcBorders>
              <w:top w:val="single" w:sz="4" w:space="0" w:color="auto"/>
            </w:tcBorders>
            <w:shd w:val="clear" w:color="auto" w:fill="auto"/>
            <w:vAlign w:val="bottom"/>
          </w:tcPr>
          <w:p w:rsidR="00963A71" w:rsidRPr="007A12D3" w:rsidRDefault="00963A71" w:rsidP="00DD7DAB">
            <w:pPr>
              <w:pStyle w:val="SingleTxtG"/>
              <w:spacing w:before="80" w:after="80" w:line="160" w:lineRule="exact"/>
              <w:ind w:left="0" w:right="40"/>
              <w:jc w:val="left"/>
              <w:rPr>
                <w:rFonts w:ascii="Times New Roman Italic" w:hAnsi="Times New Roman Italic"/>
                <w:bCs/>
                <w:i/>
                <w:spacing w:val="4"/>
                <w:w w:val="103"/>
                <w:sz w:val="14"/>
                <w:szCs w:val="14"/>
                <w:lang w:val="fr-FR"/>
              </w:rPr>
            </w:pPr>
            <w:r w:rsidRPr="007A12D3">
              <w:rPr>
                <w:rFonts w:ascii="Times New Roman Italic" w:hAnsi="Times New Roman Italic"/>
                <w:bCs/>
                <w:i/>
                <w:spacing w:val="4"/>
                <w:w w:val="103"/>
                <w:sz w:val="14"/>
                <w:szCs w:val="14"/>
                <w:lang w:val="fr-FR"/>
              </w:rPr>
              <w:t>Année</w:t>
            </w:r>
          </w:p>
        </w:tc>
        <w:tc>
          <w:tcPr>
            <w:tcW w:w="1205" w:type="pct"/>
            <w:vMerge w:val="restart"/>
            <w:tcBorders>
              <w:top w:val="single" w:sz="4" w:space="0" w:color="auto"/>
            </w:tcBorders>
            <w:shd w:val="clear" w:color="auto" w:fill="auto"/>
            <w:vAlign w:val="bottom"/>
          </w:tcPr>
          <w:p w:rsidR="00963A71" w:rsidRPr="007A12D3" w:rsidRDefault="00963A71" w:rsidP="00DD7DAB">
            <w:pPr>
              <w:pStyle w:val="SingleTxtG"/>
              <w:spacing w:before="80" w:after="80" w:line="160" w:lineRule="exact"/>
              <w:ind w:left="144" w:right="43"/>
              <w:jc w:val="right"/>
              <w:rPr>
                <w:rFonts w:ascii="Times New Roman Italic" w:hAnsi="Times New Roman Italic"/>
                <w:bCs/>
                <w:i/>
                <w:spacing w:val="4"/>
                <w:w w:val="103"/>
                <w:sz w:val="14"/>
                <w:szCs w:val="14"/>
                <w:lang w:val="fr-FR"/>
              </w:rPr>
            </w:pPr>
            <w:r w:rsidRPr="007A12D3">
              <w:rPr>
                <w:rFonts w:ascii="Times New Roman Italic" w:hAnsi="Times New Roman Italic"/>
                <w:bCs/>
                <w:i/>
                <w:spacing w:val="4"/>
                <w:w w:val="103"/>
                <w:sz w:val="14"/>
                <w:szCs w:val="14"/>
                <w:lang w:val="fr-FR"/>
              </w:rPr>
              <w:t>Total</w:t>
            </w:r>
          </w:p>
        </w:tc>
        <w:tc>
          <w:tcPr>
            <w:tcW w:w="2627" w:type="pct"/>
            <w:gridSpan w:val="2"/>
            <w:tcBorders>
              <w:top w:val="single" w:sz="4" w:space="0" w:color="auto"/>
              <w:bottom w:val="single" w:sz="4" w:space="0" w:color="auto"/>
            </w:tcBorders>
            <w:shd w:val="clear" w:color="auto" w:fill="auto"/>
            <w:vAlign w:val="bottom"/>
          </w:tcPr>
          <w:p w:rsidR="00963A71" w:rsidRPr="007A12D3" w:rsidRDefault="00963A71" w:rsidP="00963A71">
            <w:pPr>
              <w:pStyle w:val="SingleTxtG"/>
              <w:spacing w:before="80" w:after="80" w:line="160" w:lineRule="exact"/>
              <w:ind w:left="144" w:right="43"/>
              <w:jc w:val="center"/>
              <w:rPr>
                <w:rFonts w:ascii="Times New Roman Italic" w:hAnsi="Times New Roman Italic"/>
                <w:bCs/>
                <w:i/>
                <w:spacing w:val="4"/>
                <w:w w:val="103"/>
                <w:sz w:val="14"/>
                <w:szCs w:val="14"/>
                <w:lang w:val="fr-FR"/>
              </w:rPr>
            </w:pPr>
            <w:r w:rsidRPr="007A12D3">
              <w:rPr>
                <w:rFonts w:ascii="Times New Roman Italic" w:hAnsi="Times New Roman Italic"/>
                <w:bCs/>
                <w:i/>
                <w:spacing w:val="4"/>
                <w:w w:val="103"/>
                <w:sz w:val="14"/>
                <w:szCs w:val="14"/>
                <w:lang w:val="fr-FR"/>
              </w:rPr>
              <w:t>Zone</w:t>
            </w:r>
          </w:p>
        </w:tc>
      </w:tr>
      <w:tr w:rsidR="00963A71" w:rsidRPr="007A12D3" w:rsidTr="00963A71">
        <w:trPr>
          <w:trHeight w:val="240"/>
          <w:tblHeader/>
        </w:trPr>
        <w:tc>
          <w:tcPr>
            <w:tcW w:w="1168" w:type="pct"/>
            <w:vMerge/>
            <w:tcBorders>
              <w:bottom w:val="single" w:sz="12" w:space="0" w:color="auto"/>
            </w:tcBorders>
            <w:shd w:val="clear" w:color="auto" w:fill="auto"/>
            <w:vAlign w:val="bottom"/>
          </w:tcPr>
          <w:p w:rsidR="00963A71" w:rsidRPr="007A12D3" w:rsidRDefault="00963A71" w:rsidP="00DD7DAB">
            <w:pPr>
              <w:pStyle w:val="SingleTxtG"/>
              <w:spacing w:before="80" w:after="80" w:line="160" w:lineRule="exact"/>
              <w:ind w:left="0" w:right="40"/>
              <w:jc w:val="left"/>
              <w:rPr>
                <w:rFonts w:ascii="Times New Roman Italic" w:hAnsi="Times New Roman Italic"/>
                <w:bCs/>
                <w:spacing w:val="4"/>
                <w:w w:val="103"/>
                <w:sz w:val="14"/>
                <w:szCs w:val="14"/>
                <w:lang w:val="fr-FR"/>
              </w:rPr>
            </w:pPr>
          </w:p>
        </w:tc>
        <w:tc>
          <w:tcPr>
            <w:tcW w:w="1205" w:type="pct"/>
            <w:vMerge/>
            <w:tcBorders>
              <w:bottom w:val="single" w:sz="12" w:space="0" w:color="auto"/>
            </w:tcBorders>
            <w:shd w:val="clear" w:color="auto" w:fill="auto"/>
            <w:vAlign w:val="bottom"/>
          </w:tcPr>
          <w:p w:rsidR="00963A71" w:rsidRPr="007A12D3" w:rsidRDefault="00963A71" w:rsidP="00DD7DAB">
            <w:pPr>
              <w:pStyle w:val="SingleTxtG"/>
              <w:spacing w:before="80" w:after="80" w:line="160" w:lineRule="exact"/>
              <w:ind w:left="113" w:right="40"/>
              <w:jc w:val="right"/>
              <w:rPr>
                <w:rFonts w:ascii="Times New Roman Italic" w:hAnsi="Times New Roman Italic"/>
                <w:bCs/>
                <w:spacing w:val="4"/>
                <w:w w:val="103"/>
                <w:sz w:val="14"/>
                <w:szCs w:val="14"/>
                <w:lang w:val="fr-FR"/>
              </w:rPr>
            </w:pPr>
          </w:p>
        </w:tc>
        <w:tc>
          <w:tcPr>
            <w:tcW w:w="1260" w:type="pct"/>
            <w:tcBorders>
              <w:top w:val="single" w:sz="4" w:space="0" w:color="auto"/>
              <w:bottom w:val="single" w:sz="12" w:space="0" w:color="auto"/>
            </w:tcBorders>
            <w:shd w:val="clear" w:color="auto" w:fill="auto"/>
            <w:vAlign w:val="bottom"/>
          </w:tcPr>
          <w:p w:rsidR="00963A71" w:rsidRPr="007A12D3" w:rsidRDefault="00963A71" w:rsidP="00DD7DAB">
            <w:pPr>
              <w:pStyle w:val="SingleTxtG"/>
              <w:spacing w:before="80" w:after="80" w:line="160" w:lineRule="exact"/>
              <w:ind w:left="113" w:right="40"/>
              <w:jc w:val="right"/>
              <w:rPr>
                <w:rFonts w:ascii="Times New Roman Italic" w:hAnsi="Times New Roman Italic"/>
                <w:bCs/>
                <w:i/>
                <w:spacing w:val="4"/>
                <w:w w:val="103"/>
                <w:sz w:val="14"/>
                <w:szCs w:val="14"/>
                <w:lang w:val="fr-FR"/>
              </w:rPr>
            </w:pPr>
            <w:r w:rsidRPr="007A12D3">
              <w:rPr>
                <w:rFonts w:ascii="Times New Roman Italic" w:hAnsi="Times New Roman Italic"/>
                <w:bCs/>
                <w:i/>
                <w:spacing w:val="4"/>
                <w:w w:val="103"/>
                <w:sz w:val="14"/>
                <w:szCs w:val="14"/>
                <w:lang w:val="fr-FR"/>
              </w:rPr>
              <w:t>Rurale</w:t>
            </w:r>
          </w:p>
        </w:tc>
        <w:tc>
          <w:tcPr>
            <w:tcW w:w="1367" w:type="pct"/>
            <w:tcBorders>
              <w:top w:val="single" w:sz="4" w:space="0" w:color="auto"/>
              <w:bottom w:val="single" w:sz="12" w:space="0" w:color="auto"/>
            </w:tcBorders>
            <w:shd w:val="clear" w:color="auto" w:fill="auto"/>
            <w:vAlign w:val="bottom"/>
          </w:tcPr>
          <w:p w:rsidR="00963A71" w:rsidRPr="007A12D3" w:rsidRDefault="00963A71" w:rsidP="00DD7DAB">
            <w:pPr>
              <w:pStyle w:val="SingleTxtG"/>
              <w:spacing w:before="80" w:after="80" w:line="160" w:lineRule="exact"/>
              <w:ind w:left="113" w:right="40"/>
              <w:jc w:val="right"/>
              <w:rPr>
                <w:rFonts w:ascii="Times New Roman Italic" w:hAnsi="Times New Roman Italic"/>
                <w:bCs/>
                <w:i/>
                <w:spacing w:val="4"/>
                <w:w w:val="103"/>
                <w:sz w:val="14"/>
                <w:szCs w:val="14"/>
                <w:lang w:val="fr-FR"/>
              </w:rPr>
            </w:pPr>
            <w:r w:rsidRPr="007A12D3">
              <w:rPr>
                <w:rFonts w:ascii="Times New Roman Italic" w:hAnsi="Times New Roman Italic"/>
                <w:bCs/>
                <w:i/>
                <w:spacing w:val="4"/>
                <w:w w:val="103"/>
                <w:sz w:val="14"/>
                <w:szCs w:val="14"/>
                <w:lang w:val="fr-FR"/>
              </w:rPr>
              <w:t>Urbaine</w:t>
            </w:r>
          </w:p>
        </w:tc>
      </w:tr>
      <w:tr w:rsidR="00963A71" w:rsidRPr="00B4237B" w:rsidTr="00963A71">
        <w:trPr>
          <w:trHeight w:hRule="exact" w:val="115"/>
          <w:tblHeader/>
        </w:trPr>
        <w:tc>
          <w:tcPr>
            <w:tcW w:w="1168" w:type="pct"/>
            <w:tcBorders>
              <w:top w:val="single" w:sz="12" w:space="0" w:color="auto"/>
            </w:tcBorders>
            <w:shd w:val="clear" w:color="auto" w:fill="auto"/>
            <w:vAlign w:val="bottom"/>
          </w:tcPr>
          <w:p w:rsidR="00963A71" w:rsidRPr="00B4237B" w:rsidRDefault="00963A71" w:rsidP="00DD7DAB">
            <w:pPr>
              <w:pStyle w:val="SingleTxtG"/>
              <w:spacing w:before="40" w:after="40" w:line="210" w:lineRule="exact"/>
              <w:ind w:left="0" w:right="40"/>
              <w:jc w:val="left"/>
              <w:rPr>
                <w:bCs/>
                <w:sz w:val="17"/>
                <w:szCs w:val="24"/>
                <w:lang w:val="fr-FR"/>
              </w:rPr>
            </w:pPr>
          </w:p>
        </w:tc>
        <w:tc>
          <w:tcPr>
            <w:tcW w:w="1205" w:type="pct"/>
            <w:tcBorders>
              <w:top w:val="single" w:sz="12" w:space="0" w:color="auto"/>
            </w:tcBorders>
            <w:shd w:val="clear" w:color="auto" w:fill="auto"/>
            <w:vAlign w:val="bottom"/>
          </w:tcPr>
          <w:p w:rsidR="00963A71" w:rsidRPr="00B4237B" w:rsidRDefault="00963A71" w:rsidP="00DD7DAB">
            <w:pPr>
              <w:pStyle w:val="SingleTxtG"/>
              <w:spacing w:before="40" w:after="40" w:line="210" w:lineRule="exact"/>
              <w:ind w:left="144" w:right="43"/>
              <w:jc w:val="right"/>
              <w:rPr>
                <w:bCs/>
                <w:sz w:val="17"/>
                <w:szCs w:val="24"/>
                <w:lang w:val="fr-FR"/>
              </w:rPr>
            </w:pPr>
          </w:p>
        </w:tc>
        <w:tc>
          <w:tcPr>
            <w:tcW w:w="1260" w:type="pct"/>
            <w:tcBorders>
              <w:top w:val="single" w:sz="12" w:space="0" w:color="auto"/>
            </w:tcBorders>
            <w:shd w:val="clear" w:color="auto" w:fill="auto"/>
            <w:vAlign w:val="bottom"/>
          </w:tcPr>
          <w:p w:rsidR="00963A71" w:rsidRPr="00B4237B" w:rsidRDefault="00963A71" w:rsidP="00DD7DAB">
            <w:pPr>
              <w:pStyle w:val="SingleTxtG"/>
              <w:spacing w:before="40" w:after="40" w:line="210" w:lineRule="exact"/>
              <w:ind w:left="144" w:right="43"/>
              <w:jc w:val="right"/>
              <w:rPr>
                <w:bCs/>
                <w:sz w:val="17"/>
                <w:szCs w:val="24"/>
                <w:lang w:val="fr-FR"/>
              </w:rPr>
            </w:pPr>
          </w:p>
        </w:tc>
        <w:tc>
          <w:tcPr>
            <w:tcW w:w="1367" w:type="pct"/>
            <w:tcBorders>
              <w:top w:val="single" w:sz="12" w:space="0" w:color="auto"/>
            </w:tcBorders>
            <w:shd w:val="clear" w:color="auto" w:fill="auto"/>
            <w:vAlign w:val="bottom"/>
          </w:tcPr>
          <w:p w:rsidR="00963A71" w:rsidRPr="00B4237B" w:rsidRDefault="00963A71" w:rsidP="00DD7DAB">
            <w:pPr>
              <w:pStyle w:val="SingleTxtG"/>
              <w:spacing w:before="40" w:after="40" w:line="210" w:lineRule="exact"/>
              <w:ind w:left="144" w:right="43"/>
              <w:jc w:val="right"/>
              <w:rPr>
                <w:bCs/>
                <w:sz w:val="17"/>
                <w:szCs w:val="24"/>
                <w:lang w:val="fr-FR"/>
              </w:rPr>
            </w:pPr>
          </w:p>
        </w:tc>
      </w:tr>
      <w:tr w:rsidR="00963A71" w:rsidRPr="00B4237B" w:rsidTr="00963A71">
        <w:trPr>
          <w:trHeight w:val="240"/>
        </w:trPr>
        <w:tc>
          <w:tcPr>
            <w:tcW w:w="1168"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2007-2008</w:t>
            </w:r>
          </w:p>
        </w:tc>
        <w:tc>
          <w:tcPr>
            <w:tcW w:w="1205"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2105</w:t>
            </w:r>
          </w:p>
        </w:tc>
        <w:tc>
          <w:tcPr>
            <w:tcW w:w="1260"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1906</w:t>
            </w:r>
          </w:p>
        </w:tc>
        <w:tc>
          <w:tcPr>
            <w:tcW w:w="1367"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199</w:t>
            </w:r>
          </w:p>
        </w:tc>
      </w:tr>
      <w:tr w:rsidR="00963A71" w:rsidRPr="00B4237B" w:rsidTr="00963A71">
        <w:trPr>
          <w:trHeight w:val="240"/>
        </w:trPr>
        <w:tc>
          <w:tcPr>
            <w:tcW w:w="1168"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2008-2009</w:t>
            </w:r>
          </w:p>
        </w:tc>
        <w:tc>
          <w:tcPr>
            <w:tcW w:w="1205"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2399</w:t>
            </w:r>
          </w:p>
        </w:tc>
        <w:tc>
          <w:tcPr>
            <w:tcW w:w="1260"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2178</w:t>
            </w:r>
          </w:p>
        </w:tc>
        <w:tc>
          <w:tcPr>
            <w:tcW w:w="1367"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221</w:t>
            </w:r>
          </w:p>
        </w:tc>
      </w:tr>
      <w:tr w:rsidR="00963A71" w:rsidRPr="00B4237B" w:rsidTr="00963A71">
        <w:trPr>
          <w:trHeight w:val="240"/>
        </w:trPr>
        <w:tc>
          <w:tcPr>
            <w:tcW w:w="1168"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2009-2010</w:t>
            </w:r>
          </w:p>
        </w:tc>
        <w:tc>
          <w:tcPr>
            <w:tcW w:w="1205"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2313</w:t>
            </w:r>
          </w:p>
        </w:tc>
        <w:tc>
          <w:tcPr>
            <w:tcW w:w="1260"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2076</w:t>
            </w:r>
          </w:p>
        </w:tc>
        <w:tc>
          <w:tcPr>
            <w:tcW w:w="1367" w:type="pct"/>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237</w:t>
            </w:r>
          </w:p>
        </w:tc>
      </w:tr>
      <w:tr w:rsidR="00963A71" w:rsidRPr="00B4237B" w:rsidTr="00963A71">
        <w:trPr>
          <w:trHeight w:val="240"/>
        </w:trPr>
        <w:tc>
          <w:tcPr>
            <w:tcW w:w="1168" w:type="pct"/>
            <w:tcBorders>
              <w:bottom w:val="single" w:sz="12" w:space="0" w:color="auto"/>
            </w:tcBorders>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0" w:right="40"/>
              <w:jc w:val="left"/>
              <w:rPr>
                <w:bCs/>
                <w:sz w:val="17"/>
                <w:szCs w:val="24"/>
                <w:lang w:val="fr-FR"/>
              </w:rPr>
            </w:pPr>
            <w:r w:rsidRPr="00B4237B">
              <w:rPr>
                <w:bCs/>
                <w:sz w:val="17"/>
                <w:szCs w:val="24"/>
                <w:lang w:val="fr-FR"/>
              </w:rPr>
              <w:t>2010-2011</w:t>
            </w:r>
          </w:p>
        </w:tc>
        <w:tc>
          <w:tcPr>
            <w:tcW w:w="1205" w:type="pct"/>
            <w:tcBorders>
              <w:bottom w:val="single" w:sz="12" w:space="0" w:color="auto"/>
            </w:tcBorders>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2038</w:t>
            </w:r>
          </w:p>
        </w:tc>
        <w:tc>
          <w:tcPr>
            <w:tcW w:w="1260" w:type="pct"/>
            <w:tcBorders>
              <w:bottom w:val="single" w:sz="12" w:space="0" w:color="auto"/>
            </w:tcBorders>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1847</w:t>
            </w:r>
          </w:p>
        </w:tc>
        <w:tc>
          <w:tcPr>
            <w:tcW w:w="1367" w:type="pct"/>
            <w:tcBorders>
              <w:bottom w:val="single" w:sz="12" w:space="0" w:color="auto"/>
            </w:tcBorders>
            <w:shd w:val="clear" w:color="auto" w:fill="auto"/>
            <w:vAlign w:val="bottom"/>
          </w:tcPr>
          <w:p w:rsidR="00963A71" w:rsidRPr="00B4237B" w:rsidRDefault="00963A71" w:rsidP="00DD7DAB">
            <w:pPr>
              <w:pStyle w:val="SingleTxtG"/>
              <w:tabs>
                <w:tab w:val="left" w:pos="288"/>
                <w:tab w:val="left" w:pos="576"/>
                <w:tab w:val="left" w:pos="864"/>
                <w:tab w:val="left" w:pos="1152"/>
              </w:tabs>
              <w:spacing w:before="40" w:after="40" w:line="210" w:lineRule="exact"/>
              <w:ind w:left="144" w:right="43"/>
              <w:jc w:val="right"/>
              <w:rPr>
                <w:bCs/>
                <w:sz w:val="17"/>
                <w:szCs w:val="24"/>
                <w:lang w:val="fr-FR"/>
              </w:rPr>
            </w:pPr>
            <w:r w:rsidRPr="00B4237B">
              <w:rPr>
                <w:bCs/>
                <w:sz w:val="17"/>
                <w:szCs w:val="24"/>
                <w:lang w:val="fr-FR"/>
              </w:rPr>
              <w:t>191</w:t>
            </w:r>
          </w:p>
        </w:tc>
      </w:tr>
    </w:tbl>
    <w:p w:rsidR="00963A71" w:rsidRPr="00963A71" w:rsidRDefault="00963A71" w:rsidP="00963A71">
      <w:pPr>
        <w:pStyle w:val="SingleTxt"/>
        <w:spacing w:after="0" w:line="120" w:lineRule="exact"/>
        <w:rPr>
          <w:sz w:val="10"/>
          <w:lang w:val="fr-FR"/>
        </w:rPr>
      </w:pPr>
    </w:p>
    <w:p w:rsidR="004432C5" w:rsidRDefault="004432C5" w:rsidP="00963A71">
      <w:pPr>
        <w:pStyle w:val="FootnoteText"/>
        <w:tabs>
          <w:tab w:val="right" w:pos="1476"/>
          <w:tab w:val="left" w:pos="1548"/>
          <w:tab w:val="right" w:pos="1836"/>
          <w:tab w:val="left" w:pos="1908"/>
        </w:tabs>
        <w:ind w:left="1548" w:right="1267" w:hanging="288"/>
        <w:rPr>
          <w:lang w:val="fr-FR"/>
        </w:rPr>
      </w:pPr>
      <w:r w:rsidRPr="00963A71">
        <w:rPr>
          <w:i/>
          <w:lang w:val="fr-FR"/>
        </w:rPr>
        <w:t>Source</w:t>
      </w:r>
      <w:r w:rsidR="00DB6EAF" w:rsidRPr="001C7B59">
        <w:rPr>
          <w:b/>
          <w:lang w:val="fr-FR"/>
        </w:rPr>
        <w:t> </w:t>
      </w:r>
      <w:r w:rsidR="00907513" w:rsidRPr="00907513">
        <w:rPr>
          <w:lang w:val="fr-FR"/>
        </w:rPr>
        <w:t>:</w:t>
      </w:r>
      <w:r w:rsidRPr="001C7B59">
        <w:rPr>
          <w:lang w:val="fr-FR"/>
        </w:rPr>
        <w:t xml:space="preserve"> Statistiques de l</w:t>
      </w:r>
      <w:r w:rsidR="00DB6EAF" w:rsidRPr="001C7B59">
        <w:rPr>
          <w:lang w:val="fr-FR"/>
        </w:rPr>
        <w:t>’</w:t>
      </w:r>
      <w:r w:rsidRPr="001C7B59">
        <w:rPr>
          <w:lang w:val="fr-FR"/>
        </w:rPr>
        <w:t>éducation de base, annuaire de 2011-2012, MEN</w:t>
      </w:r>
      <w:r w:rsidR="00963A71">
        <w:rPr>
          <w:lang w:val="fr-FR"/>
        </w:rPr>
        <w:t>.</w:t>
      </w:r>
    </w:p>
    <w:p w:rsidR="00963A71" w:rsidRPr="00963A71" w:rsidRDefault="00963A71" w:rsidP="00963A71">
      <w:pPr>
        <w:pStyle w:val="SingleTxt"/>
        <w:spacing w:after="0" w:line="120" w:lineRule="exact"/>
        <w:rPr>
          <w:bCs/>
          <w:i/>
          <w:sz w:val="10"/>
          <w:lang w:val="fr-FR"/>
        </w:rPr>
      </w:pPr>
    </w:p>
    <w:p w:rsidR="00963A71" w:rsidRPr="00963A71" w:rsidRDefault="00963A71" w:rsidP="00963A71">
      <w:pPr>
        <w:pStyle w:val="SingleTxt"/>
        <w:spacing w:after="0" w:line="120" w:lineRule="exact"/>
        <w:rPr>
          <w:bCs/>
          <w:i/>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qualité du sous-secteur alphabétisation sera appréciée à travers le taux de réussite au test final et le taux d</w:t>
      </w:r>
      <w:r w:rsidR="00DB6EAF" w:rsidRPr="001C7B59">
        <w:rPr>
          <w:lang w:val="fr-FR"/>
        </w:rPr>
        <w:t>’</w:t>
      </w:r>
      <w:r w:rsidRPr="001C7B59">
        <w:rPr>
          <w:lang w:val="fr-FR"/>
        </w:rPr>
        <w:t>abandon. Sur la période 2003-2010, sur 335 595 adultes testés, 179 640 ont été déclarés alphabétisés en fin de campagne</w:t>
      </w:r>
      <w:r w:rsidR="00DB6EAF" w:rsidRPr="001C7B59">
        <w:rPr>
          <w:lang w:val="fr-FR"/>
        </w:rPr>
        <w:t>;</w:t>
      </w:r>
      <w:r w:rsidRPr="001C7B59">
        <w:rPr>
          <w:lang w:val="fr-FR"/>
        </w:rPr>
        <w:t xml:space="preserve"> ce qui représente un taux global de réussite de 53,53</w:t>
      </w:r>
      <w:r w:rsidR="007B382B">
        <w:rPr>
          <w:lang w:val="fr-FR"/>
        </w:rPr>
        <w:t> %</w:t>
      </w:r>
      <w:r w:rsidRPr="001C7B59">
        <w:rPr>
          <w:lang w:val="fr-FR"/>
        </w:rPr>
        <w:t>. Les femmes, avec 114614 alphabétisées, enregistrent un taux de réussite de 50</w:t>
      </w:r>
      <w:r w:rsidR="007B382B">
        <w:rPr>
          <w:lang w:val="fr-FR"/>
        </w:rPr>
        <w:t> %</w:t>
      </w:r>
      <w:r w:rsidRPr="001C7B59">
        <w:rPr>
          <w:lang w:val="fr-FR"/>
        </w:rPr>
        <w:t>, ce qui est inférieur aux résultats obtenus par les hommes (60</w:t>
      </w:r>
      <w:r w:rsidR="007B382B">
        <w:rPr>
          <w:lang w:val="fr-FR"/>
        </w:rPr>
        <w:t> %</w:t>
      </w:r>
      <w:r w:rsidRPr="001C7B59">
        <w:rPr>
          <w:lang w:val="fr-FR"/>
        </w:rPr>
        <w:t>). En plus du nombre important des apprenants qui abandonnent avant qu</w:t>
      </w:r>
      <w:r w:rsidR="00DB6EAF" w:rsidRPr="001C7B59">
        <w:rPr>
          <w:lang w:val="fr-FR"/>
        </w:rPr>
        <w:t>’</w:t>
      </w:r>
      <w:r w:rsidRPr="001C7B59">
        <w:rPr>
          <w:lang w:val="fr-FR"/>
        </w:rPr>
        <w:t>on évalue leur niveau, tous ceux qui restent jusqu</w:t>
      </w:r>
      <w:r w:rsidR="00DB6EAF" w:rsidRPr="001C7B59">
        <w:rPr>
          <w:lang w:val="fr-FR"/>
        </w:rPr>
        <w:t>’</w:t>
      </w:r>
      <w:r w:rsidRPr="001C7B59">
        <w:rPr>
          <w:lang w:val="fr-FR"/>
        </w:rPr>
        <w:t>en fin de campagne ne deviennent pas alphabétisés car ils ne réussissent pas au test final. En 2010-2011, ce taux est de 52</w:t>
      </w:r>
      <w:r w:rsidR="007B382B">
        <w:rPr>
          <w:lang w:val="fr-FR"/>
        </w:rPr>
        <w:t> %</w:t>
      </w:r>
      <w:r w:rsidRPr="001C7B59">
        <w:rPr>
          <w:lang w:val="fr-FR"/>
        </w:rPr>
        <w:t xml:space="preserve"> contre 60</w:t>
      </w:r>
      <w:r w:rsidR="007B382B">
        <w:rPr>
          <w:lang w:val="fr-FR"/>
        </w:rPr>
        <w:t> %</w:t>
      </w:r>
      <w:r w:rsidRPr="001C7B59">
        <w:rPr>
          <w:lang w:val="fr-FR"/>
        </w:rPr>
        <w:t xml:space="preserve"> en 2008-2009.</w:t>
      </w:r>
    </w:p>
    <w:p w:rsidR="00963A71" w:rsidRPr="00963A71" w:rsidRDefault="00963A71" w:rsidP="00963A71">
      <w:pPr>
        <w:pStyle w:val="SingleTxt"/>
        <w:spacing w:after="0" w:line="120" w:lineRule="exact"/>
        <w:rPr>
          <w:bCs/>
          <w:i/>
          <w:sz w:val="10"/>
          <w:lang w:val="fr-FR"/>
        </w:rPr>
      </w:pPr>
    </w:p>
    <w:p w:rsidR="004432C5" w:rsidRDefault="00963A71" w:rsidP="00963A7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Domaine de la santé</w:t>
      </w:r>
    </w:p>
    <w:p w:rsidR="00963A71" w:rsidRPr="00963A71" w:rsidRDefault="00963A71" w:rsidP="00963A71">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008E5553">
        <w:rPr>
          <w:lang w:val="fr-FR"/>
        </w:rPr>
        <w:t>État</w:t>
      </w:r>
      <w:r w:rsidRPr="001C7B59">
        <w:rPr>
          <w:lang w:val="fr-FR"/>
        </w:rPr>
        <w:t>, avec l</w:t>
      </w:r>
      <w:r w:rsidR="00DB6EAF" w:rsidRPr="001C7B59">
        <w:rPr>
          <w:lang w:val="fr-FR"/>
        </w:rPr>
        <w:t>’</w:t>
      </w:r>
      <w:r w:rsidRPr="001C7B59">
        <w:rPr>
          <w:lang w:val="fr-FR"/>
        </w:rPr>
        <w:t>appui des partenaires, continue de fournir un effort très important pour l</w:t>
      </w:r>
      <w:r w:rsidR="00DB6EAF" w:rsidRPr="001C7B59">
        <w:rPr>
          <w:lang w:val="fr-FR"/>
        </w:rPr>
        <w:t>’</w:t>
      </w:r>
      <w:r w:rsidRPr="001C7B59">
        <w:rPr>
          <w:lang w:val="fr-FR"/>
        </w:rPr>
        <w:t>amélioration de la santé de la population en général et celle des femmes et des enfants en particulier.</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Le Niger poursuit la mise en œuvre du Plan de </w:t>
      </w:r>
      <w:r w:rsidR="00D60176" w:rsidRPr="001C7B59">
        <w:rPr>
          <w:lang w:val="fr-FR"/>
        </w:rPr>
        <w:t>développement</w:t>
      </w:r>
      <w:r w:rsidRPr="001C7B59">
        <w:rPr>
          <w:lang w:val="fr-FR"/>
        </w:rPr>
        <w:t xml:space="preserve"> </w:t>
      </w:r>
      <w:r w:rsidR="00D60176" w:rsidRPr="001C7B59">
        <w:rPr>
          <w:lang w:val="fr-FR"/>
        </w:rPr>
        <w:t>sanitaire</w:t>
      </w:r>
      <w:r w:rsidRPr="001C7B59">
        <w:rPr>
          <w:lang w:val="fr-FR"/>
        </w:rPr>
        <w:t xml:space="preserve"> (PDS) dont la phase 2005-2010</w:t>
      </w:r>
      <w:r w:rsidR="001C7B59" w:rsidRPr="001C7B59">
        <w:rPr>
          <w:lang w:val="fr-FR"/>
        </w:rPr>
        <w:t xml:space="preserve"> </w:t>
      </w:r>
      <w:r w:rsidRPr="001C7B59">
        <w:rPr>
          <w:lang w:val="fr-FR"/>
        </w:rPr>
        <w:t>a été évaluée et une nouvelle phase 2011-2015 est en cours de mise en œuvre. La mise en œuvre du PDS repose sur des principes et des valeurs parmi lesquels le droit à la santé pour tous que le PDS 2011-2015 aidera à matérialiser notamment par l</w:t>
      </w:r>
      <w:r w:rsidR="00DB6EAF" w:rsidRPr="001C7B59">
        <w:rPr>
          <w:lang w:val="fr-FR"/>
        </w:rPr>
        <w:t>’</w:t>
      </w:r>
      <w:r w:rsidRPr="001C7B59">
        <w:rPr>
          <w:lang w:val="fr-FR"/>
        </w:rPr>
        <w:t>accès aux soins de la grande majorité de la population, y compris des groupes sociaux les plus vulnérables et les plus démunis</w:t>
      </w:r>
      <w:r w:rsidR="001C7B59" w:rsidRPr="001C7B59">
        <w:rPr>
          <w:lang w:val="fr-FR"/>
        </w:rPr>
        <w:t xml:space="preserve"> </w:t>
      </w:r>
      <w:r w:rsidRPr="001C7B59">
        <w:rPr>
          <w:lang w:val="fr-FR"/>
        </w:rPr>
        <w:t>selon l</w:t>
      </w:r>
      <w:r w:rsidR="00DB6EAF" w:rsidRPr="001C7B59">
        <w:rPr>
          <w:lang w:val="fr-FR"/>
        </w:rPr>
        <w:t>’</w:t>
      </w:r>
      <w:r w:rsidR="00963A71">
        <w:rPr>
          <w:lang w:val="fr-FR"/>
        </w:rPr>
        <w:t>approche s</w:t>
      </w:r>
      <w:r w:rsidRPr="001C7B59">
        <w:rPr>
          <w:lang w:val="fr-FR"/>
        </w:rPr>
        <w:t xml:space="preserve">oins de </w:t>
      </w:r>
      <w:r w:rsidR="00D60176" w:rsidRPr="001C7B59">
        <w:rPr>
          <w:lang w:val="fr-FR"/>
        </w:rPr>
        <w:t>santé</w:t>
      </w:r>
      <w:r w:rsidRPr="001C7B59">
        <w:rPr>
          <w:lang w:val="fr-FR"/>
        </w:rPr>
        <w:t xml:space="preserve"> </w:t>
      </w:r>
      <w:r w:rsidR="00963A71">
        <w:rPr>
          <w:lang w:val="fr-FR"/>
        </w:rPr>
        <w:t>p</w:t>
      </w:r>
      <w:r w:rsidRPr="001C7B59">
        <w:rPr>
          <w:lang w:val="fr-FR"/>
        </w:rPr>
        <w:t>rimaires (SSP)</w:t>
      </w:r>
      <w:r w:rsidR="00DB6EAF" w:rsidRPr="001C7B59">
        <w:rPr>
          <w:lang w:val="fr-FR"/>
        </w:rPr>
        <w:t> :</w:t>
      </w:r>
    </w:p>
    <w:p w:rsidR="004432C5" w:rsidRPr="001C7B59" w:rsidRDefault="00963A71" w:rsidP="00963A71">
      <w:pPr>
        <w:pStyle w:val="SingleTxt"/>
        <w:tabs>
          <w:tab w:val="right" w:pos="1685"/>
        </w:tabs>
        <w:ind w:left="1742" w:hanging="475"/>
        <w:rPr>
          <w:lang w:val="fr-FR"/>
        </w:rPr>
      </w:pPr>
      <w:r>
        <w:rPr>
          <w:lang w:val="fr-FR"/>
        </w:rPr>
        <w:tab/>
        <w:t>•</w:t>
      </w:r>
      <w:r>
        <w:rPr>
          <w:lang w:val="fr-FR"/>
        </w:rPr>
        <w:tab/>
      </w:r>
      <w:r w:rsidR="004432C5" w:rsidRPr="001C7B59">
        <w:rPr>
          <w:lang w:val="fr-FR"/>
        </w:rPr>
        <w:t>Le renforcement des activités en matière de santé de la reproduction dans ses volets santé de la femme et de l</w:t>
      </w:r>
      <w:r w:rsidR="00DB6EAF" w:rsidRPr="001C7B59">
        <w:rPr>
          <w:lang w:val="fr-FR"/>
        </w:rPr>
        <w:t>’</w:t>
      </w:r>
      <w:r w:rsidR="004432C5" w:rsidRPr="001C7B59">
        <w:rPr>
          <w:lang w:val="fr-FR"/>
        </w:rPr>
        <w:t>enfant avec ses composantes</w:t>
      </w:r>
      <w:r w:rsidR="00DB6EAF" w:rsidRPr="001C7B59">
        <w:rPr>
          <w:lang w:val="fr-FR"/>
        </w:rPr>
        <w:t> :</w:t>
      </w:r>
      <w:r w:rsidR="004432C5" w:rsidRPr="001C7B59">
        <w:rPr>
          <w:lang w:val="fr-FR"/>
        </w:rPr>
        <w:t xml:space="preserve"> nutrition, consultations prénatales, planification familiale, prévention et lutte contre les IST/VIH/</w:t>
      </w:r>
      <w:r w:rsidR="001C7B59" w:rsidRPr="001C7B59">
        <w:rPr>
          <w:lang w:val="fr-FR"/>
        </w:rPr>
        <w:t>sida</w:t>
      </w:r>
      <w:r w:rsidR="004432C5" w:rsidRPr="001C7B59">
        <w:rPr>
          <w:lang w:val="fr-FR"/>
        </w:rPr>
        <w:t xml:space="preserve"> notamment en ce qui concerne la prévention de la transmission du VIH de la mère à l</w:t>
      </w:r>
      <w:r w:rsidR="00DB6EAF" w:rsidRPr="001C7B59">
        <w:rPr>
          <w:lang w:val="fr-FR"/>
        </w:rPr>
        <w:t>’</w:t>
      </w:r>
      <w:r w:rsidR="004432C5" w:rsidRPr="001C7B59">
        <w:rPr>
          <w:lang w:val="fr-FR"/>
        </w:rPr>
        <w:t>enfant</w:t>
      </w:r>
      <w:r w:rsidR="00DB6EAF" w:rsidRPr="001C7B59">
        <w:rPr>
          <w:lang w:val="fr-FR"/>
        </w:rPr>
        <w:t>;</w:t>
      </w:r>
    </w:p>
    <w:p w:rsidR="004432C5" w:rsidRPr="001C7B59" w:rsidRDefault="00963A71" w:rsidP="00963A71">
      <w:pPr>
        <w:pStyle w:val="SingleTxt"/>
        <w:tabs>
          <w:tab w:val="right" w:pos="1685"/>
        </w:tabs>
        <w:ind w:left="1742" w:hanging="475"/>
        <w:rPr>
          <w:lang w:val="fr-FR"/>
        </w:rPr>
      </w:pPr>
      <w:r>
        <w:rPr>
          <w:lang w:val="fr-FR"/>
        </w:rPr>
        <w:tab/>
        <w:t>•</w:t>
      </w:r>
      <w:r>
        <w:rPr>
          <w:lang w:val="fr-FR"/>
        </w:rPr>
        <w:tab/>
      </w:r>
      <w:r w:rsidR="004432C5" w:rsidRPr="001C7B59">
        <w:rPr>
          <w:lang w:val="fr-FR"/>
        </w:rPr>
        <w:t xml:space="preserve">La loi 2006-16 du 21 juin 2006 sur la </w:t>
      </w:r>
      <w:r w:rsidR="00D60176" w:rsidRPr="001C7B59">
        <w:rPr>
          <w:lang w:val="fr-FR"/>
        </w:rPr>
        <w:t>santé</w:t>
      </w:r>
      <w:r w:rsidR="004432C5" w:rsidRPr="001C7B59">
        <w:rPr>
          <w:lang w:val="fr-FR"/>
        </w:rPr>
        <w:t xml:space="preserve"> de la </w:t>
      </w:r>
      <w:r w:rsidR="001C7B59" w:rsidRPr="001C7B59">
        <w:rPr>
          <w:lang w:val="fr-FR"/>
        </w:rPr>
        <w:t>reproduction</w:t>
      </w:r>
      <w:r w:rsidR="004432C5" w:rsidRPr="001C7B59">
        <w:rPr>
          <w:lang w:val="fr-FR"/>
        </w:rPr>
        <w:t xml:space="preserve"> (SR) à travers son décret d</w:t>
      </w:r>
      <w:r w:rsidR="00DB6EAF" w:rsidRPr="001C7B59">
        <w:rPr>
          <w:lang w:val="fr-FR"/>
        </w:rPr>
        <w:t>’</w:t>
      </w:r>
      <w:r w:rsidR="004432C5" w:rsidRPr="001C7B59">
        <w:rPr>
          <w:lang w:val="fr-FR"/>
        </w:rPr>
        <w:t>application autorise la procréation médicale assistée et l</w:t>
      </w:r>
      <w:r w:rsidR="00DB6EAF" w:rsidRPr="001C7B59">
        <w:rPr>
          <w:lang w:val="fr-FR"/>
        </w:rPr>
        <w:t>’</w:t>
      </w:r>
      <w:r w:rsidR="004432C5" w:rsidRPr="001C7B59">
        <w:rPr>
          <w:lang w:val="fr-FR"/>
        </w:rPr>
        <w:t>avortement en cas de viol et d</w:t>
      </w:r>
      <w:r w:rsidR="00DB6EAF" w:rsidRPr="001C7B59">
        <w:rPr>
          <w:lang w:val="fr-FR"/>
        </w:rPr>
        <w:t>’</w:t>
      </w:r>
      <w:r w:rsidR="004432C5" w:rsidRPr="001C7B59">
        <w:rPr>
          <w:lang w:val="fr-FR"/>
        </w:rPr>
        <w:t>inceste</w:t>
      </w:r>
      <w:r w:rsidR="00DB6EAF" w:rsidRPr="001C7B59">
        <w:rPr>
          <w:lang w:val="fr-FR"/>
        </w:rPr>
        <w:t>;</w:t>
      </w:r>
    </w:p>
    <w:p w:rsidR="004432C5" w:rsidRPr="001C7B59" w:rsidRDefault="00963A71" w:rsidP="00963A71">
      <w:pPr>
        <w:pStyle w:val="SingleTxt"/>
        <w:tabs>
          <w:tab w:val="right" w:pos="1685"/>
        </w:tabs>
        <w:ind w:left="1742" w:hanging="475"/>
        <w:rPr>
          <w:i/>
          <w:u w:val="single"/>
          <w:lang w:val="fr-FR"/>
        </w:rPr>
      </w:pPr>
      <w:r>
        <w:rPr>
          <w:lang w:val="fr-FR"/>
        </w:rPr>
        <w:tab/>
        <w:t>•</w:t>
      </w:r>
      <w:r>
        <w:rPr>
          <w:lang w:val="fr-FR"/>
        </w:rPr>
        <w:tab/>
      </w:r>
      <w:r w:rsidR="004432C5" w:rsidRPr="001C7B59">
        <w:rPr>
          <w:lang w:val="fr-FR"/>
        </w:rPr>
        <w:t>La couverture sanitaire est assurée par un ensemble d</w:t>
      </w:r>
      <w:r w:rsidR="00DB6EAF" w:rsidRPr="001C7B59">
        <w:rPr>
          <w:lang w:val="fr-FR"/>
        </w:rPr>
        <w:t>’</w:t>
      </w:r>
      <w:r w:rsidR="004432C5" w:rsidRPr="001C7B59">
        <w:rPr>
          <w:lang w:val="fr-FR"/>
        </w:rPr>
        <w:t xml:space="preserve">infrastructures composé de 3 hôpitaux nationaux, 6 </w:t>
      </w:r>
      <w:r w:rsidR="00BA1B46">
        <w:rPr>
          <w:lang w:val="fr-FR"/>
        </w:rPr>
        <w:t>c</w:t>
      </w:r>
      <w:r w:rsidR="004432C5" w:rsidRPr="001C7B59">
        <w:rPr>
          <w:lang w:val="fr-FR"/>
        </w:rPr>
        <w:t xml:space="preserve">entres </w:t>
      </w:r>
      <w:r w:rsidR="00BA1B46">
        <w:rPr>
          <w:lang w:val="fr-FR"/>
        </w:rPr>
        <w:t>h</w:t>
      </w:r>
      <w:r w:rsidR="004432C5" w:rsidRPr="001C7B59">
        <w:rPr>
          <w:lang w:val="fr-FR"/>
        </w:rPr>
        <w:t xml:space="preserve">ospitaliers </w:t>
      </w:r>
      <w:r w:rsidR="00BA1B46">
        <w:rPr>
          <w:lang w:val="fr-FR"/>
        </w:rPr>
        <w:t>r</w:t>
      </w:r>
      <w:r w:rsidR="004432C5" w:rsidRPr="001C7B59">
        <w:rPr>
          <w:lang w:val="fr-FR"/>
        </w:rPr>
        <w:t xml:space="preserve">égionaux (CHR), 33 </w:t>
      </w:r>
      <w:r w:rsidR="00BA1B46">
        <w:rPr>
          <w:lang w:val="fr-FR"/>
        </w:rPr>
        <w:t>h</w:t>
      </w:r>
      <w:r w:rsidR="004432C5" w:rsidRPr="001C7B59">
        <w:rPr>
          <w:lang w:val="fr-FR"/>
        </w:rPr>
        <w:t xml:space="preserve">ôpitaux de </w:t>
      </w:r>
      <w:r w:rsidR="00BA1B46">
        <w:rPr>
          <w:lang w:val="fr-FR"/>
        </w:rPr>
        <w:t>d</w:t>
      </w:r>
      <w:r w:rsidR="004432C5" w:rsidRPr="001C7B59">
        <w:rPr>
          <w:lang w:val="fr-FR"/>
        </w:rPr>
        <w:t>istricts de 1</w:t>
      </w:r>
      <w:r w:rsidR="004432C5" w:rsidRPr="001C7B59">
        <w:rPr>
          <w:vertAlign w:val="superscript"/>
          <w:lang w:val="fr-FR"/>
        </w:rPr>
        <w:t xml:space="preserve">er </w:t>
      </w:r>
      <w:r w:rsidR="004432C5" w:rsidRPr="001C7B59">
        <w:rPr>
          <w:lang w:val="fr-FR"/>
        </w:rPr>
        <w:t>niveau de référence dont 28 disposent d</w:t>
      </w:r>
      <w:r w:rsidR="00DB6EAF" w:rsidRPr="001C7B59">
        <w:rPr>
          <w:lang w:val="fr-FR"/>
        </w:rPr>
        <w:t>’</w:t>
      </w:r>
      <w:r w:rsidR="004432C5" w:rsidRPr="001C7B59">
        <w:rPr>
          <w:lang w:val="fr-FR"/>
        </w:rPr>
        <w:t xml:space="preserve">un bloc opératoire, 853 </w:t>
      </w:r>
      <w:r w:rsidR="00BA1B46">
        <w:rPr>
          <w:lang w:val="fr-FR"/>
        </w:rPr>
        <w:t>c</w:t>
      </w:r>
      <w:r w:rsidR="004432C5" w:rsidRPr="001C7B59">
        <w:rPr>
          <w:lang w:val="fr-FR"/>
        </w:rPr>
        <w:t xml:space="preserve">entres de </w:t>
      </w:r>
      <w:r w:rsidR="00D60176" w:rsidRPr="001C7B59">
        <w:rPr>
          <w:lang w:val="fr-FR"/>
        </w:rPr>
        <w:t>santé</w:t>
      </w:r>
      <w:r w:rsidR="004432C5" w:rsidRPr="001C7B59">
        <w:rPr>
          <w:lang w:val="fr-FR"/>
        </w:rPr>
        <w:t xml:space="preserve"> </w:t>
      </w:r>
      <w:r w:rsidR="00BA1B46">
        <w:rPr>
          <w:lang w:val="fr-FR"/>
        </w:rPr>
        <w:t>i</w:t>
      </w:r>
      <w:r w:rsidR="004432C5" w:rsidRPr="001C7B59">
        <w:rPr>
          <w:lang w:val="fr-FR"/>
        </w:rPr>
        <w:t xml:space="preserve">ntégrés (CSI) autour desquels gravitent 2510 cases de </w:t>
      </w:r>
      <w:r w:rsidR="00D60176" w:rsidRPr="001C7B59">
        <w:rPr>
          <w:lang w:val="fr-FR"/>
        </w:rPr>
        <w:t>santé</w:t>
      </w:r>
      <w:r w:rsidR="004432C5" w:rsidRPr="001C7B59">
        <w:rPr>
          <w:lang w:val="fr-FR"/>
        </w:rPr>
        <w:t xml:space="preserve">. Ces infrastructures connaîtront très prochainement une expansion qualitative avec la mise en service des 7 </w:t>
      </w:r>
      <w:r w:rsidR="00BA1B46">
        <w:rPr>
          <w:lang w:val="fr-FR"/>
        </w:rPr>
        <w:t>c</w:t>
      </w:r>
      <w:r w:rsidR="004432C5" w:rsidRPr="001C7B59">
        <w:rPr>
          <w:lang w:val="fr-FR"/>
        </w:rPr>
        <w:t>entres de la mère et de l</w:t>
      </w:r>
      <w:r w:rsidR="00DB6EAF" w:rsidRPr="001C7B59">
        <w:rPr>
          <w:lang w:val="fr-FR"/>
        </w:rPr>
        <w:t>’</w:t>
      </w:r>
      <w:r w:rsidR="004432C5" w:rsidRPr="001C7B59">
        <w:rPr>
          <w:lang w:val="fr-FR"/>
        </w:rPr>
        <w:t xml:space="preserve">enfant au niveau des régions. </w:t>
      </w:r>
    </w:p>
    <w:p w:rsidR="00963A71" w:rsidRPr="00963A71" w:rsidRDefault="00963A71" w:rsidP="00963A71">
      <w:pPr>
        <w:pStyle w:val="SingleTxt"/>
        <w:spacing w:after="0" w:line="120" w:lineRule="exact"/>
        <w:rPr>
          <w:sz w:val="10"/>
          <w:lang w:val="fr-FR"/>
        </w:rPr>
      </w:pPr>
    </w:p>
    <w:p w:rsidR="004432C5" w:rsidRDefault="00963A71" w:rsidP="00963A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Situation de l</w:t>
      </w:r>
      <w:r w:rsidR="00DB6EAF" w:rsidRPr="001C7B59">
        <w:rPr>
          <w:lang w:val="fr-FR"/>
        </w:rPr>
        <w:t>’</w:t>
      </w:r>
      <w:r w:rsidR="004432C5" w:rsidRPr="001C7B59">
        <w:rPr>
          <w:lang w:val="fr-FR"/>
        </w:rPr>
        <w:t xml:space="preserve">accès des femmes et des filles à des services de santé </w:t>
      </w:r>
      <w:r>
        <w:rPr>
          <w:lang w:val="fr-FR"/>
        </w:rPr>
        <w:br/>
      </w:r>
      <w:r w:rsidR="004432C5" w:rsidRPr="001C7B59">
        <w:rPr>
          <w:lang w:val="fr-FR"/>
        </w:rPr>
        <w:t>de la reproduction</w:t>
      </w:r>
    </w:p>
    <w:p w:rsidR="00963A71" w:rsidRPr="00963A71" w:rsidRDefault="00963A71" w:rsidP="00963A71">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volonté et l</w:t>
      </w:r>
      <w:r w:rsidR="00DB6EAF" w:rsidRPr="001C7B59">
        <w:rPr>
          <w:lang w:val="fr-FR"/>
        </w:rPr>
        <w:t>’</w:t>
      </w:r>
      <w:r w:rsidRPr="001C7B59">
        <w:rPr>
          <w:lang w:val="fr-FR"/>
        </w:rPr>
        <w:t>engagement politiques en faveur de la santé de la mère et de l</w:t>
      </w:r>
      <w:r w:rsidR="00DB6EAF" w:rsidRPr="001C7B59">
        <w:rPr>
          <w:lang w:val="fr-FR"/>
        </w:rPr>
        <w:t>’</w:t>
      </w:r>
      <w:r w:rsidRPr="001C7B59">
        <w:rPr>
          <w:lang w:val="fr-FR"/>
        </w:rPr>
        <w:t>enfant avec le PDS s</w:t>
      </w:r>
      <w:r w:rsidR="00DB6EAF" w:rsidRPr="001C7B59">
        <w:rPr>
          <w:lang w:val="fr-FR"/>
        </w:rPr>
        <w:t>’</w:t>
      </w:r>
      <w:r w:rsidRPr="001C7B59">
        <w:rPr>
          <w:lang w:val="fr-FR"/>
        </w:rPr>
        <w:t xml:space="preserve">inscrivent dans la Stratégie de </w:t>
      </w:r>
      <w:r w:rsidR="00D60176" w:rsidRPr="001C7B59">
        <w:rPr>
          <w:lang w:val="fr-FR"/>
        </w:rPr>
        <w:t>développement</w:t>
      </w:r>
      <w:r w:rsidRPr="001C7B59">
        <w:rPr>
          <w:lang w:val="fr-FR"/>
        </w:rPr>
        <w:t xml:space="preserve"> </w:t>
      </w:r>
      <w:r w:rsidR="00D60176" w:rsidRPr="001C7B59">
        <w:rPr>
          <w:lang w:val="fr-FR"/>
        </w:rPr>
        <w:t>accéléré</w:t>
      </w:r>
      <w:r w:rsidRPr="001C7B59">
        <w:rPr>
          <w:lang w:val="fr-FR"/>
        </w:rPr>
        <w:t xml:space="preserve"> et de </w:t>
      </w:r>
      <w:r w:rsidR="00D60176" w:rsidRPr="001C7B59">
        <w:rPr>
          <w:lang w:val="fr-FR"/>
        </w:rPr>
        <w:t>réduction de la pauvreté</w:t>
      </w:r>
      <w:r w:rsidRPr="001C7B59">
        <w:rPr>
          <w:lang w:val="fr-FR"/>
        </w:rPr>
        <w:t xml:space="preserve"> (SDRP, 2008-2012). Près de 70</w:t>
      </w:r>
      <w:r w:rsidR="007B382B">
        <w:rPr>
          <w:lang w:val="fr-FR"/>
        </w:rPr>
        <w:t> %</w:t>
      </w:r>
      <w:r w:rsidRPr="001C7B59">
        <w:rPr>
          <w:lang w:val="fr-FR"/>
        </w:rPr>
        <w:t xml:space="preserve"> du budget de la santé sont consacrés aux activités de SR à travers la mise en œuvre d</w:t>
      </w:r>
      <w:r w:rsidR="00DB6EAF" w:rsidRPr="001C7B59">
        <w:rPr>
          <w:lang w:val="fr-FR"/>
        </w:rPr>
        <w:t>’</w:t>
      </w:r>
      <w:r w:rsidRPr="001C7B59">
        <w:rPr>
          <w:lang w:val="fr-FR"/>
        </w:rPr>
        <w:t>une approche sectorielle (SWAP) soutenue par un Fonds Commun, une harmonisation de l</w:t>
      </w:r>
      <w:r w:rsidR="00DB6EAF" w:rsidRPr="001C7B59">
        <w:rPr>
          <w:lang w:val="fr-FR"/>
        </w:rPr>
        <w:t>’</w:t>
      </w:r>
      <w:r w:rsidRPr="001C7B59">
        <w:rPr>
          <w:lang w:val="fr-FR"/>
        </w:rPr>
        <w:t xml:space="preserve">approche commune pour la </w:t>
      </w:r>
      <w:r w:rsidR="00D60176" w:rsidRPr="001C7B59">
        <w:rPr>
          <w:lang w:val="fr-FR"/>
        </w:rPr>
        <w:t>santé</w:t>
      </w:r>
      <w:r w:rsidRPr="001C7B59">
        <w:rPr>
          <w:lang w:val="fr-FR"/>
        </w:rPr>
        <w:t xml:space="preserve"> </w:t>
      </w:r>
      <w:r w:rsidR="001C7B59" w:rsidRPr="001C7B59">
        <w:rPr>
          <w:lang w:val="fr-FR"/>
        </w:rPr>
        <w:t>maternel</w:t>
      </w:r>
      <w:r w:rsidRPr="001C7B59">
        <w:rPr>
          <w:lang w:val="fr-FR"/>
        </w:rPr>
        <w:t xml:space="preserve">le et </w:t>
      </w:r>
      <w:r w:rsidR="001C7B59" w:rsidRPr="001C7B59">
        <w:rPr>
          <w:lang w:val="fr-FR"/>
        </w:rPr>
        <w:t>néo</w:t>
      </w:r>
      <w:r w:rsidRPr="001C7B59">
        <w:rPr>
          <w:lang w:val="fr-FR"/>
        </w:rPr>
        <w:t xml:space="preserve">natale par les 3 Agences du </w:t>
      </w:r>
      <w:r w:rsidR="00D60176" w:rsidRPr="001C7B59">
        <w:rPr>
          <w:lang w:val="fr-FR"/>
        </w:rPr>
        <w:t>système</w:t>
      </w:r>
      <w:r w:rsidRPr="001C7B59">
        <w:rPr>
          <w:lang w:val="fr-FR"/>
        </w:rPr>
        <w:t xml:space="preserve"> des Nations Unies (OMS, UNFPA, UNICEF), et un cadre partenarial signé par l</w:t>
      </w:r>
      <w:r w:rsidR="00DB6EAF" w:rsidRPr="001C7B59">
        <w:rPr>
          <w:lang w:val="fr-FR"/>
        </w:rPr>
        <w:t>’</w:t>
      </w:r>
      <w:r w:rsidRPr="001C7B59">
        <w:rPr>
          <w:lang w:val="fr-FR"/>
        </w:rPr>
        <w:t>ensemble des partenaires intervenant dans le secteur de la santé.</w:t>
      </w:r>
    </w:p>
    <w:p w:rsidR="004432C5" w:rsidRPr="001C7B59" w:rsidRDefault="00E15F6D" w:rsidP="008E5553">
      <w:pPr>
        <w:pStyle w:val="SingleTxt"/>
        <w:numPr>
          <w:ilvl w:val="0"/>
          <w:numId w:val="9"/>
        </w:numPr>
        <w:tabs>
          <w:tab w:val="clear" w:pos="475"/>
          <w:tab w:val="num" w:pos="1742"/>
        </w:tabs>
        <w:ind w:left="1267"/>
        <w:rPr>
          <w:lang w:val="fr-FR"/>
        </w:rPr>
      </w:pPr>
      <w:r w:rsidRPr="001C7B59">
        <w:rPr>
          <w:lang w:val="fr-FR"/>
        </w:rPr>
        <w:t xml:space="preserve">Dans le cadre de la réduction de la mortalité maternelle et néonatale, de nombreuses stratégies innovantes ont été mises en œuvre notamment dans le cadre de l’offre des Soins Obstétricaux et néonataux Essentiels (SONE), des Soins Obstétricaux et néonataux d’Urgence (SONU), de la prévention de la transmission du VIH de la mère à l’enfant (PTME), de la Prise en Charge Intégrée des Maladies de l’enfant </w:t>
      </w:r>
      <w:r w:rsidR="00A132AD">
        <w:rPr>
          <w:lang w:val="fr-FR"/>
        </w:rPr>
        <w:t>(</w:t>
      </w:r>
      <w:r w:rsidRPr="001C7B59">
        <w:rPr>
          <w:lang w:val="fr-FR"/>
        </w:rPr>
        <w:t xml:space="preserve">PCIME), des soins de santé maternelle et néonatale (SMN) au niveau communautaire : les </w:t>
      </w:r>
      <w:r>
        <w:rPr>
          <w:lang w:val="fr-FR"/>
        </w:rPr>
        <w:t>é</w:t>
      </w:r>
      <w:r w:rsidRPr="001C7B59">
        <w:rPr>
          <w:lang w:val="fr-FR"/>
        </w:rPr>
        <w:t>quipes mobiles santé de la reproduction, l’assurance qualité des soins, les soins post-abortum, l’École des Maris, le marketing soci</w:t>
      </w:r>
      <w:r>
        <w:rPr>
          <w:lang w:val="fr-FR"/>
        </w:rPr>
        <w:t>al double protection (</w:t>
      </w:r>
      <w:r w:rsidRPr="001C7B59">
        <w:rPr>
          <w:lang w:val="fr-FR"/>
        </w:rPr>
        <w:t xml:space="preserve">planning familial et prévention VIH), les activités foraines et la distribution à base communautaire de contraceptifs, la promotion des pratiques familiales essentielles etc. </w:t>
      </w:r>
      <w:r w:rsidR="004432C5" w:rsidRPr="001C7B59">
        <w:rPr>
          <w:lang w:val="fr-FR"/>
        </w:rPr>
        <w:t>La mise en œuvre de toutes ces stratégies a permis de réduire significativement les taux de mortalité maternelle et néonatale qui passent respe</w:t>
      </w:r>
      <w:r w:rsidR="001C7B59" w:rsidRPr="001C7B59">
        <w:rPr>
          <w:lang w:val="fr-FR"/>
        </w:rPr>
        <w:t>ctivement de 648 pour 100 000 n</w:t>
      </w:r>
      <w:r w:rsidR="004432C5" w:rsidRPr="001C7B59">
        <w:rPr>
          <w:lang w:val="fr-FR"/>
        </w:rPr>
        <w:t xml:space="preserve">aissances </w:t>
      </w:r>
      <w:r w:rsidR="001C7B59" w:rsidRPr="001C7B59">
        <w:rPr>
          <w:lang w:val="fr-FR"/>
        </w:rPr>
        <w:t>v</w:t>
      </w:r>
      <w:r w:rsidR="004432C5" w:rsidRPr="001C7B59">
        <w:rPr>
          <w:lang w:val="fr-FR"/>
        </w:rPr>
        <w:t>ivantes (NV) en 2006 à 554</w:t>
      </w:r>
      <w:r w:rsidR="001C7B59" w:rsidRPr="001C7B59">
        <w:rPr>
          <w:lang w:val="fr-FR"/>
        </w:rPr>
        <w:t xml:space="preserve"> </w:t>
      </w:r>
      <w:r w:rsidR="004432C5" w:rsidRPr="001C7B59">
        <w:rPr>
          <w:lang w:val="fr-FR"/>
        </w:rPr>
        <w:t>pour 100 000 NV en 2010</w:t>
      </w:r>
      <w:r w:rsidR="001C7B59" w:rsidRPr="001C7B59">
        <w:rPr>
          <w:lang w:val="fr-FR"/>
        </w:rPr>
        <w:t xml:space="preserve"> </w:t>
      </w:r>
      <w:r w:rsidR="004432C5" w:rsidRPr="001C7B59">
        <w:rPr>
          <w:lang w:val="fr-FR"/>
        </w:rPr>
        <w:t>et de 198 pour cent mille en 2006,</w:t>
      </w:r>
      <w:r w:rsidR="001C7B59" w:rsidRPr="001C7B59">
        <w:rPr>
          <w:lang w:val="fr-FR"/>
        </w:rPr>
        <w:t xml:space="preserve"> </w:t>
      </w:r>
      <w:r w:rsidR="004432C5" w:rsidRPr="001C7B59">
        <w:rPr>
          <w:lang w:val="fr-FR"/>
        </w:rPr>
        <w:t>à 108, 7 pour cent mille en 2010 (source EDSN 2010).</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Afin de réduire la barrière financière qui limite l</w:t>
      </w:r>
      <w:r w:rsidR="00DB6EAF" w:rsidRPr="001C7B59">
        <w:rPr>
          <w:lang w:val="fr-FR"/>
        </w:rPr>
        <w:t>’</w:t>
      </w:r>
      <w:r w:rsidRPr="001C7B59">
        <w:rPr>
          <w:lang w:val="fr-FR"/>
        </w:rPr>
        <w:t>accessibilité aux soins de santé, l</w:t>
      </w:r>
      <w:r w:rsidR="00DB6EAF" w:rsidRPr="001C7B59">
        <w:rPr>
          <w:lang w:val="fr-FR"/>
        </w:rPr>
        <w:t>’</w:t>
      </w:r>
      <w:r w:rsidR="008E5553">
        <w:rPr>
          <w:lang w:val="fr-FR"/>
        </w:rPr>
        <w:t>État</w:t>
      </w:r>
      <w:r w:rsidRPr="001C7B59">
        <w:rPr>
          <w:lang w:val="fr-FR"/>
        </w:rPr>
        <w:t xml:space="preserve"> poursuit la mise en œuvre de la gratuité des soins aux femmes et aux enfants de moins de cinq ans</w:t>
      </w:r>
      <w:r w:rsidR="00DB6EAF" w:rsidRPr="001C7B59">
        <w:rPr>
          <w:lang w:val="fr-FR"/>
        </w:rPr>
        <w:t> :</w:t>
      </w:r>
      <w:r w:rsidRPr="001C7B59">
        <w:rPr>
          <w:lang w:val="fr-FR"/>
        </w:rPr>
        <w:t xml:space="preserve"> consultations prénatales, césarienne, planification familiale, dépistage et prise en charge des cancers féminins, de la fistule obstétricale, du VIH/sida, et</w:t>
      </w:r>
      <w:r w:rsidR="001C7B59" w:rsidRPr="001C7B59">
        <w:rPr>
          <w:lang w:val="fr-FR"/>
        </w:rPr>
        <w:t xml:space="preserve"> </w:t>
      </w:r>
      <w:r w:rsidRPr="001C7B59">
        <w:rPr>
          <w:lang w:val="fr-FR"/>
        </w:rPr>
        <w:t>des soins aux enfants de moins de 5 ans.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Des mesures importantes en matière de recrutement et de motivation du personnel ont été prises</w:t>
      </w:r>
      <w:r w:rsidR="00DB6EAF" w:rsidRPr="001C7B59">
        <w:rPr>
          <w:lang w:val="fr-FR"/>
        </w:rPr>
        <w:t> :</w:t>
      </w:r>
      <w:r w:rsidRPr="001C7B59">
        <w:rPr>
          <w:lang w:val="fr-FR"/>
        </w:rPr>
        <w:t xml:space="preserve"> Elles sont essentiellement constituées de 958 médecins (1/16 420 habitants),</w:t>
      </w:r>
      <w:r w:rsidR="001C7B59" w:rsidRPr="001C7B59">
        <w:rPr>
          <w:lang w:val="fr-FR"/>
        </w:rPr>
        <w:t xml:space="preserve"> </w:t>
      </w:r>
      <w:r w:rsidRPr="001C7B59">
        <w:rPr>
          <w:lang w:val="fr-FR"/>
        </w:rPr>
        <w:t xml:space="preserve">3782 infirmiers (1/4 159 </w:t>
      </w:r>
      <w:r w:rsidR="00EA6439">
        <w:rPr>
          <w:lang w:val="fr-FR"/>
        </w:rPr>
        <w:t>h</w:t>
      </w:r>
      <w:r w:rsidRPr="001C7B59">
        <w:rPr>
          <w:lang w:val="fr-FR"/>
        </w:rPr>
        <w:t>abitants) et</w:t>
      </w:r>
      <w:r w:rsidR="001C7B59" w:rsidRPr="001C7B59">
        <w:rPr>
          <w:lang w:val="fr-FR"/>
        </w:rPr>
        <w:t xml:space="preserve"> </w:t>
      </w:r>
      <w:r w:rsidRPr="001C7B59">
        <w:rPr>
          <w:lang w:val="fr-FR"/>
        </w:rPr>
        <w:t>943 sages-femmes (1/3670 FAP) et 20 Volontaires des Nations Unies (VNU). Environ la moitié du personnel (médecins, infirmiers et sages-femmes) travaillent à Niamey et dans les grands centres urbains. Mais, il faut noter qu</w:t>
      </w:r>
      <w:r w:rsidR="00DB6EAF" w:rsidRPr="001C7B59">
        <w:rPr>
          <w:lang w:val="fr-FR"/>
        </w:rPr>
        <w:t>’</w:t>
      </w:r>
      <w:r w:rsidRPr="001C7B59">
        <w:rPr>
          <w:lang w:val="fr-FR"/>
        </w:rPr>
        <w:t>à la suite du recrutement de 2012, 207 médecins, sur 536 recrutés, sont affectés dans les CSI de type II sur les 273 que compte le pays soit 76</w:t>
      </w:r>
      <w:r w:rsidR="007B382B">
        <w:rPr>
          <w:lang w:val="fr-FR"/>
        </w:rPr>
        <w:t> %</w:t>
      </w:r>
      <w:r w:rsidRPr="001C7B59">
        <w:rPr>
          <w:lang w:val="fr-FR"/>
        </w:rPr>
        <w:t>, d</w:t>
      </w:r>
      <w:r w:rsidR="00DB6EAF" w:rsidRPr="001C7B59">
        <w:rPr>
          <w:lang w:val="fr-FR"/>
        </w:rPr>
        <w:t>’</w:t>
      </w:r>
      <w:r w:rsidRPr="001C7B59">
        <w:rPr>
          <w:lang w:val="fr-FR"/>
        </w:rPr>
        <w:t>où un début de la mé</w:t>
      </w:r>
      <w:r w:rsidR="00EA6439">
        <w:rPr>
          <w:lang w:val="fr-FR"/>
        </w:rPr>
        <w:t>dicalisation des CSI. 38 des 42 </w:t>
      </w:r>
      <w:r w:rsidRPr="001C7B59">
        <w:rPr>
          <w:lang w:val="fr-FR"/>
        </w:rPr>
        <w:t>districts sanitaires (90</w:t>
      </w:r>
      <w:r w:rsidR="007B382B">
        <w:rPr>
          <w:lang w:val="fr-FR"/>
        </w:rPr>
        <w:t> %</w:t>
      </w:r>
      <w:r w:rsidRPr="001C7B59">
        <w:rPr>
          <w:lang w:val="fr-FR"/>
        </w:rPr>
        <w:t>) ont vu leur effectif en médecins renforcé. Par ailleurs, 42 autres médecins ont été affectés dans les Hôpitaux de District. En somme, 1</w:t>
      </w:r>
      <w:r w:rsidR="00EA6439">
        <w:rPr>
          <w:lang w:val="fr-FR"/>
        </w:rPr>
        <w:t xml:space="preserve"> </w:t>
      </w:r>
      <w:r w:rsidRPr="001C7B59">
        <w:rPr>
          <w:lang w:val="fr-FR"/>
        </w:rPr>
        <w:t>720 agents ont été recrutés dont 767 infirmiers, 232 Sage femmes et 185 autres cadres.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plateaux techniques ont été mis à niveau, notamment à travers la mise en fonction des blocs opératoires au niveau des hôpitaux de district offrant des soins obstétricaux d</w:t>
      </w:r>
      <w:r w:rsidR="00DB6EAF" w:rsidRPr="001C7B59">
        <w:rPr>
          <w:lang w:val="fr-FR"/>
        </w:rPr>
        <w:t>’</w:t>
      </w:r>
      <w:r w:rsidRPr="001C7B59">
        <w:rPr>
          <w:lang w:val="fr-FR"/>
        </w:rPr>
        <w:t>urgence complets et au niveau des centres de santé intégrés</w:t>
      </w:r>
      <w:r w:rsidR="001C7B59" w:rsidRPr="001C7B59">
        <w:rPr>
          <w:lang w:val="fr-FR"/>
        </w:rPr>
        <w:t xml:space="preserve"> </w:t>
      </w:r>
      <w:r w:rsidRPr="001C7B59">
        <w:rPr>
          <w:lang w:val="fr-FR"/>
        </w:rPr>
        <w:t>pour offrir des soins obstétricaux de base etc.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Des activités de prévention, de prise en charge de la Fistule obstétricale et de réintégration socioéconomique des femmes victimes de cette maladie</w:t>
      </w:r>
      <w:r w:rsidR="001C7B59" w:rsidRPr="001C7B59">
        <w:rPr>
          <w:lang w:val="fr-FR"/>
        </w:rPr>
        <w:t xml:space="preserve"> </w:t>
      </w:r>
      <w:r w:rsidRPr="001C7B59">
        <w:rPr>
          <w:lang w:val="fr-FR"/>
        </w:rPr>
        <w:t>exécutées dans le cadre de la campagne mondiale d</w:t>
      </w:r>
      <w:r w:rsidR="00DB6EAF" w:rsidRPr="001C7B59">
        <w:rPr>
          <w:lang w:val="fr-FR"/>
        </w:rPr>
        <w:t>’</w:t>
      </w:r>
      <w:r w:rsidRPr="001C7B59">
        <w:rPr>
          <w:lang w:val="fr-FR"/>
        </w:rPr>
        <w:t xml:space="preserve">éradication de la Fistule obstétricale ont été poursuivies. </w:t>
      </w:r>
      <w:r w:rsidR="00E15F6D" w:rsidRPr="001C7B59">
        <w:rPr>
          <w:lang w:val="fr-FR"/>
        </w:rPr>
        <w:t>Dans ce cadre, un comité intersectoriel impliquant les ONG, associations et les professionnels dénommé Réseau d’</w:t>
      </w:r>
      <w:r w:rsidR="00E15F6D">
        <w:rPr>
          <w:lang w:val="fr-FR"/>
        </w:rPr>
        <w:t>é</w:t>
      </w:r>
      <w:r w:rsidR="00E15F6D" w:rsidRPr="001C7B59">
        <w:rPr>
          <w:lang w:val="fr-FR"/>
        </w:rPr>
        <w:t xml:space="preserve">radication de la </w:t>
      </w:r>
      <w:r w:rsidR="00E15F6D">
        <w:rPr>
          <w:lang w:val="fr-FR"/>
        </w:rPr>
        <w:t>f</w:t>
      </w:r>
      <w:r w:rsidR="00E15F6D" w:rsidRPr="001C7B59">
        <w:rPr>
          <w:lang w:val="fr-FR"/>
        </w:rPr>
        <w:t xml:space="preserve">istule (REF) est mis en place pour mener les actions de plaidoyer, de lutte et de réinsertion sociale, avec le soutien de nombreux PTF. </w:t>
      </w:r>
      <w:r w:rsidRPr="001C7B59">
        <w:rPr>
          <w:lang w:val="fr-FR"/>
        </w:rPr>
        <w:t>En 2012, l</w:t>
      </w:r>
      <w:r w:rsidR="00DB6EAF" w:rsidRPr="001C7B59">
        <w:rPr>
          <w:lang w:val="fr-FR"/>
        </w:rPr>
        <w:t>’</w:t>
      </w:r>
      <w:r w:rsidRPr="001C7B59">
        <w:rPr>
          <w:lang w:val="fr-FR"/>
        </w:rPr>
        <w:t xml:space="preserve">Incidence </w:t>
      </w:r>
      <w:r w:rsidR="001C7B59" w:rsidRPr="001C7B59">
        <w:rPr>
          <w:lang w:val="fr-FR"/>
        </w:rPr>
        <w:t>femme</w:t>
      </w:r>
      <w:r w:rsidRPr="001C7B59">
        <w:rPr>
          <w:lang w:val="fr-FR"/>
        </w:rPr>
        <w:t xml:space="preserve"> Victime de Fistule/ Fistule Vésico-Vaginale pour 100 accouchements est de 0,06</w:t>
      </w:r>
      <w:r w:rsidR="007B382B">
        <w:rPr>
          <w:lang w:val="fr-FR"/>
        </w:rPr>
        <w:t> %</w:t>
      </w:r>
      <w:r w:rsidRPr="001C7B59">
        <w:rPr>
          <w:lang w:val="fr-FR"/>
        </w:rPr>
        <w: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Des campagnes de sensibilisation et d</w:t>
      </w:r>
      <w:r w:rsidR="00DB6EAF" w:rsidRPr="001C7B59">
        <w:rPr>
          <w:lang w:val="fr-FR"/>
        </w:rPr>
        <w:t>’</w:t>
      </w:r>
      <w:r w:rsidR="00D60176" w:rsidRPr="001C7B59">
        <w:rPr>
          <w:lang w:val="fr-FR"/>
        </w:rPr>
        <w:t>information</w:t>
      </w:r>
      <w:r w:rsidRPr="001C7B59">
        <w:rPr>
          <w:lang w:val="fr-FR"/>
        </w:rPr>
        <w:t>, d</w:t>
      </w:r>
      <w:r w:rsidR="00DB6EAF" w:rsidRPr="001C7B59">
        <w:rPr>
          <w:lang w:val="fr-FR"/>
        </w:rPr>
        <w:t>’</w:t>
      </w:r>
      <w:r w:rsidR="00D60176" w:rsidRPr="001C7B59">
        <w:rPr>
          <w:lang w:val="fr-FR"/>
        </w:rPr>
        <w:t>éducation</w:t>
      </w:r>
      <w:r w:rsidRPr="001C7B59">
        <w:rPr>
          <w:lang w:val="fr-FR"/>
        </w:rPr>
        <w:t xml:space="preserve"> et de </w:t>
      </w:r>
      <w:r w:rsidR="00D60176" w:rsidRPr="001C7B59">
        <w:rPr>
          <w:lang w:val="fr-FR"/>
        </w:rPr>
        <w:t>communication</w:t>
      </w:r>
      <w:r w:rsidRPr="001C7B59">
        <w:rPr>
          <w:lang w:val="fr-FR"/>
        </w:rPr>
        <w:t>(IEC) pour le changement de comportement en matière de pratiques traditionnelles néfastes (mutilations génitales féminines, mariage précoce/maternité précoce), l</w:t>
      </w:r>
      <w:r w:rsidR="00DB6EAF" w:rsidRPr="001C7B59">
        <w:rPr>
          <w:lang w:val="fr-FR"/>
        </w:rPr>
        <w:t>’</w:t>
      </w:r>
      <w:r w:rsidRPr="001C7B59">
        <w:rPr>
          <w:lang w:val="fr-FR"/>
        </w:rPr>
        <w:t>instauration de la journée du 06 février « tolérance zéro aux mutilations génitales féminines », la promotion de l</w:t>
      </w:r>
      <w:r w:rsidR="00DB6EAF" w:rsidRPr="001C7B59">
        <w:rPr>
          <w:lang w:val="fr-FR"/>
        </w:rPr>
        <w:t>’</w:t>
      </w:r>
      <w:r w:rsidRPr="001C7B59">
        <w:rPr>
          <w:lang w:val="fr-FR"/>
        </w:rPr>
        <w:t xml:space="preserve">allaitement maternel, le plaidoyer pour la réduction de la mortalité maternelle (CARMMA) en collaboration avec les secteurs connexes et la société civile, le repositionnement de la </w:t>
      </w:r>
      <w:r w:rsidR="00DE024F">
        <w:rPr>
          <w:lang w:val="fr-FR"/>
        </w:rPr>
        <w:t>planification</w:t>
      </w:r>
      <w:r w:rsidRPr="001C7B59">
        <w:rPr>
          <w:lang w:val="fr-FR"/>
        </w:rPr>
        <w:t xml:space="preserve"> </w:t>
      </w:r>
      <w:r w:rsidR="00DE024F">
        <w:rPr>
          <w:lang w:val="fr-FR"/>
        </w:rPr>
        <w:t>familial</w:t>
      </w:r>
      <w:r w:rsidRPr="001C7B59">
        <w:rPr>
          <w:lang w:val="fr-FR"/>
        </w:rPr>
        <w:t>e et le partenariat de Ouagadougou, le projet Muskoka pour la réduction de la mortalité maternelle et néonatale avec ONUFEMME ont été mis en œuvre.</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En ce qui concerne le domaine spécifique de la santé des adolescents et des jeunes, la mise en œuvre de la stratégie nationale de la santé des adolescents et des jeunes prend en compte aussi bien la </w:t>
      </w:r>
      <w:r w:rsidR="00D60176" w:rsidRPr="001C7B59">
        <w:rPr>
          <w:lang w:val="fr-FR"/>
        </w:rPr>
        <w:t>santé</w:t>
      </w:r>
      <w:r w:rsidRPr="001C7B59">
        <w:rPr>
          <w:lang w:val="fr-FR"/>
        </w:rPr>
        <w:t xml:space="preserve"> Sexuelle et Reproductive des Adolescents et des Jeunes (SSRAJ) que la lutte contre les fléaux sociaux. L</w:t>
      </w:r>
      <w:r w:rsidR="00DB6EAF" w:rsidRPr="001C7B59">
        <w:rPr>
          <w:lang w:val="fr-FR"/>
        </w:rPr>
        <w:t>’</w:t>
      </w:r>
      <w:r w:rsidRPr="001C7B59">
        <w:rPr>
          <w:lang w:val="fr-FR"/>
        </w:rPr>
        <w:t>accent est mis sur l</w:t>
      </w:r>
      <w:r w:rsidR="00DB6EAF" w:rsidRPr="001C7B59">
        <w:rPr>
          <w:lang w:val="fr-FR"/>
        </w:rPr>
        <w:t>’</w:t>
      </w:r>
      <w:r w:rsidRPr="001C7B59">
        <w:rPr>
          <w:lang w:val="fr-FR"/>
        </w:rPr>
        <w:t>intégration des activités de santé des adolescents et des jeunes et l</w:t>
      </w:r>
      <w:r w:rsidR="00DB6EAF" w:rsidRPr="001C7B59">
        <w:rPr>
          <w:lang w:val="fr-FR"/>
        </w:rPr>
        <w:t>’</w:t>
      </w:r>
      <w:r w:rsidRPr="001C7B59">
        <w:rPr>
          <w:lang w:val="fr-FR"/>
        </w:rPr>
        <w:t xml:space="preserve">adaptation des centres de santé à cet effet.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accent est mis plus particulièrement sur la mise en œuvre des activités d</w:t>
      </w:r>
      <w:r w:rsidR="00DB6EAF" w:rsidRPr="001C7B59">
        <w:rPr>
          <w:lang w:val="fr-FR"/>
        </w:rPr>
        <w:t>’</w:t>
      </w:r>
      <w:r w:rsidRPr="001C7B59">
        <w:rPr>
          <w:lang w:val="fr-FR"/>
        </w:rPr>
        <w:t>IEC orientées vers le changement de comportement des jeunes et leurs parents, la disponibilité des services de santé sexuelle et de la reproduction de qualité accessibles aux jeunes et adolescents correspondant mieux à leurs besoins. Un accent particulier est mis également sur la disponibilité des produits contraceptifs (y compris les préservatifs) accessibles à tout moment par le biais d</w:t>
      </w:r>
      <w:r w:rsidR="00DB6EAF" w:rsidRPr="001C7B59">
        <w:rPr>
          <w:lang w:val="fr-FR"/>
        </w:rPr>
        <w:t>’</w:t>
      </w:r>
      <w:r w:rsidRPr="001C7B59">
        <w:rPr>
          <w:lang w:val="fr-FR"/>
        </w:rPr>
        <w:t>animateurs de groupes de jeunes formés (éducation par les pairs) pour mieux encadrer ceux-ci à l</w:t>
      </w:r>
      <w:r w:rsidR="00DB6EAF" w:rsidRPr="001C7B59">
        <w:rPr>
          <w:lang w:val="fr-FR"/>
        </w:rPr>
        <w:t>’</w:t>
      </w:r>
      <w:r w:rsidRPr="001C7B59">
        <w:rPr>
          <w:lang w:val="fr-FR"/>
        </w:rPr>
        <w:t>adoption d</w:t>
      </w:r>
      <w:r w:rsidR="00DB6EAF" w:rsidRPr="001C7B59">
        <w:rPr>
          <w:lang w:val="fr-FR"/>
        </w:rPr>
        <w:t>’</w:t>
      </w:r>
      <w:r w:rsidRPr="001C7B59">
        <w:rPr>
          <w:lang w:val="fr-FR"/>
        </w:rPr>
        <w:t>un comportement sexuel responsable et à l</w:t>
      </w:r>
      <w:r w:rsidR="00DB6EAF" w:rsidRPr="001C7B59">
        <w:rPr>
          <w:lang w:val="fr-FR"/>
        </w:rPr>
        <w:t>’</w:t>
      </w:r>
      <w:r w:rsidRPr="001C7B59">
        <w:rPr>
          <w:lang w:val="fr-FR"/>
        </w:rPr>
        <w:t>utilisation des services de santé pour les soins et les conseils.</w:t>
      </w:r>
    </w:p>
    <w:p w:rsidR="00EA6439" w:rsidRPr="00EA6439" w:rsidRDefault="00EA6439" w:rsidP="00EA6439">
      <w:pPr>
        <w:pStyle w:val="SingleTxt"/>
        <w:spacing w:after="0" w:line="120" w:lineRule="exact"/>
        <w:rPr>
          <w:sz w:val="10"/>
          <w:lang w:val="fr-FR"/>
        </w:rPr>
      </w:pPr>
    </w:p>
    <w:p w:rsidR="004432C5" w:rsidRDefault="00EA6439" w:rsidP="00EA6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 xml:space="preserve">Réponse à la recommandation du Comité relative aux mesures </w:t>
      </w:r>
      <w:r>
        <w:rPr>
          <w:lang w:val="fr-FR"/>
        </w:rPr>
        <w:br/>
      </w:r>
      <w:r w:rsidR="004432C5" w:rsidRPr="001C7B59">
        <w:rPr>
          <w:lang w:val="fr-FR"/>
        </w:rPr>
        <w:t>prises par l</w:t>
      </w:r>
      <w:r w:rsidR="00DB6EAF" w:rsidRPr="001C7B59">
        <w:rPr>
          <w:lang w:val="fr-FR"/>
        </w:rPr>
        <w:t>’</w:t>
      </w:r>
      <w:r w:rsidR="008E5553">
        <w:rPr>
          <w:lang w:val="fr-FR"/>
        </w:rPr>
        <w:t>État</w:t>
      </w:r>
      <w:r w:rsidR="001C7B59" w:rsidRPr="001C7B59">
        <w:rPr>
          <w:lang w:val="fr-FR"/>
        </w:rPr>
        <w:t xml:space="preserve"> </w:t>
      </w:r>
      <w:r w:rsidR="004432C5" w:rsidRPr="001C7B59">
        <w:rPr>
          <w:lang w:val="fr-FR"/>
        </w:rPr>
        <w:t>pour améliorer l</w:t>
      </w:r>
      <w:r w:rsidR="00DB6EAF" w:rsidRPr="001C7B59">
        <w:rPr>
          <w:lang w:val="fr-FR"/>
        </w:rPr>
        <w:t>’</w:t>
      </w:r>
      <w:r w:rsidR="004432C5" w:rsidRPr="001C7B59">
        <w:rPr>
          <w:lang w:val="fr-FR"/>
        </w:rPr>
        <w:t xml:space="preserve">accès des femmes notamment rurales </w:t>
      </w:r>
      <w:r>
        <w:rPr>
          <w:lang w:val="fr-FR"/>
        </w:rPr>
        <w:br/>
      </w:r>
      <w:r w:rsidR="004432C5" w:rsidRPr="001C7B59">
        <w:rPr>
          <w:lang w:val="fr-FR"/>
        </w:rPr>
        <w:t>aux soins de santé, aux services et à l</w:t>
      </w:r>
      <w:r w:rsidR="00DB6EAF" w:rsidRPr="001C7B59">
        <w:rPr>
          <w:lang w:val="fr-FR"/>
        </w:rPr>
        <w:t>’</w:t>
      </w:r>
      <w:r w:rsidR="004432C5" w:rsidRPr="001C7B59">
        <w:rPr>
          <w:lang w:val="fr-FR"/>
        </w:rPr>
        <w:t>information sanitaire</w:t>
      </w:r>
    </w:p>
    <w:p w:rsidR="00EA6439" w:rsidRPr="00EA6439" w:rsidRDefault="00EA6439" w:rsidP="00EA6439">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plus de la gratuité des soins, d</w:t>
      </w:r>
      <w:r w:rsidR="00DB6EAF" w:rsidRPr="001C7B59">
        <w:rPr>
          <w:lang w:val="fr-FR"/>
        </w:rPr>
        <w:t>’</w:t>
      </w:r>
      <w:r w:rsidRPr="001C7B59">
        <w:rPr>
          <w:lang w:val="fr-FR"/>
        </w:rPr>
        <w:t>autres progrès ont été accomplis grâce aux réformes importantes mises en œuvre pour améliorer la qualité et l</w:t>
      </w:r>
      <w:r w:rsidR="00DB6EAF" w:rsidRPr="001C7B59">
        <w:rPr>
          <w:lang w:val="fr-FR"/>
        </w:rPr>
        <w:t>’</w:t>
      </w:r>
      <w:r w:rsidRPr="001C7B59">
        <w:rPr>
          <w:lang w:val="fr-FR"/>
        </w:rPr>
        <w:t>accessibilité de la population notamment celle des femmes et des enfants des zones rurales aux soins de santé, aux services, à l</w:t>
      </w:r>
      <w:r w:rsidR="00DB6EAF" w:rsidRPr="001C7B59">
        <w:rPr>
          <w:lang w:val="fr-FR"/>
        </w:rPr>
        <w:t>’</w:t>
      </w:r>
      <w:r w:rsidRPr="001C7B59">
        <w:rPr>
          <w:lang w:val="fr-FR"/>
        </w:rPr>
        <w:t>information sanitaire et à la fourniture des services de santé sexuelle et génésique parmi lesquels, on peut citer:</w:t>
      </w:r>
    </w:p>
    <w:p w:rsidR="004432C5" w:rsidRPr="001C7B59" w:rsidRDefault="00EA6439" w:rsidP="00EA6439">
      <w:pPr>
        <w:pStyle w:val="SingleTxt"/>
        <w:tabs>
          <w:tab w:val="right" w:pos="1685"/>
        </w:tabs>
        <w:ind w:left="1742" w:hanging="475"/>
        <w:rPr>
          <w:lang w:val="fr-FR"/>
        </w:rPr>
      </w:pPr>
      <w:r>
        <w:rPr>
          <w:lang w:val="fr-FR"/>
        </w:rPr>
        <w:tab/>
        <w:t>•</w:t>
      </w:r>
      <w:r>
        <w:rPr>
          <w:lang w:val="fr-FR"/>
        </w:rPr>
        <w:tab/>
        <w:t>L</w:t>
      </w:r>
      <w:r w:rsidR="004432C5" w:rsidRPr="001C7B59">
        <w:rPr>
          <w:lang w:val="fr-FR"/>
        </w:rPr>
        <w:t>es campagnes de consultation foraine</w:t>
      </w:r>
      <w:r w:rsidR="00DB6EAF" w:rsidRPr="001C7B59">
        <w:rPr>
          <w:lang w:val="fr-FR"/>
        </w:rPr>
        <w:t>;</w:t>
      </w:r>
    </w:p>
    <w:p w:rsidR="004432C5" w:rsidRPr="001C7B59" w:rsidRDefault="00EA6439" w:rsidP="00EA6439">
      <w:pPr>
        <w:pStyle w:val="SingleTxt"/>
        <w:tabs>
          <w:tab w:val="right" w:pos="1685"/>
        </w:tabs>
        <w:ind w:left="1742" w:hanging="475"/>
        <w:rPr>
          <w:lang w:val="fr-FR"/>
        </w:rPr>
      </w:pPr>
      <w:r>
        <w:rPr>
          <w:lang w:val="fr-FR"/>
        </w:rPr>
        <w:tab/>
        <w:t>•</w:t>
      </w:r>
      <w:r>
        <w:rPr>
          <w:lang w:val="fr-FR"/>
        </w:rPr>
        <w:tab/>
        <w:t>L</w:t>
      </w:r>
      <w:r w:rsidR="004432C5" w:rsidRPr="001C7B59">
        <w:rPr>
          <w:lang w:val="fr-FR"/>
        </w:rPr>
        <w:t>es campagnes de sensibilisation et d</w:t>
      </w:r>
      <w:r w:rsidR="00DB6EAF" w:rsidRPr="001C7B59">
        <w:rPr>
          <w:lang w:val="fr-FR"/>
        </w:rPr>
        <w:t>’</w:t>
      </w:r>
      <w:r w:rsidR="004432C5" w:rsidRPr="001C7B59">
        <w:rPr>
          <w:lang w:val="fr-FR"/>
        </w:rPr>
        <w:t>éducation visant les hommes et les femmes afin d</w:t>
      </w:r>
      <w:r w:rsidR="00DB6EAF" w:rsidRPr="001C7B59">
        <w:rPr>
          <w:lang w:val="fr-FR"/>
        </w:rPr>
        <w:t>’</w:t>
      </w:r>
      <w:r w:rsidR="004432C5" w:rsidRPr="001C7B59">
        <w:rPr>
          <w:lang w:val="fr-FR"/>
        </w:rPr>
        <w:t>éliminer les Mutilations Génitales Féminines (MGF) et les pratiques néfastes</w:t>
      </w:r>
      <w:r w:rsidR="00DB6EAF" w:rsidRPr="001C7B59">
        <w:rPr>
          <w:lang w:val="fr-FR"/>
        </w:rPr>
        <w:t>;</w:t>
      </w:r>
      <w:r w:rsidR="004432C5" w:rsidRPr="001C7B59">
        <w:rPr>
          <w:lang w:val="fr-FR"/>
        </w:rPr>
        <w:t xml:space="preserve"> </w:t>
      </w:r>
    </w:p>
    <w:p w:rsidR="004432C5" w:rsidRPr="001C7B59" w:rsidRDefault="00EA6439" w:rsidP="00EA6439">
      <w:pPr>
        <w:pStyle w:val="SingleTxt"/>
        <w:tabs>
          <w:tab w:val="right" w:pos="1685"/>
        </w:tabs>
        <w:ind w:left="1742" w:hanging="475"/>
        <w:rPr>
          <w:lang w:val="fr-FR"/>
        </w:rPr>
      </w:pPr>
      <w:r>
        <w:rPr>
          <w:lang w:val="fr-FR"/>
        </w:rPr>
        <w:tab/>
        <w:t>•</w:t>
      </w:r>
      <w:r>
        <w:rPr>
          <w:lang w:val="fr-FR"/>
        </w:rPr>
        <w:tab/>
        <w:t>L</w:t>
      </w:r>
      <w:r w:rsidR="004432C5" w:rsidRPr="001C7B59">
        <w:rPr>
          <w:lang w:val="fr-FR"/>
        </w:rPr>
        <w:t>a mise en œuvre de nouvelles stratégies à base communautaire afin de renforcer les capacités d</w:t>
      </w:r>
      <w:r w:rsidR="00DB6EAF" w:rsidRPr="001C7B59">
        <w:rPr>
          <w:lang w:val="fr-FR"/>
        </w:rPr>
        <w:t>’</w:t>
      </w:r>
      <w:r w:rsidR="004432C5" w:rsidRPr="001C7B59">
        <w:rPr>
          <w:lang w:val="fr-FR"/>
        </w:rPr>
        <w:t>intervention des structures de santé à ce niveau (élaboration d</w:t>
      </w:r>
      <w:r w:rsidR="00DB6EAF" w:rsidRPr="001C7B59">
        <w:rPr>
          <w:lang w:val="fr-FR"/>
        </w:rPr>
        <w:t>’</w:t>
      </w:r>
      <w:r w:rsidR="004432C5" w:rsidRPr="001C7B59">
        <w:rPr>
          <w:lang w:val="fr-FR"/>
        </w:rPr>
        <w:t xml:space="preserve">une stratégie à base communautaire et révision du </w:t>
      </w:r>
      <w:r>
        <w:rPr>
          <w:lang w:val="fr-FR"/>
        </w:rPr>
        <w:t>p</w:t>
      </w:r>
      <w:r w:rsidR="004432C5" w:rsidRPr="001C7B59">
        <w:rPr>
          <w:lang w:val="fr-FR"/>
        </w:rPr>
        <w:t xml:space="preserve">aquet </w:t>
      </w:r>
      <w:r>
        <w:rPr>
          <w:lang w:val="fr-FR"/>
        </w:rPr>
        <w:t>m</w:t>
      </w:r>
      <w:r w:rsidR="004432C5" w:rsidRPr="001C7B59">
        <w:rPr>
          <w:lang w:val="fr-FR"/>
        </w:rPr>
        <w:t>inimum d</w:t>
      </w:r>
      <w:r w:rsidR="00DB6EAF" w:rsidRPr="001C7B59">
        <w:rPr>
          <w:lang w:val="fr-FR"/>
        </w:rPr>
        <w:t>’</w:t>
      </w:r>
      <w:r>
        <w:rPr>
          <w:lang w:val="fr-FR"/>
        </w:rPr>
        <w:t>a</w:t>
      </w:r>
      <w:r w:rsidR="004432C5" w:rsidRPr="001C7B59">
        <w:rPr>
          <w:lang w:val="fr-FR"/>
        </w:rPr>
        <w:t xml:space="preserve">ctivités des cases de santé). </w:t>
      </w:r>
    </w:p>
    <w:p w:rsidR="00EA6439" w:rsidRPr="00EA6439" w:rsidRDefault="00EA6439" w:rsidP="00EA6439">
      <w:pPr>
        <w:pStyle w:val="SingleTxt"/>
        <w:spacing w:after="0" w:line="120" w:lineRule="exact"/>
        <w:rPr>
          <w:sz w:val="10"/>
          <w:lang w:val="fr-FR"/>
        </w:rPr>
      </w:pPr>
    </w:p>
    <w:p w:rsidR="004432C5" w:rsidRDefault="00EA6439" w:rsidP="00EA6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Les responsabilités en matière de santé de la reproduction</w:t>
      </w:r>
    </w:p>
    <w:p w:rsidR="00EA6439" w:rsidRPr="00EA6439" w:rsidRDefault="00EA6439" w:rsidP="00EA6439">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La responsabilité de la promotion, de la sauvegarde et de la protection du droit de tout être humain à la santé de la reproduction incombe à la fois à l</w:t>
      </w:r>
      <w:r w:rsidR="00DB6EAF" w:rsidRPr="001C7B59">
        <w:rPr>
          <w:lang w:val="fr-FR"/>
        </w:rPr>
        <w:t>’</w:t>
      </w:r>
      <w:r w:rsidR="008E5553">
        <w:rPr>
          <w:lang w:val="fr-FR"/>
        </w:rPr>
        <w:t>État</w:t>
      </w:r>
      <w:r w:rsidRPr="001C7B59">
        <w:rPr>
          <w:lang w:val="fr-FR"/>
        </w:rPr>
        <w:t xml:space="preserve"> et à ses démembrements, aux groupements communautaires, aux autres personnes morales et aux individus. En d</w:t>
      </w:r>
      <w:r w:rsidR="00DB6EAF" w:rsidRPr="001C7B59">
        <w:rPr>
          <w:lang w:val="fr-FR"/>
        </w:rPr>
        <w:t>’</w:t>
      </w:r>
      <w:r w:rsidRPr="001C7B59">
        <w:rPr>
          <w:lang w:val="fr-FR"/>
        </w:rPr>
        <w:t>autres termes, la santé de la reproduction est l</w:t>
      </w:r>
      <w:r w:rsidR="00DB6EAF" w:rsidRPr="001C7B59">
        <w:rPr>
          <w:lang w:val="fr-FR"/>
        </w:rPr>
        <w:t>’</w:t>
      </w:r>
      <w:r w:rsidRPr="001C7B59">
        <w:rPr>
          <w:lang w:val="fr-FR"/>
        </w:rPr>
        <w:t>affaire de toute la société, ce qui signifie clairement que chacun doit, selon ses moyens et possibilités, contribuer à l</w:t>
      </w:r>
      <w:r w:rsidR="00DB6EAF" w:rsidRPr="001C7B59">
        <w:rPr>
          <w:lang w:val="fr-FR"/>
        </w:rPr>
        <w:t>’</w:t>
      </w:r>
      <w:r w:rsidRPr="001C7B59">
        <w:rPr>
          <w:lang w:val="fr-FR"/>
        </w:rPr>
        <w:t xml:space="preserve">effectivité du droit à la santé de la reproduction. </w:t>
      </w:r>
    </w:p>
    <w:p w:rsidR="00EA6439" w:rsidRPr="00EA6439" w:rsidRDefault="00EA6439" w:rsidP="00EA6439">
      <w:pPr>
        <w:pStyle w:val="SingleTxt"/>
        <w:spacing w:after="0" w:line="120" w:lineRule="exact"/>
        <w:rPr>
          <w:sz w:val="10"/>
          <w:lang w:val="fr-FR"/>
        </w:rPr>
      </w:pPr>
    </w:p>
    <w:p w:rsidR="004432C5" w:rsidRDefault="00EA6439" w:rsidP="00EA6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w:t>
      </w:r>
      <w:r w:rsidR="00D60176" w:rsidRPr="001C7B59">
        <w:rPr>
          <w:lang w:val="fr-FR"/>
        </w:rPr>
        <w:t>anté</w:t>
      </w:r>
      <w:r w:rsidR="004432C5" w:rsidRPr="001C7B59">
        <w:rPr>
          <w:lang w:val="fr-FR"/>
        </w:rPr>
        <w:t xml:space="preserve"> des enfants de 0 à 5 ans</w:t>
      </w:r>
    </w:p>
    <w:p w:rsidR="00EA6439" w:rsidRPr="00EA6439" w:rsidRDefault="00EA6439" w:rsidP="00EA6439">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ce qui concerne la santé des enfants de moins de 5 ans, le taux de mortalité infanto juvénile est passé de 198 pour mille en 2006,</w:t>
      </w:r>
      <w:r w:rsidR="001C7B59" w:rsidRPr="001C7B59">
        <w:rPr>
          <w:lang w:val="fr-FR"/>
        </w:rPr>
        <w:t xml:space="preserve"> </w:t>
      </w:r>
      <w:r w:rsidRPr="001C7B59">
        <w:rPr>
          <w:lang w:val="fr-FR"/>
        </w:rPr>
        <w:t xml:space="preserve">à 108, 7 en 2010. Parmi les facteurs contributifs, il faut noter la gratuité des </w:t>
      </w:r>
      <w:r w:rsidR="00EA6439">
        <w:rPr>
          <w:lang w:val="fr-FR"/>
        </w:rPr>
        <w:t>soins des enfants de moins de 5 </w:t>
      </w:r>
      <w:r w:rsidRPr="001C7B59">
        <w:rPr>
          <w:lang w:val="fr-FR"/>
        </w:rPr>
        <w:t>ans, la baisse du taux de létalité du paludisme qui est passé de 0, 27</w:t>
      </w:r>
      <w:r w:rsidR="007B382B">
        <w:rPr>
          <w:lang w:val="fr-FR"/>
        </w:rPr>
        <w:t> %</w:t>
      </w:r>
      <w:r w:rsidRPr="001C7B59">
        <w:rPr>
          <w:lang w:val="fr-FR"/>
        </w:rPr>
        <w:t xml:space="preserve"> en 2005 à 0,13</w:t>
      </w:r>
      <w:r w:rsidR="007B382B">
        <w:rPr>
          <w:lang w:val="fr-FR"/>
        </w:rPr>
        <w:t> %</w:t>
      </w:r>
      <w:r w:rsidRPr="001C7B59">
        <w:rPr>
          <w:lang w:val="fr-FR"/>
        </w:rPr>
        <w:t xml:space="preserve"> en 2008, le taux de couverture vaccinale contre la rougeole est supérieur à 80</w:t>
      </w:r>
      <w:r w:rsidR="007B382B">
        <w:rPr>
          <w:lang w:val="fr-FR"/>
        </w:rPr>
        <w:t> %</w:t>
      </w:r>
      <w:r w:rsidRPr="001C7B59">
        <w:rPr>
          <w:lang w:val="fr-FR"/>
        </w:rPr>
        <w:t xml:space="preserve"> depuis 2005, le taux de récupération des malnutris est passé de 29</w:t>
      </w:r>
      <w:r w:rsidR="007B382B">
        <w:rPr>
          <w:lang w:val="fr-FR"/>
        </w:rPr>
        <w:t> %</w:t>
      </w:r>
      <w:r w:rsidRPr="001C7B59">
        <w:rPr>
          <w:lang w:val="fr-FR"/>
        </w:rPr>
        <w:t xml:space="preserve"> en 2005 à 120,5</w:t>
      </w:r>
      <w:r w:rsidR="007B382B">
        <w:rPr>
          <w:lang w:val="fr-FR"/>
        </w:rPr>
        <w:t> %</w:t>
      </w:r>
      <w:r w:rsidRPr="001C7B59">
        <w:rPr>
          <w:lang w:val="fr-FR"/>
        </w:rPr>
        <w:t xml:space="preserve"> en 2010 (Source Indicateurs suivi PDS), le taux d</w:t>
      </w:r>
      <w:r w:rsidR="00DB6EAF" w:rsidRPr="001C7B59">
        <w:rPr>
          <w:lang w:val="fr-FR"/>
        </w:rPr>
        <w:t>’</w:t>
      </w:r>
      <w:r w:rsidRPr="001C7B59">
        <w:rPr>
          <w:lang w:val="fr-FR"/>
        </w:rPr>
        <w:t>allaitement maternel exclusif jusqu</w:t>
      </w:r>
      <w:r w:rsidR="00DB6EAF" w:rsidRPr="001C7B59">
        <w:rPr>
          <w:lang w:val="fr-FR"/>
        </w:rPr>
        <w:t>’</w:t>
      </w:r>
      <w:r w:rsidRPr="001C7B59">
        <w:rPr>
          <w:lang w:val="fr-FR"/>
        </w:rPr>
        <w:t>à 6 mois qui était de 10</w:t>
      </w:r>
      <w:r w:rsidR="007B382B">
        <w:rPr>
          <w:lang w:val="fr-FR"/>
        </w:rPr>
        <w:t> %</w:t>
      </w:r>
      <w:r w:rsidRPr="001C7B59">
        <w:rPr>
          <w:lang w:val="fr-FR"/>
        </w:rPr>
        <w:t xml:space="preserve"> en 2006</w:t>
      </w:r>
      <w:r w:rsidR="001C7B59" w:rsidRPr="001C7B59">
        <w:rPr>
          <w:lang w:val="fr-FR"/>
        </w:rPr>
        <w:t xml:space="preserve"> </w:t>
      </w:r>
      <w:r w:rsidRPr="001C7B59">
        <w:rPr>
          <w:lang w:val="fr-FR"/>
        </w:rPr>
        <w:t>est estimé à 26</w:t>
      </w:r>
      <w:r w:rsidR="007B382B">
        <w:rPr>
          <w:lang w:val="fr-FR"/>
        </w:rPr>
        <w:t> %</w:t>
      </w:r>
      <w:r w:rsidRPr="001C7B59">
        <w:rPr>
          <w:lang w:val="fr-FR"/>
        </w:rPr>
        <w:t xml:space="preserve"> en 2011.</w:t>
      </w:r>
      <w:r w:rsidR="001C7B59" w:rsidRPr="001C7B59">
        <w:rPr>
          <w:lang w:val="fr-FR"/>
        </w:rPr>
        <w:t xml:space="preserve"> </w:t>
      </w:r>
      <w:r w:rsidRPr="001C7B59">
        <w:rPr>
          <w:lang w:val="fr-FR"/>
        </w:rPr>
        <w:t>Sur ces bases le pays pourrait se rapprocher de son objectif de 114 pour mille en 2015.</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Par contre, le taux de mortalité néonatale a connu une légère hausse, passant de 33,0 à 34,3 pour mille NV de 2006 à 2010.</w:t>
      </w:r>
    </w:p>
    <w:p w:rsidR="00EA6439" w:rsidRPr="00EA6439" w:rsidRDefault="00EA6439" w:rsidP="00EA6439">
      <w:pPr>
        <w:pStyle w:val="SingleTxt"/>
        <w:spacing w:after="0" w:line="120" w:lineRule="exact"/>
        <w:rPr>
          <w:sz w:val="10"/>
          <w:lang w:val="fr-FR"/>
        </w:rPr>
      </w:pPr>
    </w:p>
    <w:p w:rsidR="004432C5" w:rsidRDefault="00EA6439" w:rsidP="00EA6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La mortalité maternelle</w:t>
      </w:r>
    </w:p>
    <w:p w:rsidR="00EA6439" w:rsidRPr="00EA6439" w:rsidRDefault="00EA6439" w:rsidP="00EA6439">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 ratio de mortalité maternelle est en baisse, passant de 648 pour 100 000 NV en 2006 à 554 pour 100 000 NV en 2010 (source EDSN 2010).Parmi les facteurs contributifs, on retient que la proportion des accouchements assistés par un personnel qualifié a évolué de 17,7</w:t>
      </w:r>
      <w:r w:rsidR="007B382B">
        <w:rPr>
          <w:lang w:val="fr-FR"/>
        </w:rPr>
        <w:t> %</w:t>
      </w:r>
      <w:r w:rsidRPr="001C7B59">
        <w:rPr>
          <w:lang w:val="fr-FR"/>
        </w:rPr>
        <w:t xml:space="preserve"> en 2006 à 29,5</w:t>
      </w:r>
      <w:r w:rsidR="007B382B">
        <w:rPr>
          <w:lang w:val="fr-FR"/>
        </w:rPr>
        <w:t> %</w:t>
      </w:r>
      <w:r w:rsidRPr="001C7B59">
        <w:rPr>
          <w:lang w:val="fr-FR"/>
        </w:rPr>
        <w:t xml:space="preserve"> en 2010 (SNIS). Cette proportion est de 37,1</w:t>
      </w:r>
      <w:r w:rsidR="007B382B">
        <w:rPr>
          <w:lang w:val="fr-FR"/>
        </w:rPr>
        <w:t> %</w:t>
      </w:r>
      <w:r w:rsidRPr="001C7B59">
        <w:rPr>
          <w:lang w:val="fr-FR"/>
        </w:rPr>
        <w:t xml:space="preserve"> selon l</w:t>
      </w:r>
      <w:r w:rsidR="00DB6EAF" w:rsidRPr="001C7B59">
        <w:rPr>
          <w:lang w:val="fr-FR"/>
        </w:rPr>
        <w:t>’</w:t>
      </w:r>
      <w:r w:rsidR="00EA6439">
        <w:rPr>
          <w:lang w:val="fr-FR"/>
        </w:rPr>
        <w:t>E</w:t>
      </w:r>
      <w:r w:rsidRPr="001C7B59">
        <w:rPr>
          <w:lang w:val="fr-FR"/>
        </w:rPr>
        <w:t xml:space="preserve">nquête </w:t>
      </w:r>
      <w:r w:rsidR="00EA6439">
        <w:rPr>
          <w:lang w:val="fr-FR"/>
        </w:rPr>
        <w:t>n</w:t>
      </w:r>
      <w:r w:rsidR="00D60176" w:rsidRPr="001C7B59">
        <w:rPr>
          <w:lang w:val="fr-FR"/>
        </w:rPr>
        <w:t>ational</w:t>
      </w:r>
      <w:r w:rsidRPr="001C7B59">
        <w:rPr>
          <w:lang w:val="fr-FR"/>
        </w:rPr>
        <w:t xml:space="preserve">e </w:t>
      </w:r>
      <w:r w:rsidR="00EA6439">
        <w:rPr>
          <w:lang w:val="fr-FR"/>
        </w:rPr>
        <w:t>s</w:t>
      </w:r>
      <w:r w:rsidRPr="001C7B59">
        <w:rPr>
          <w:lang w:val="fr-FR"/>
        </w:rPr>
        <w:t xml:space="preserve">urvie </w:t>
      </w:r>
      <w:r w:rsidR="00EA6439">
        <w:rPr>
          <w:lang w:val="fr-FR"/>
        </w:rPr>
        <w:t>m</w:t>
      </w:r>
      <w:r w:rsidRPr="001C7B59">
        <w:rPr>
          <w:lang w:val="fr-FR"/>
        </w:rPr>
        <w:t>ortalité</w:t>
      </w:r>
      <w:r w:rsidR="00EA6439">
        <w:rPr>
          <w:lang w:val="fr-FR"/>
        </w:rPr>
        <w:t xml:space="preserve"> </w:t>
      </w:r>
      <w:r w:rsidRPr="001C7B59">
        <w:rPr>
          <w:lang w:val="fr-FR"/>
        </w:rPr>
        <w:t>(ENSM) 2010 (source INS), il est fort probable que la cible de 50</w:t>
      </w:r>
      <w:r w:rsidR="007B382B">
        <w:rPr>
          <w:lang w:val="fr-FR"/>
        </w:rPr>
        <w:t> %</w:t>
      </w:r>
      <w:r w:rsidR="001C7B59" w:rsidRPr="001C7B59">
        <w:rPr>
          <w:lang w:val="fr-FR"/>
        </w:rPr>
        <w:t xml:space="preserve"> </w:t>
      </w:r>
      <w:r w:rsidRPr="001C7B59">
        <w:rPr>
          <w:lang w:val="fr-FR"/>
        </w:rPr>
        <w:t xml:space="preserve">en 2015 soit atteinte.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D</w:t>
      </w:r>
      <w:r w:rsidR="00DB6EAF" w:rsidRPr="001C7B59">
        <w:rPr>
          <w:lang w:val="fr-FR"/>
        </w:rPr>
        <w:t>’</w:t>
      </w:r>
      <w:r w:rsidRPr="001C7B59">
        <w:rPr>
          <w:lang w:val="fr-FR"/>
        </w:rPr>
        <w:t>autres facteurs sont plus encourageants comme le taux de mortalité maternelle intra hospitalière qui passe de 2,2</w:t>
      </w:r>
      <w:r w:rsidR="007B382B">
        <w:rPr>
          <w:lang w:val="fr-FR"/>
        </w:rPr>
        <w:t> %</w:t>
      </w:r>
      <w:r w:rsidRPr="001C7B59">
        <w:rPr>
          <w:lang w:val="fr-FR"/>
        </w:rPr>
        <w:t xml:space="preserve"> en 2005 à 0,2</w:t>
      </w:r>
      <w:r w:rsidR="007B382B">
        <w:rPr>
          <w:lang w:val="fr-FR"/>
        </w:rPr>
        <w:t> %</w:t>
      </w:r>
      <w:r w:rsidRPr="001C7B59">
        <w:rPr>
          <w:lang w:val="fr-FR"/>
        </w:rPr>
        <w:t xml:space="preserve"> en 2010. Cependant, le taux de césariennes reste en deçà du minimum de 5</w:t>
      </w:r>
      <w:r w:rsidR="007B382B">
        <w:rPr>
          <w:lang w:val="fr-FR"/>
        </w:rPr>
        <w:t> %</w:t>
      </w:r>
      <w:r w:rsidRPr="001C7B59">
        <w:rPr>
          <w:lang w:val="fr-FR"/>
        </w:rPr>
        <w:t xml:space="preserve"> bien qu</w:t>
      </w:r>
      <w:r w:rsidR="00DB6EAF" w:rsidRPr="001C7B59">
        <w:rPr>
          <w:lang w:val="fr-FR"/>
        </w:rPr>
        <w:t>’</w:t>
      </w:r>
      <w:r w:rsidRPr="001C7B59">
        <w:rPr>
          <w:lang w:val="fr-FR"/>
        </w:rPr>
        <w:t>il ait connu une légère augmentation de 0, 4 points passant de 0,8</w:t>
      </w:r>
      <w:r w:rsidR="007B382B">
        <w:rPr>
          <w:lang w:val="fr-FR"/>
        </w:rPr>
        <w:t> %</w:t>
      </w:r>
      <w:r w:rsidRPr="001C7B59">
        <w:rPr>
          <w:lang w:val="fr-FR"/>
        </w:rPr>
        <w:t xml:space="preserve"> en 2005 à 1,3</w:t>
      </w:r>
      <w:r w:rsidR="007B382B">
        <w:rPr>
          <w:lang w:val="fr-FR"/>
        </w:rPr>
        <w:t> %</w:t>
      </w:r>
      <w:r w:rsidRPr="001C7B59">
        <w:rPr>
          <w:lang w:val="fr-FR"/>
        </w:rPr>
        <w:t xml:space="preserve"> en 2010 et ce malgré tous les efforts en matière de renforcement des plateaux techniques et la gratuité. Le taux de prévalence contraceptive qui était de 5</w:t>
      </w:r>
      <w:r w:rsidR="007B382B">
        <w:rPr>
          <w:lang w:val="fr-FR"/>
        </w:rPr>
        <w:t> %</w:t>
      </w:r>
      <w:r w:rsidRPr="001C7B59">
        <w:rPr>
          <w:lang w:val="fr-FR"/>
        </w:rPr>
        <w:t xml:space="preserve"> en 2006 (EDSN, 2006)</w:t>
      </w:r>
      <w:r w:rsidR="001C7B59" w:rsidRPr="001C7B59">
        <w:rPr>
          <w:lang w:val="fr-FR"/>
        </w:rPr>
        <w:t xml:space="preserve"> </w:t>
      </w:r>
      <w:r w:rsidRPr="001C7B59">
        <w:rPr>
          <w:lang w:val="fr-FR"/>
        </w:rPr>
        <w:t>a connu une progression passant de 16</w:t>
      </w:r>
      <w:r w:rsidR="007B382B">
        <w:rPr>
          <w:lang w:val="fr-FR"/>
        </w:rPr>
        <w:t> %</w:t>
      </w:r>
      <w:r w:rsidRPr="001C7B59">
        <w:rPr>
          <w:lang w:val="fr-FR"/>
        </w:rPr>
        <w:t xml:space="preserve"> à 21</w:t>
      </w:r>
      <w:r w:rsidR="007B382B">
        <w:rPr>
          <w:lang w:val="fr-FR"/>
        </w:rPr>
        <w:t> %</w:t>
      </w:r>
      <w:r w:rsidRPr="001C7B59">
        <w:rPr>
          <w:lang w:val="fr-FR"/>
        </w:rPr>
        <w:t xml:space="preserve"> en 2009 (enquête prévalence 2009). En 2011, d</w:t>
      </w:r>
      <w:r w:rsidR="00DB6EAF" w:rsidRPr="001C7B59">
        <w:rPr>
          <w:lang w:val="fr-FR"/>
        </w:rPr>
        <w:t>’</w:t>
      </w:r>
      <w:r w:rsidRPr="001C7B59">
        <w:rPr>
          <w:lang w:val="fr-FR"/>
        </w:rPr>
        <w:t>importants efforts ont été consentis par toutes les régions comparativement à l</w:t>
      </w:r>
      <w:r w:rsidR="00DB6EAF" w:rsidRPr="001C7B59">
        <w:rPr>
          <w:lang w:val="fr-FR"/>
        </w:rPr>
        <w:t>’</w:t>
      </w:r>
      <w:r w:rsidRPr="001C7B59">
        <w:rPr>
          <w:lang w:val="fr-FR"/>
        </w:rPr>
        <w:t>année 2010 pour faire augmenter le taux d</w:t>
      </w:r>
      <w:r w:rsidR="00DB6EAF" w:rsidRPr="001C7B59">
        <w:rPr>
          <w:lang w:val="fr-FR"/>
        </w:rPr>
        <w:t>’</w:t>
      </w:r>
      <w:r w:rsidRPr="001C7B59">
        <w:rPr>
          <w:lang w:val="fr-FR"/>
        </w:rPr>
        <w:t xml:space="preserve">utilisation de la </w:t>
      </w:r>
      <w:r w:rsidR="00DE024F">
        <w:rPr>
          <w:lang w:val="fr-FR"/>
        </w:rPr>
        <w:t>planification</w:t>
      </w:r>
      <w:r w:rsidRPr="001C7B59">
        <w:rPr>
          <w:lang w:val="fr-FR"/>
        </w:rPr>
        <w:t xml:space="preserve"> </w:t>
      </w:r>
      <w:r w:rsidR="00DE024F">
        <w:rPr>
          <w:lang w:val="fr-FR"/>
        </w:rPr>
        <w:t>familial</w:t>
      </w:r>
      <w:r w:rsidRPr="001C7B59">
        <w:rPr>
          <w:lang w:val="fr-FR"/>
        </w:rPr>
        <w:t>e (PF). Au niveau national, l</w:t>
      </w:r>
      <w:r w:rsidR="00DB6EAF" w:rsidRPr="001C7B59">
        <w:rPr>
          <w:lang w:val="fr-FR"/>
        </w:rPr>
        <w:t>’</w:t>
      </w:r>
      <w:r w:rsidRPr="001C7B59">
        <w:rPr>
          <w:lang w:val="fr-FR"/>
        </w:rPr>
        <w:t>objectif de 23</w:t>
      </w:r>
      <w:r w:rsidR="007B382B">
        <w:rPr>
          <w:lang w:val="fr-FR"/>
        </w:rPr>
        <w:t> %</w:t>
      </w:r>
      <w:r w:rsidRPr="001C7B59">
        <w:rPr>
          <w:lang w:val="fr-FR"/>
        </w:rPr>
        <w:t xml:space="preserve"> fixé a été atteint. Les plus forts taux ont été enregistrés à Niamey (42,66</w:t>
      </w:r>
      <w:r w:rsidR="007B382B">
        <w:rPr>
          <w:lang w:val="fr-FR"/>
        </w:rPr>
        <w:t> %</w:t>
      </w:r>
      <w:r w:rsidRPr="001C7B59">
        <w:rPr>
          <w:lang w:val="fr-FR"/>
        </w:rPr>
        <w:t>), à Zinder (28,19</w:t>
      </w:r>
      <w:r w:rsidR="007B382B">
        <w:rPr>
          <w:lang w:val="fr-FR"/>
        </w:rPr>
        <w:t> %</w:t>
      </w:r>
      <w:r w:rsidRPr="001C7B59">
        <w:rPr>
          <w:lang w:val="fr-FR"/>
        </w:rPr>
        <w:t>) et à Agadez (26,28</w:t>
      </w:r>
      <w:r w:rsidR="007B382B">
        <w:rPr>
          <w:lang w:val="fr-FR"/>
        </w:rPr>
        <w:t> %</w:t>
      </w:r>
      <w:r w:rsidRPr="001C7B59">
        <w:rPr>
          <w:lang w:val="fr-FR"/>
        </w:rPr>
        <w:t>). Le plus faible taux a été observé à Diffa avec 14,13</w:t>
      </w:r>
      <w:r w:rsidR="007B382B">
        <w:rPr>
          <w:lang w:val="fr-FR"/>
        </w:rPr>
        <w:t> %</w:t>
      </w:r>
      <w:r w:rsidRPr="001C7B59">
        <w:rPr>
          <w:lang w:val="fr-FR"/>
        </w:rPr>
        <w:t xml:space="preserve">.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Cette performance est due essentiellement à l</w:t>
      </w:r>
      <w:r w:rsidR="00DB6EAF" w:rsidRPr="001C7B59">
        <w:rPr>
          <w:lang w:val="fr-FR"/>
        </w:rPr>
        <w:t>’</w:t>
      </w:r>
      <w:r w:rsidRPr="001C7B59">
        <w:rPr>
          <w:lang w:val="fr-FR"/>
        </w:rPr>
        <w:t>intensification de la sensibilisation de la population, à l</w:t>
      </w:r>
      <w:r w:rsidR="00DB6EAF" w:rsidRPr="001C7B59">
        <w:rPr>
          <w:lang w:val="fr-FR"/>
        </w:rPr>
        <w:t>’</w:t>
      </w:r>
      <w:r w:rsidRPr="001C7B59">
        <w:rPr>
          <w:lang w:val="fr-FR"/>
        </w:rPr>
        <w:t>amélioration de la</w:t>
      </w:r>
      <w:r w:rsidR="001C7B59" w:rsidRPr="001C7B59">
        <w:rPr>
          <w:lang w:val="fr-FR"/>
        </w:rPr>
        <w:t xml:space="preserve"> </w:t>
      </w:r>
      <w:r w:rsidRPr="001C7B59">
        <w:rPr>
          <w:lang w:val="fr-FR"/>
        </w:rPr>
        <w:t>disponibilité et de la gestion des intrants, au renforcement des capacités des agents en PF, à l</w:t>
      </w:r>
      <w:r w:rsidR="00DB6EAF" w:rsidRPr="001C7B59">
        <w:rPr>
          <w:lang w:val="fr-FR"/>
        </w:rPr>
        <w:t>’</w:t>
      </w:r>
      <w:r w:rsidRPr="001C7B59">
        <w:rPr>
          <w:lang w:val="fr-FR"/>
        </w:rPr>
        <w:t xml:space="preserve">extension des sites de </w:t>
      </w:r>
      <w:r w:rsidR="002514CC">
        <w:rPr>
          <w:lang w:val="fr-FR"/>
        </w:rPr>
        <w:t>d</w:t>
      </w:r>
      <w:r w:rsidRPr="001C7B59">
        <w:rPr>
          <w:lang w:val="fr-FR"/>
        </w:rPr>
        <w:t xml:space="preserve">istribution à </w:t>
      </w:r>
      <w:r w:rsidR="002514CC">
        <w:rPr>
          <w:lang w:val="fr-FR"/>
        </w:rPr>
        <w:t>b</w:t>
      </w:r>
      <w:r w:rsidRPr="001C7B59">
        <w:rPr>
          <w:lang w:val="fr-FR"/>
        </w:rPr>
        <w:t xml:space="preserve">ase </w:t>
      </w:r>
      <w:r w:rsidR="002514CC">
        <w:rPr>
          <w:lang w:val="fr-FR"/>
        </w:rPr>
        <w:t>c</w:t>
      </w:r>
      <w:r w:rsidRPr="001C7B59">
        <w:rPr>
          <w:lang w:val="fr-FR"/>
        </w:rPr>
        <w:t>ommunautaire (DBC) et à la réalisation par les C</w:t>
      </w:r>
      <w:r w:rsidR="002514CC">
        <w:rPr>
          <w:lang w:val="fr-FR"/>
        </w:rPr>
        <w:t>SI des activités foraines. Le re</w:t>
      </w:r>
      <w:r w:rsidRPr="001C7B59">
        <w:rPr>
          <w:lang w:val="fr-FR"/>
        </w:rPr>
        <w:t>positionnement de la PF qui regroupe huit pays de l</w:t>
      </w:r>
      <w:r w:rsidR="00DB6EAF" w:rsidRPr="001C7B59">
        <w:rPr>
          <w:lang w:val="fr-FR"/>
        </w:rPr>
        <w:t>’</w:t>
      </w:r>
      <w:r w:rsidRPr="001C7B59">
        <w:rPr>
          <w:lang w:val="fr-FR"/>
        </w:rPr>
        <w:t>Afrique de l</w:t>
      </w:r>
      <w:r w:rsidR="00DB6EAF" w:rsidRPr="001C7B59">
        <w:rPr>
          <w:lang w:val="fr-FR"/>
        </w:rPr>
        <w:t>’</w:t>
      </w:r>
      <w:r w:rsidRPr="001C7B59">
        <w:rPr>
          <w:lang w:val="fr-FR"/>
        </w:rPr>
        <w:t xml:space="preserve">Ouest et le </w:t>
      </w:r>
      <w:r w:rsidR="002514CC">
        <w:rPr>
          <w:lang w:val="fr-FR"/>
        </w:rPr>
        <w:t>P</w:t>
      </w:r>
      <w:r w:rsidRPr="001C7B59">
        <w:rPr>
          <w:lang w:val="fr-FR"/>
        </w:rPr>
        <w:t>artenariat de Ouagadougou en 2012 ont permis au Niger de se doter d</w:t>
      </w:r>
      <w:r w:rsidR="00DB6EAF" w:rsidRPr="001C7B59">
        <w:rPr>
          <w:lang w:val="fr-FR"/>
        </w:rPr>
        <w:t>’</w:t>
      </w:r>
      <w:r w:rsidRPr="001C7B59">
        <w:rPr>
          <w:lang w:val="fr-FR"/>
        </w:rPr>
        <w:t>un Plan d</w:t>
      </w:r>
      <w:r w:rsidR="00DB6EAF" w:rsidRPr="001C7B59">
        <w:rPr>
          <w:lang w:val="fr-FR"/>
        </w:rPr>
        <w:t>’</w:t>
      </w:r>
      <w:r w:rsidRPr="001C7B59">
        <w:rPr>
          <w:lang w:val="fr-FR"/>
        </w:rPr>
        <w:t xml:space="preserve">Action 2012-2020.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On note également une amélioration du taux de consultation prénatale qui passe de</w:t>
      </w:r>
      <w:r w:rsidR="001C7B59" w:rsidRPr="001C7B59">
        <w:rPr>
          <w:lang w:val="fr-FR"/>
        </w:rPr>
        <w:t xml:space="preserve"> </w:t>
      </w:r>
      <w:r w:rsidRPr="001C7B59">
        <w:rPr>
          <w:lang w:val="fr-FR"/>
        </w:rPr>
        <w:t>36</w:t>
      </w:r>
      <w:r w:rsidR="007B382B">
        <w:rPr>
          <w:lang w:val="fr-FR"/>
        </w:rPr>
        <w:t> %</w:t>
      </w:r>
      <w:r w:rsidRPr="001C7B59">
        <w:rPr>
          <w:lang w:val="fr-FR"/>
        </w:rPr>
        <w:t xml:space="preserve"> en 2006 à 94, 9</w:t>
      </w:r>
      <w:r w:rsidR="007B382B">
        <w:rPr>
          <w:lang w:val="fr-FR"/>
        </w:rPr>
        <w:t> %</w:t>
      </w:r>
      <w:r w:rsidRPr="001C7B59">
        <w:rPr>
          <w:lang w:val="fr-FR"/>
        </w:rPr>
        <w:t xml:space="preserve"> en 2010 et de la Consultation Post Natale (CPON) qui passe de 9</w:t>
      </w:r>
      <w:r w:rsidR="007B382B">
        <w:rPr>
          <w:lang w:val="fr-FR"/>
        </w:rPr>
        <w:t> %</w:t>
      </w:r>
      <w:r w:rsidRPr="001C7B59">
        <w:rPr>
          <w:lang w:val="fr-FR"/>
        </w:rPr>
        <w:t xml:space="preserve"> à 27,1</w:t>
      </w:r>
      <w:r w:rsidR="007B382B">
        <w:rPr>
          <w:lang w:val="fr-FR"/>
        </w:rPr>
        <w:t> %</w:t>
      </w:r>
      <w:r w:rsidRPr="001C7B59">
        <w:rPr>
          <w:lang w:val="fr-FR"/>
        </w:rPr>
        <w:t xml:space="preserve"> pour la même période.</w:t>
      </w:r>
      <w:r w:rsidR="001C7B59" w:rsidRPr="001C7B59">
        <w:rPr>
          <w:lang w:val="fr-FR"/>
        </w:rPr>
        <w:t xml:space="preserve"> </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Lutte contre le VIH/</w:t>
      </w:r>
      <w:r w:rsidR="001C7B59" w:rsidRPr="001C7B59">
        <w:rPr>
          <w:lang w:val="fr-FR"/>
        </w:rPr>
        <w:t>sida</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ce qui concerne le VIH/</w:t>
      </w:r>
      <w:r w:rsidR="001C7B59" w:rsidRPr="001C7B59">
        <w:rPr>
          <w:lang w:val="fr-FR"/>
        </w:rPr>
        <w:t>sida</w:t>
      </w:r>
      <w:r w:rsidRPr="001C7B59">
        <w:rPr>
          <w:lang w:val="fr-FR"/>
        </w:rPr>
        <w:t xml:space="preserve"> particulièrement, le Niger a élaboré un nouveau Cadre </w:t>
      </w:r>
      <w:r w:rsidR="008E5553">
        <w:rPr>
          <w:lang w:val="fr-FR"/>
        </w:rPr>
        <w:t>stratégi</w:t>
      </w:r>
      <w:r w:rsidRPr="001C7B59">
        <w:rPr>
          <w:lang w:val="fr-FR"/>
        </w:rPr>
        <w:t xml:space="preserve">que </w:t>
      </w:r>
      <w:r w:rsidR="00D60176" w:rsidRPr="001C7B59">
        <w:rPr>
          <w:lang w:val="fr-FR"/>
        </w:rPr>
        <w:t>national</w:t>
      </w:r>
      <w:r w:rsidRPr="001C7B59">
        <w:rPr>
          <w:lang w:val="fr-FR"/>
        </w:rPr>
        <w:t xml:space="preserve"> (CSN) 2008-2012 adopté en décembre 2008 et un Plan </w:t>
      </w:r>
      <w:r w:rsidR="00D60176" w:rsidRPr="001C7B59">
        <w:rPr>
          <w:lang w:val="fr-FR"/>
        </w:rPr>
        <w:t>national</w:t>
      </w:r>
      <w:r w:rsidRPr="001C7B59">
        <w:rPr>
          <w:lang w:val="fr-FR"/>
        </w:rPr>
        <w:t xml:space="preserve"> </w:t>
      </w:r>
      <w:r w:rsidR="00DE024F">
        <w:rPr>
          <w:lang w:val="fr-FR"/>
        </w:rPr>
        <w:t>multisectoriel</w:t>
      </w:r>
      <w:r w:rsidR="006E6940">
        <w:rPr>
          <w:lang w:val="fr-FR"/>
        </w:rPr>
        <w:t xml:space="preserve"> </w:t>
      </w:r>
      <w:r w:rsidRPr="001C7B59">
        <w:rPr>
          <w:lang w:val="fr-FR"/>
        </w:rPr>
        <w:t>(PNM)</w:t>
      </w:r>
      <w:r w:rsidR="001C7B59" w:rsidRPr="001C7B59">
        <w:rPr>
          <w:lang w:val="fr-FR"/>
        </w:rPr>
        <w:t xml:space="preserve"> </w:t>
      </w:r>
      <w:r w:rsidRPr="001C7B59">
        <w:rPr>
          <w:lang w:val="fr-FR"/>
        </w:rPr>
        <w:t>triennal 2009-2011 validé de manière participative à tous les niveaux. Le contenu du PNM 2009-2011 vise à renforcer les acquis dans les aspects normatifs de santé, la prévention, les soins, l</w:t>
      </w:r>
      <w:r w:rsidR="00DB6EAF" w:rsidRPr="001C7B59">
        <w:rPr>
          <w:lang w:val="fr-FR"/>
        </w:rPr>
        <w:t>’</w:t>
      </w:r>
      <w:r w:rsidRPr="001C7B59">
        <w:rPr>
          <w:lang w:val="fr-FR"/>
        </w:rPr>
        <w:t xml:space="preserve">accès aux médicaments </w:t>
      </w:r>
      <w:r w:rsidR="006E6940">
        <w:rPr>
          <w:lang w:val="fr-FR"/>
        </w:rPr>
        <w:t>antir</w:t>
      </w:r>
      <w:r w:rsidRPr="001C7B59">
        <w:rPr>
          <w:lang w:val="fr-FR"/>
        </w:rPr>
        <w:t>étroviraux</w:t>
      </w:r>
      <w:r w:rsidR="006E6940">
        <w:rPr>
          <w:lang w:val="fr-FR"/>
        </w:rPr>
        <w:t xml:space="preserve"> </w:t>
      </w:r>
      <w:r w:rsidRPr="001C7B59">
        <w:rPr>
          <w:lang w:val="fr-FR"/>
        </w:rPr>
        <w:t>(ARV) et l</w:t>
      </w:r>
      <w:r w:rsidR="00DB6EAF" w:rsidRPr="001C7B59">
        <w:rPr>
          <w:lang w:val="fr-FR"/>
        </w:rPr>
        <w:t>’</w:t>
      </w:r>
      <w:r w:rsidRPr="001C7B59">
        <w:rPr>
          <w:lang w:val="fr-FR"/>
        </w:rPr>
        <w:t>atténuation des effets négatifs de l</w:t>
      </w:r>
      <w:r w:rsidR="00DB6EAF" w:rsidRPr="001C7B59">
        <w:rPr>
          <w:lang w:val="fr-FR"/>
        </w:rPr>
        <w:t>’</w:t>
      </w:r>
      <w:r w:rsidRPr="001C7B59">
        <w:rPr>
          <w:lang w:val="fr-FR"/>
        </w:rPr>
        <w:t>épidémie. Les actions y sont identifiées suivant les axes stratégiques définis ainsi:</w:t>
      </w:r>
    </w:p>
    <w:p w:rsidR="004432C5" w:rsidRPr="001C7B59" w:rsidRDefault="002514CC" w:rsidP="002514CC">
      <w:pPr>
        <w:pStyle w:val="SingleTxt"/>
        <w:tabs>
          <w:tab w:val="right" w:pos="1685"/>
        </w:tabs>
        <w:ind w:left="1742" w:hanging="475"/>
        <w:rPr>
          <w:lang w:val="fr-FR"/>
        </w:rPr>
      </w:pPr>
      <w:r>
        <w:rPr>
          <w:lang w:val="fr-FR"/>
        </w:rPr>
        <w:tab/>
        <w:t>•</w:t>
      </w:r>
      <w:r>
        <w:rPr>
          <w:lang w:val="fr-FR"/>
        </w:rPr>
        <w:tab/>
        <w:t>P</w:t>
      </w:r>
      <w:r w:rsidR="004432C5" w:rsidRPr="001C7B59">
        <w:rPr>
          <w:lang w:val="fr-FR"/>
        </w:rPr>
        <w:t>laidoyer, coordination, partenariat et mobilisation des ressources</w:t>
      </w:r>
      <w:r w:rsidR="00DB6EAF"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t>P</w:t>
      </w:r>
      <w:r w:rsidR="004432C5" w:rsidRPr="001C7B59">
        <w:rPr>
          <w:lang w:val="fr-FR"/>
        </w:rPr>
        <w:t>révention et promotion du dépistage</w:t>
      </w:r>
      <w:r w:rsidR="00DB6EAF"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t>A</w:t>
      </w:r>
      <w:r w:rsidR="004432C5" w:rsidRPr="001C7B59">
        <w:rPr>
          <w:lang w:val="fr-FR"/>
        </w:rPr>
        <w:t>ccès aux soins et au traitement</w:t>
      </w:r>
      <w:r w:rsidR="00DB6EAF"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t>S</w:t>
      </w:r>
      <w:r w:rsidR="004432C5" w:rsidRPr="001C7B59">
        <w:rPr>
          <w:lang w:val="fr-FR"/>
        </w:rPr>
        <w:t>outien aux personnes infectées et affectées et promotion des droits humains</w:t>
      </w:r>
      <w:r w:rsidR="00DB6EAF"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t>S</w:t>
      </w:r>
      <w:r w:rsidR="004432C5" w:rsidRPr="001C7B59">
        <w:rPr>
          <w:lang w:val="fr-FR"/>
        </w:rPr>
        <w:t>urveillance épidémiologique, surveillance comportementale et recherche opérationnelle</w:t>
      </w:r>
      <w:r w:rsidR="00DB6EAF"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t>S</w:t>
      </w:r>
      <w:r w:rsidR="004432C5" w:rsidRPr="001C7B59">
        <w:rPr>
          <w:lang w:val="fr-FR"/>
        </w:rPr>
        <w:t>uivi et évaluation.</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Concernant les soins-conseils, il faut noter que le traitement et la prévention de certaines infections sont assurés au niveau des hôpitaux nationaux, régionaux et de district. Par ailleurs, une</w:t>
      </w:r>
      <w:r w:rsidR="001C7B59" w:rsidRPr="001C7B59">
        <w:rPr>
          <w:lang w:val="fr-FR"/>
        </w:rPr>
        <w:t xml:space="preserve"> </w:t>
      </w:r>
      <w:r w:rsidRPr="001C7B59">
        <w:rPr>
          <w:lang w:val="fr-FR"/>
        </w:rPr>
        <w:t xml:space="preserve">stratégie nationale de </w:t>
      </w:r>
      <w:r w:rsidR="001C7B59" w:rsidRPr="001C7B59">
        <w:rPr>
          <w:lang w:val="fr-FR"/>
        </w:rPr>
        <w:t>protection</w:t>
      </w:r>
      <w:r w:rsidRPr="001C7B59">
        <w:rPr>
          <w:lang w:val="fr-FR"/>
        </w:rPr>
        <w:t xml:space="preserve"> de la </w:t>
      </w:r>
      <w:r w:rsidR="001C7B59" w:rsidRPr="001C7B59">
        <w:rPr>
          <w:lang w:val="fr-FR"/>
        </w:rPr>
        <w:t>transmission</w:t>
      </w:r>
      <w:r w:rsidRPr="001C7B59">
        <w:rPr>
          <w:lang w:val="fr-FR"/>
        </w:rPr>
        <w:t xml:space="preserve"> du virus du </w:t>
      </w:r>
      <w:r w:rsidR="001C7B59" w:rsidRPr="001C7B59">
        <w:rPr>
          <w:lang w:val="fr-FR"/>
        </w:rPr>
        <w:t>sida</w:t>
      </w:r>
      <w:r w:rsidRPr="001C7B59">
        <w:rPr>
          <w:lang w:val="fr-FR"/>
        </w:rPr>
        <w:t xml:space="preserve"> de la </w:t>
      </w:r>
      <w:r w:rsidR="001C7B59" w:rsidRPr="001C7B59">
        <w:rPr>
          <w:lang w:val="fr-FR"/>
        </w:rPr>
        <w:t>mère</w:t>
      </w:r>
      <w:r w:rsidRPr="001C7B59">
        <w:rPr>
          <w:lang w:val="fr-FR"/>
        </w:rPr>
        <w:t xml:space="preserve"> à l</w:t>
      </w:r>
      <w:r w:rsidR="00DB6EAF" w:rsidRPr="001C7B59">
        <w:rPr>
          <w:lang w:val="fr-FR"/>
        </w:rPr>
        <w:t>’</w:t>
      </w:r>
      <w:r w:rsidR="001C7B59" w:rsidRPr="001C7B59">
        <w:rPr>
          <w:lang w:val="fr-FR"/>
        </w:rPr>
        <w:t>enfant</w:t>
      </w:r>
      <w:r w:rsidRPr="001C7B59">
        <w:rPr>
          <w:lang w:val="fr-FR"/>
        </w:rPr>
        <w:t xml:space="preserve"> (PTME) du VIH a été adoptée et on a dénombré 156 sites de la PTME en 2008, 158 sites en 2009 et 155 en 2010. Ces sites offrent les prestations suivantes</w:t>
      </w:r>
      <w:r w:rsidR="00DB6EAF" w:rsidRPr="001C7B59">
        <w:rPr>
          <w:lang w:val="fr-FR"/>
        </w:rPr>
        <w:t> :</w:t>
      </w:r>
      <w:r w:rsidRPr="001C7B59">
        <w:rPr>
          <w:lang w:val="fr-FR"/>
        </w:rPr>
        <w:t xml:space="preserve"> promotion du dépistage volontaire lors de la consultation prénatale, suivi et conseils des femmes séropositives, administration d</w:t>
      </w:r>
      <w:r w:rsidR="00DB6EAF" w:rsidRPr="001C7B59">
        <w:rPr>
          <w:lang w:val="fr-FR"/>
        </w:rPr>
        <w:t>’</w:t>
      </w:r>
      <w:r w:rsidRPr="001C7B59">
        <w:rPr>
          <w:lang w:val="fr-FR"/>
        </w:rPr>
        <w:t>ARV à titre prophylactique, accouchement assisté des femmes séropositives, suivi des mères et nourrissons séropositifs. La prise en charge psychosociale est assurée au niveau des hôpitaux nationaux et de quelques ONG. La prise en charge thérapeutique à base d</w:t>
      </w:r>
      <w:r w:rsidR="00DB6EAF" w:rsidRPr="001C7B59">
        <w:rPr>
          <w:lang w:val="fr-FR"/>
        </w:rPr>
        <w:t>’</w:t>
      </w:r>
      <w:r w:rsidRPr="001C7B59">
        <w:rPr>
          <w:lang w:val="fr-FR"/>
        </w:rPr>
        <w:t>ARV est assurée par 107 médecins formés en prescription d</w:t>
      </w:r>
      <w:r w:rsidR="00DB6EAF" w:rsidRPr="001C7B59">
        <w:rPr>
          <w:lang w:val="fr-FR"/>
        </w:rPr>
        <w:t>’</w:t>
      </w:r>
      <w:r w:rsidRPr="001C7B59">
        <w:rPr>
          <w:lang w:val="fr-FR"/>
        </w:rPr>
        <w:t>ARV et 13 centres prescripteurs ainsi qu</w:t>
      </w:r>
      <w:r w:rsidR="00DB6EAF" w:rsidRPr="001C7B59">
        <w:rPr>
          <w:lang w:val="fr-FR"/>
        </w:rPr>
        <w:t>’</w:t>
      </w:r>
      <w:r w:rsidRPr="001C7B59">
        <w:rPr>
          <w:lang w:val="fr-FR"/>
        </w:rPr>
        <w:t>un Centre de Traitement Ambulatoire</w:t>
      </w:r>
      <w:r w:rsidR="001C7B59" w:rsidRPr="001C7B59">
        <w:rPr>
          <w:lang w:val="fr-FR"/>
        </w:rPr>
        <w:t xml:space="preserve"> </w:t>
      </w:r>
      <w:r w:rsidRPr="001C7B59">
        <w:rPr>
          <w:lang w:val="fr-FR"/>
        </w:rPr>
        <w:t>fonctionnel. Le nombre de patients sous ARV passe de 2917 en fin 2009 à 2849 en fin 2010.</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Financement de la santé</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Au Niger, la santé est financée globalement par trois sources</w:t>
      </w:r>
      <w:r w:rsidR="00DB6EAF" w:rsidRPr="001C7B59">
        <w:rPr>
          <w:lang w:val="fr-FR"/>
        </w:rPr>
        <w:t> :</w:t>
      </w:r>
      <w:r w:rsidRPr="001C7B59">
        <w:rPr>
          <w:lang w:val="fr-FR"/>
        </w:rPr>
        <w:t xml:space="preserve"> l</w:t>
      </w:r>
      <w:r w:rsidR="00DB6EAF" w:rsidRPr="001C7B59">
        <w:rPr>
          <w:lang w:val="fr-FR"/>
        </w:rPr>
        <w:t>’</w:t>
      </w:r>
      <w:r w:rsidR="008E5553">
        <w:rPr>
          <w:lang w:val="fr-FR"/>
        </w:rPr>
        <w:t>État</w:t>
      </w:r>
      <w:r w:rsidRPr="001C7B59">
        <w:rPr>
          <w:lang w:val="fr-FR"/>
        </w:rPr>
        <w:t>, les partenaires extérieurs et les ménages. Les dépenses de santé sont de 18 US $ (9 000 F CFA) contre 34 US $ (17 000 F CFA) recommandé par l</w:t>
      </w:r>
      <w:r w:rsidR="00DB6EAF" w:rsidRPr="001C7B59">
        <w:rPr>
          <w:lang w:val="fr-FR"/>
        </w:rPr>
        <w:t>’</w:t>
      </w:r>
      <w:r w:rsidRPr="001C7B59">
        <w:rPr>
          <w:lang w:val="fr-FR"/>
        </w:rPr>
        <w:t>OMS. En termes de financement, le budget alloué au secteur de la santé est de 7,85</w:t>
      </w:r>
      <w:r w:rsidR="007B382B">
        <w:rPr>
          <w:lang w:val="fr-FR"/>
        </w:rPr>
        <w:t> %</w:t>
      </w:r>
      <w:r w:rsidRPr="001C7B59">
        <w:rPr>
          <w:lang w:val="fr-FR"/>
        </w:rPr>
        <w:t xml:space="preserve"> du budget national en 2010. Cette situation montre que les efforts fournis jusque-là sont en deçà des engagements internationaux auxquels le pays a souscrit, notamment la déclaration d</w:t>
      </w:r>
      <w:r w:rsidR="00DB6EAF" w:rsidRPr="001C7B59">
        <w:rPr>
          <w:lang w:val="fr-FR"/>
        </w:rPr>
        <w:t>’</w:t>
      </w:r>
      <w:r w:rsidRPr="001C7B59">
        <w:rPr>
          <w:lang w:val="fr-FR"/>
        </w:rPr>
        <w:t>Abuja (2001) où les Chefs d</w:t>
      </w:r>
      <w:r w:rsidR="00DB6EAF" w:rsidRPr="001C7B59">
        <w:rPr>
          <w:lang w:val="fr-FR"/>
        </w:rPr>
        <w:t>’</w:t>
      </w:r>
      <w:r w:rsidR="008E5553">
        <w:rPr>
          <w:lang w:val="fr-FR"/>
        </w:rPr>
        <w:t>État</w:t>
      </w:r>
      <w:r w:rsidRPr="001C7B59">
        <w:rPr>
          <w:lang w:val="fr-FR"/>
        </w:rPr>
        <w:t xml:space="preserve"> ont pris l</w:t>
      </w:r>
      <w:r w:rsidR="00DB6EAF" w:rsidRPr="001C7B59">
        <w:rPr>
          <w:lang w:val="fr-FR"/>
        </w:rPr>
        <w:t>’</w:t>
      </w:r>
      <w:r w:rsidRPr="001C7B59">
        <w:rPr>
          <w:lang w:val="fr-FR"/>
        </w:rPr>
        <w:t>engagement d</w:t>
      </w:r>
      <w:r w:rsidR="00DB6EAF" w:rsidRPr="001C7B59">
        <w:rPr>
          <w:lang w:val="fr-FR"/>
        </w:rPr>
        <w:t>’</w:t>
      </w:r>
      <w:r w:rsidRPr="001C7B59">
        <w:rPr>
          <w:lang w:val="fr-FR"/>
        </w:rPr>
        <w:t>allouer 15</w:t>
      </w:r>
      <w:r w:rsidR="007B382B">
        <w:rPr>
          <w:lang w:val="fr-FR"/>
        </w:rPr>
        <w:t> %</w:t>
      </w:r>
      <w:r w:rsidRPr="001C7B59">
        <w:rPr>
          <w:lang w:val="fr-FR"/>
        </w:rPr>
        <w:t xml:space="preserve"> du budget national à la santé.</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ménages demeurent la principale source de financement de la santé. Ils ont contribué à hauteur de 41,76</w:t>
      </w:r>
      <w:r w:rsidR="007B382B">
        <w:rPr>
          <w:lang w:val="fr-FR"/>
        </w:rPr>
        <w:t> %</w:t>
      </w:r>
      <w:r w:rsidRPr="001C7B59">
        <w:rPr>
          <w:lang w:val="fr-FR"/>
        </w:rPr>
        <w:t xml:space="preserve"> en 2008 à 42,7</w:t>
      </w:r>
      <w:r w:rsidR="007B382B">
        <w:rPr>
          <w:lang w:val="fr-FR"/>
        </w:rPr>
        <w:t> %</w:t>
      </w:r>
      <w:r w:rsidRPr="001C7B59">
        <w:rPr>
          <w:lang w:val="fr-FR"/>
        </w:rPr>
        <w:t xml:space="preserve"> en 2009 selon les comptes nationaux de la santé, 2009.</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aides extérieures ont représenté en 2009, 25</w:t>
      </w:r>
      <w:r w:rsidR="007B382B">
        <w:rPr>
          <w:lang w:val="fr-FR"/>
        </w:rPr>
        <w:t> %</w:t>
      </w:r>
      <w:r w:rsidRPr="001C7B59">
        <w:rPr>
          <w:lang w:val="fr-FR"/>
        </w:rPr>
        <w:t xml:space="preserve"> du financement de la santé.</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 xml:space="preserve">Le Plan de </w:t>
      </w:r>
      <w:r w:rsidR="00D60176" w:rsidRPr="001C7B59">
        <w:rPr>
          <w:lang w:val="fr-FR"/>
        </w:rPr>
        <w:t>développement</w:t>
      </w:r>
      <w:r w:rsidRPr="001C7B59">
        <w:rPr>
          <w:lang w:val="fr-FR"/>
        </w:rPr>
        <w:t xml:space="preserve"> </w:t>
      </w:r>
      <w:r w:rsidR="00D60176" w:rsidRPr="001C7B59">
        <w:rPr>
          <w:lang w:val="fr-FR"/>
        </w:rPr>
        <w:t>sanitaire</w:t>
      </w:r>
      <w:r w:rsidRPr="001C7B59">
        <w:rPr>
          <w:lang w:val="fr-FR"/>
        </w:rPr>
        <w:t xml:space="preserve"> (PDS) prévoit, pour la période 2011-2015 un montant estimatif de 1017 milliards de FCA, soit 220,3 milliards /an</w:t>
      </w:r>
      <w:r w:rsidR="001C7B59" w:rsidRPr="001C7B59">
        <w:rPr>
          <w:lang w:val="fr-FR"/>
        </w:rPr>
        <w:t xml:space="preserve"> </w:t>
      </w:r>
      <w:r w:rsidRPr="001C7B59">
        <w:rPr>
          <w:lang w:val="fr-FR"/>
        </w:rPr>
        <w:t>dont 31,1</w:t>
      </w:r>
      <w:r w:rsidR="007B382B">
        <w:rPr>
          <w:lang w:val="fr-FR"/>
        </w:rPr>
        <w:t> %</w:t>
      </w:r>
      <w:r w:rsidRPr="001C7B59">
        <w:rPr>
          <w:lang w:val="fr-FR"/>
        </w:rPr>
        <w:t xml:space="preserve"> sont consacrés pour le domaine de la santé de la reproduction.</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Plusieurs ONG ont vu le jour dont un certain nombre interviennent dans le domaine de la santé surtout en milieu rural sur plusieurs thèmes à savoir</w:t>
      </w:r>
      <w:r w:rsidR="00DB6EAF" w:rsidRPr="001C7B59">
        <w:rPr>
          <w:lang w:val="fr-FR"/>
        </w:rPr>
        <w:t> :</w:t>
      </w:r>
      <w:r w:rsidRPr="001C7B59">
        <w:rPr>
          <w:lang w:val="fr-FR"/>
        </w:rPr>
        <w:t xml:space="preserve"> la SR, la nutrition, le planning</w:t>
      </w:r>
      <w:r w:rsidR="001C7B59" w:rsidRPr="001C7B59">
        <w:rPr>
          <w:lang w:val="fr-FR"/>
        </w:rPr>
        <w:t xml:space="preserve"> </w:t>
      </w:r>
      <w:r w:rsidRPr="001C7B59">
        <w:rPr>
          <w:lang w:val="fr-FR"/>
        </w:rPr>
        <w:t>familial et les IST/VIH/Sida. Une mobilisation générale des leaders coutumiers, religieux et politiques ainsi que les élus locaux contribuent au plaidoyer et à la mobilisation des ressources pour la santé de la mère et de l</w:t>
      </w:r>
      <w:r w:rsidR="00DB6EAF" w:rsidRPr="001C7B59">
        <w:rPr>
          <w:lang w:val="fr-FR"/>
        </w:rPr>
        <w:t>’</w:t>
      </w:r>
      <w:r w:rsidRPr="001C7B59">
        <w:rPr>
          <w:lang w:val="fr-FR"/>
        </w:rPr>
        <w:t>enfant.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ONG CONIPRAT appuie le Gouvernement dans la sensibilisation sur les méfaits des mutilations génitales, les grossesses non désirées sur toute l</w:t>
      </w:r>
      <w:r w:rsidR="00DB6EAF" w:rsidRPr="001C7B59">
        <w:rPr>
          <w:lang w:val="fr-FR"/>
        </w:rPr>
        <w:t>’</w:t>
      </w:r>
      <w:r w:rsidRPr="001C7B59">
        <w:rPr>
          <w:lang w:val="fr-FR"/>
        </w:rPr>
        <w:t xml:space="preserve">étendue du territoire en particulier dans les zones nomades et tout le long du </w:t>
      </w:r>
      <w:r w:rsidR="00E15F6D" w:rsidRPr="001C7B59">
        <w:rPr>
          <w:lang w:val="fr-FR"/>
        </w:rPr>
        <w:t>fleuve. C’est</w:t>
      </w:r>
      <w:r w:rsidRPr="001C7B59">
        <w:rPr>
          <w:lang w:val="fr-FR"/>
        </w:rPr>
        <w:t xml:space="preserve"> ainsi que plusieurs femmes ont déposé leurs couteaux et s</w:t>
      </w:r>
      <w:r w:rsidR="00DB6EAF" w:rsidRPr="001C7B59">
        <w:rPr>
          <w:lang w:val="fr-FR"/>
        </w:rPr>
        <w:t>’</w:t>
      </w:r>
      <w:r w:rsidRPr="001C7B59">
        <w:rPr>
          <w:lang w:val="fr-FR"/>
        </w:rPr>
        <w:t>adonnent à des activités génératrices de revenus.</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La mise en place d</w:t>
      </w:r>
      <w:r w:rsidR="00DB6EAF" w:rsidRPr="001C7B59">
        <w:rPr>
          <w:lang w:val="fr-FR"/>
        </w:rPr>
        <w:t>’</w:t>
      </w:r>
      <w:r w:rsidR="004432C5" w:rsidRPr="001C7B59">
        <w:rPr>
          <w:lang w:val="fr-FR"/>
        </w:rPr>
        <w:t>un projet pilote de six (6) mois du Centre de prise en charge des femmes victimes de violences du 3</w:t>
      </w:r>
      <w:r w:rsidR="004432C5" w:rsidRPr="001C7B59">
        <w:rPr>
          <w:vertAlign w:val="superscript"/>
          <w:lang w:val="fr-FR"/>
        </w:rPr>
        <w:t>ème</w:t>
      </w:r>
      <w:r w:rsidR="004432C5" w:rsidRPr="001C7B59">
        <w:rPr>
          <w:lang w:val="fr-FR"/>
        </w:rPr>
        <w:t xml:space="preserve"> arrondissement de Niamey piloté par le consortium des ONG (SOS FEVVF, AFETEN et AFJN).</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1</w:t>
      </w:r>
      <w:r>
        <w:rPr>
          <w:lang w:val="fr-FR"/>
        </w:rPr>
        <w:t> </w:t>
      </w:r>
      <w:r w:rsidR="004432C5" w:rsidRPr="001C7B59">
        <w:rPr>
          <w:lang w:val="fr-FR"/>
        </w:rPr>
        <w:t>097 personnes dont</w:t>
      </w:r>
      <w:r>
        <w:rPr>
          <w:lang w:val="fr-FR"/>
        </w:rPr>
        <w:t> </w:t>
      </w:r>
      <w:r w:rsidR="004432C5" w:rsidRPr="001C7B59">
        <w:rPr>
          <w:lang w:val="fr-FR"/>
        </w:rPr>
        <w:t>: 155 hommes, 88 femmes, 394 filles, 460 garçons cessent de banaliser les violences et s</w:t>
      </w:r>
      <w:r w:rsidR="00DB6EAF" w:rsidRPr="001C7B59">
        <w:rPr>
          <w:lang w:val="fr-FR"/>
        </w:rPr>
        <w:t>’</w:t>
      </w:r>
      <w:r w:rsidR="004432C5" w:rsidRPr="001C7B59">
        <w:rPr>
          <w:lang w:val="fr-FR"/>
        </w:rPr>
        <w:t xml:space="preserve">engagent à informer et sensibiliser les membres de leurs communautés. </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128 victimes de violences ont retrouvé la confiance et refusent de se taire sur la violation de leurs droits;</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20 femmes victimes de violence ont amélioré leur état de santé grâce à la prise en charge de leur cas par le centre de prise en charge;</w:t>
      </w:r>
    </w:p>
    <w:p w:rsidR="004432C5" w:rsidRPr="001C7B59" w:rsidRDefault="002514CC" w:rsidP="002514CC">
      <w:pPr>
        <w:pStyle w:val="SingleTxt"/>
        <w:tabs>
          <w:tab w:val="right" w:pos="1685"/>
        </w:tabs>
        <w:ind w:left="1742" w:hanging="475"/>
        <w:rPr>
          <w:lang w:val="fr-FR"/>
        </w:rPr>
      </w:pPr>
      <w:r>
        <w:rPr>
          <w:lang w:val="fr-FR"/>
        </w:rPr>
        <w:tab/>
        <w:t>•</w:t>
      </w:r>
      <w:r>
        <w:rPr>
          <w:lang w:val="fr-FR"/>
        </w:rPr>
        <w:tab/>
        <w:t>D</w:t>
      </w:r>
      <w:r w:rsidR="004432C5" w:rsidRPr="001C7B59">
        <w:rPr>
          <w:lang w:val="fr-FR"/>
        </w:rPr>
        <w:t xml:space="preserve">e nombreuses actions intersectorielles ont été mises en œuvre à travers le Projet </w:t>
      </w:r>
      <w:r w:rsidR="00DE024F">
        <w:rPr>
          <w:lang w:val="fr-FR"/>
        </w:rPr>
        <w:t>démographique</w:t>
      </w:r>
      <w:r w:rsidR="004432C5" w:rsidRPr="001C7B59">
        <w:rPr>
          <w:lang w:val="fr-FR"/>
        </w:rPr>
        <w:t xml:space="preserve"> </w:t>
      </w:r>
      <w:r w:rsidR="00DE024F">
        <w:rPr>
          <w:lang w:val="fr-FR"/>
        </w:rPr>
        <w:t>multisectoriel</w:t>
      </w:r>
      <w:r w:rsidR="004432C5" w:rsidRPr="001C7B59">
        <w:rPr>
          <w:lang w:val="fr-FR"/>
        </w:rPr>
        <w:t xml:space="preserve"> (PRODEM), la stratégie « </w:t>
      </w:r>
      <w:r w:rsidR="00E15F6D" w:rsidRPr="001C7B59">
        <w:rPr>
          <w:lang w:val="fr-FR"/>
        </w:rPr>
        <w:t>École</w:t>
      </w:r>
      <w:r w:rsidR="004432C5" w:rsidRPr="001C7B59">
        <w:rPr>
          <w:lang w:val="fr-FR"/>
        </w:rPr>
        <w:t xml:space="preserve"> des Maris ».</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Egalite</w:t>
      </w:r>
      <w:r w:rsidR="004432C5" w:rsidRPr="001C7B59">
        <w:rPr>
          <w:lang w:val="fr-FR"/>
        </w:rPr>
        <w:t xml:space="preserve"> dans le domaine de l</w:t>
      </w:r>
      <w:r w:rsidR="00DB6EAF" w:rsidRPr="001C7B59">
        <w:rPr>
          <w:lang w:val="fr-FR"/>
        </w:rPr>
        <w:t>’</w:t>
      </w:r>
      <w:r w:rsidR="004432C5" w:rsidRPr="001C7B59">
        <w:rPr>
          <w:lang w:val="fr-FR"/>
        </w:rPr>
        <w:t xml:space="preserve">emploi </w:t>
      </w:r>
      <w:r w:rsidR="00B22D00">
        <w:rPr>
          <w:lang w:val="fr-FR"/>
        </w:rPr>
        <w:t>(art.</w:t>
      </w:r>
      <w:r w:rsidR="004432C5" w:rsidRPr="001C7B59">
        <w:rPr>
          <w:lang w:val="fr-FR"/>
        </w:rPr>
        <w:t xml:space="preserve"> 11)</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w:t>
      </w:r>
      <w:r w:rsidR="00DB6EAF" w:rsidRPr="001C7B59">
        <w:rPr>
          <w:lang w:val="fr-FR"/>
        </w:rPr>
        <w:t>’</w:t>
      </w:r>
      <w:r w:rsidRPr="001C7B59">
        <w:rPr>
          <w:lang w:val="fr-FR"/>
        </w:rPr>
        <w:t>article 33 de la Constitution dispose que « l</w:t>
      </w:r>
      <w:r w:rsidR="00DB6EAF" w:rsidRPr="001C7B59">
        <w:rPr>
          <w:lang w:val="fr-FR"/>
        </w:rPr>
        <w:t>’</w:t>
      </w:r>
      <w:r w:rsidR="008E5553">
        <w:rPr>
          <w:lang w:val="fr-FR"/>
        </w:rPr>
        <w:t>État</w:t>
      </w:r>
      <w:r w:rsidRPr="001C7B59">
        <w:rPr>
          <w:lang w:val="fr-FR"/>
        </w:rPr>
        <w:t xml:space="preserve"> reconnait à tous les citoyens le droit au travail et s</w:t>
      </w:r>
      <w:r w:rsidR="00DB6EAF" w:rsidRPr="001C7B59">
        <w:rPr>
          <w:lang w:val="fr-FR"/>
        </w:rPr>
        <w:t>’</w:t>
      </w:r>
      <w:r w:rsidRPr="001C7B59">
        <w:rPr>
          <w:lang w:val="fr-FR"/>
        </w:rPr>
        <w:t>efforce de créer les conditions qui rendent effective la jouissance de ce droit et qui garantissent aux travailleurs la juste rétribution de ses services ou de sa production. Nul ne peut être victime de discrimination dans le cadre de son travail ».</w:t>
      </w:r>
      <w:r w:rsidR="001C7B59" w:rsidRPr="001C7B59">
        <w:rPr>
          <w:lang w:val="fr-FR"/>
        </w:rPr>
        <w:t xml:space="preserve">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 principes énoncés dans l</w:t>
      </w:r>
      <w:r w:rsidR="00DB6EAF" w:rsidRPr="001C7B59">
        <w:rPr>
          <w:lang w:val="fr-FR"/>
        </w:rPr>
        <w:t>’</w:t>
      </w:r>
      <w:r w:rsidRPr="001C7B59">
        <w:rPr>
          <w:lang w:val="fr-FR"/>
        </w:rPr>
        <w:t>article 33 de la Constitution sont repris par la loi n°2012-45 du 25 septembre 2012 portant code du travail qui affirme en ses articles 2 et 5 les principes de la non-discrimination et les conditions d</w:t>
      </w:r>
      <w:r w:rsidR="00DB6EAF" w:rsidRPr="001C7B59">
        <w:rPr>
          <w:lang w:val="fr-FR"/>
        </w:rPr>
        <w:t>’</w:t>
      </w:r>
      <w:r w:rsidRPr="001C7B59">
        <w:rPr>
          <w:lang w:val="fr-FR"/>
        </w:rPr>
        <w:t>égalité dans l</w:t>
      </w:r>
      <w:r w:rsidR="00DB6EAF" w:rsidRPr="001C7B59">
        <w:rPr>
          <w:lang w:val="fr-FR"/>
        </w:rPr>
        <w:t>’</w:t>
      </w:r>
      <w:r w:rsidRPr="001C7B59">
        <w:rPr>
          <w:lang w:val="fr-FR"/>
        </w:rPr>
        <w:t>accès à l</w:t>
      </w:r>
      <w:r w:rsidR="00DB6EAF" w:rsidRPr="001C7B59">
        <w:rPr>
          <w:lang w:val="fr-FR"/>
        </w:rPr>
        <w:t>’</w:t>
      </w:r>
      <w:r w:rsidRPr="001C7B59">
        <w:rPr>
          <w:lang w:val="fr-FR"/>
        </w:rPr>
        <w:t>emploi aux femmes.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2012, l</w:t>
      </w:r>
      <w:r w:rsidR="00DB6EAF" w:rsidRPr="001C7B59">
        <w:rPr>
          <w:lang w:val="fr-FR"/>
        </w:rPr>
        <w:t>’</w:t>
      </w:r>
      <w:r w:rsidRPr="001C7B59">
        <w:rPr>
          <w:lang w:val="fr-FR"/>
        </w:rPr>
        <w:t xml:space="preserve">effectif de la </w:t>
      </w:r>
      <w:r w:rsidR="00D60176" w:rsidRPr="001C7B59">
        <w:rPr>
          <w:lang w:val="fr-FR"/>
        </w:rPr>
        <w:t>fonction</w:t>
      </w:r>
      <w:r w:rsidRPr="001C7B59">
        <w:rPr>
          <w:lang w:val="fr-FR"/>
        </w:rPr>
        <w:t xml:space="preserve"> </w:t>
      </w:r>
      <w:r w:rsidR="00D60176" w:rsidRPr="001C7B59">
        <w:rPr>
          <w:lang w:val="fr-FR"/>
        </w:rPr>
        <w:t>publi</w:t>
      </w:r>
      <w:r w:rsidRPr="001C7B59">
        <w:rPr>
          <w:lang w:val="fr-FR"/>
        </w:rPr>
        <w:t>que s</w:t>
      </w:r>
      <w:r w:rsidR="00DB6EAF" w:rsidRPr="001C7B59">
        <w:rPr>
          <w:lang w:val="fr-FR"/>
        </w:rPr>
        <w:t>’</w:t>
      </w:r>
      <w:r w:rsidRPr="001C7B59">
        <w:rPr>
          <w:lang w:val="fr-FR"/>
        </w:rPr>
        <w:t>élève à 40 819 dont</w:t>
      </w:r>
      <w:r w:rsidR="00DB6EAF" w:rsidRPr="001C7B59">
        <w:rPr>
          <w:lang w:val="fr-FR"/>
        </w:rPr>
        <w:t> :</w:t>
      </w:r>
      <w:r w:rsidRPr="001C7B59">
        <w:rPr>
          <w:lang w:val="fr-FR"/>
        </w:rPr>
        <w:t xml:space="preserve"> </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Femmes</w:t>
      </w:r>
      <w:r w:rsidR="00DB6EAF" w:rsidRPr="001C7B59">
        <w:rPr>
          <w:lang w:val="fr-FR"/>
        </w:rPr>
        <w:t> :</w:t>
      </w:r>
      <w:r w:rsidR="004432C5" w:rsidRPr="001C7B59">
        <w:rPr>
          <w:lang w:val="fr-FR"/>
        </w:rPr>
        <w:t xml:space="preserve"> 14 303 (soit 35,04</w:t>
      </w:r>
      <w:r w:rsidR="007B382B">
        <w:rPr>
          <w:lang w:val="fr-FR"/>
        </w:rPr>
        <w:t> %</w:t>
      </w:r>
      <w:r w:rsidR="004432C5" w:rsidRPr="001C7B59">
        <w:rPr>
          <w:lang w:val="fr-FR"/>
        </w:rPr>
        <w:t>)</w:t>
      </w:r>
    </w:p>
    <w:p w:rsidR="004432C5" w:rsidRPr="001C7B59" w:rsidRDefault="002514CC" w:rsidP="002514CC">
      <w:pPr>
        <w:pStyle w:val="SingleTxt"/>
        <w:tabs>
          <w:tab w:val="right" w:pos="1685"/>
        </w:tabs>
        <w:ind w:left="1742" w:hanging="475"/>
        <w:rPr>
          <w:lang w:val="fr-FR"/>
        </w:rPr>
      </w:pPr>
      <w:r>
        <w:rPr>
          <w:lang w:val="fr-FR"/>
        </w:rPr>
        <w:tab/>
        <w:t>•</w:t>
      </w:r>
      <w:r>
        <w:rPr>
          <w:lang w:val="fr-FR"/>
        </w:rPr>
        <w:tab/>
      </w:r>
      <w:r w:rsidR="004432C5" w:rsidRPr="001C7B59">
        <w:rPr>
          <w:lang w:val="fr-FR"/>
        </w:rPr>
        <w:t>Hommes</w:t>
      </w:r>
      <w:r w:rsidR="00DB6EAF" w:rsidRPr="001C7B59">
        <w:rPr>
          <w:lang w:val="fr-FR"/>
        </w:rPr>
        <w:t> :</w:t>
      </w:r>
      <w:r w:rsidR="004432C5" w:rsidRPr="001C7B59">
        <w:rPr>
          <w:lang w:val="fr-FR"/>
        </w:rPr>
        <w:t xml:space="preserve"> 26 516 (soit 64,95</w:t>
      </w:r>
      <w:r w:rsidR="007B382B">
        <w:rPr>
          <w:lang w:val="fr-FR"/>
        </w:rPr>
        <w:t> %</w:t>
      </w:r>
      <w:r w:rsidR="004432C5" w:rsidRPr="001C7B59">
        <w:rPr>
          <w:lang w:val="fr-FR"/>
        </w:rPr>
        <w:t>)</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S</w:t>
      </w:r>
      <w:r w:rsidR="00DB6EAF" w:rsidRPr="001C7B59">
        <w:rPr>
          <w:lang w:val="fr-FR"/>
        </w:rPr>
        <w:t>’</w:t>
      </w:r>
      <w:r w:rsidRPr="001C7B59">
        <w:rPr>
          <w:lang w:val="fr-FR"/>
        </w:rPr>
        <w:t>agissant précisément de l</w:t>
      </w:r>
      <w:r w:rsidR="00DB6EAF" w:rsidRPr="001C7B59">
        <w:rPr>
          <w:lang w:val="fr-FR"/>
        </w:rPr>
        <w:t>’</w:t>
      </w:r>
      <w:r w:rsidRPr="001C7B59">
        <w:rPr>
          <w:lang w:val="fr-FR"/>
        </w:rPr>
        <w:t>article 5 de la loi précitée, il dispose que « sous réserve des dispositions expresses du présent Code ou de tout autre texte de nature législative ou réglementaire protégeant les femmes et les enfants, ainsi que des dispositions relatives à la condition des étrangers, aucun employeur ne peut prendre en considération le sexe, l</w:t>
      </w:r>
      <w:r w:rsidR="00DB6EAF" w:rsidRPr="001C7B59">
        <w:rPr>
          <w:lang w:val="fr-FR"/>
        </w:rPr>
        <w:t>’</w:t>
      </w:r>
      <w:r w:rsidRPr="001C7B59">
        <w:rPr>
          <w:lang w:val="fr-FR"/>
        </w:rPr>
        <w:t>âge, l</w:t>
      </w:r>
      <w:r w:rsidR="00DB6EAF" w:rsidRPr="001C7B59">
        <w:rPr>
          <w:lang w:val="fr-FR"/>
        </w:rPr>
        <w:t>’</w:t>
      </w:r>
      <w:r w:rsidRPr="001C7B59">
        <w:rPr>
          <w:lang w:val="fr-FR"/>
        </w:rPr>
        <w:t>ascendance nationale ou l</w:t>
      </w:r>
      <w:r w:rsidR="00DB6EAF" w:rsidRPr="001C7B59">
        <w:rPr>
          <w:lang w:val="fr-FR"/>
        </w:rPr>
        <w:t>’</w:t>
      </w:r>
      <w:r w:rsidRPr="001C7B59">
        <w:rPr>
          <w:lang w:val="fr-FR"/>
        </w:rPr>
        <w:t>origine sociale, la race, la religion, la couleur, l</w:t>
      </w:r>
      <w:r w:rsidR="00DB6EAF" w:rsidRPr="001C7B59">
        <w:rPr>
          <w:lang w:val="fr-FR"/>
        </w:rPr>
        <w:t>’</w:t>
      </w:r>
      <w:r w:rsidRPr="001C7B59">
        <w:rPr>
          <w:lang w:val="fr-FR"/>
        </w:rPr>
        <w:t>opinion politique et religieuse, le handicap, le VIH-sida, la drépanocytose, l</w:t>
      </w:r>
      <w:r w:rsidR="00DB6EAF" w:rsidRPr="001C7B59">
        <w:rPr>
          <w:lang w:val="fr-FR"/>
        </w:rPr>
        <w:t>’</w:t>
      </w:r>
      <w:r w:rsidRPr="001C7B59">
        <w:rPr>
          <w:lang w:val="fr-FR"/>
        </w:rPr>
        <w:t>appartenance ou la non-appartenance à un syndicat et l</w:t>
      </w:r>
      <w:r w:rsidR="00DB6EAF" w:rsidRPr="001C7B59">
        <w:rPr>
          <w:lang w:val="fr-FR"/>
        </w:rPr>
        <w:t>’</w:t>
      </w:r>
      <w:r w:rsidRPr="001C7B59">
        <w:rPr>
          <w:lang w:val="fr-FR"/>
        </w:rPr>
        <w:t>activité syndicale des travailleurs pour arrêter ses décisions en ce qui concerne, notamment, l</w:t>
      </w:r>
      <w:r w:rsidR="00DB6EAF" w:rsidRPr="001C7B59">
        <w:rPr>
          <w:lang w:val="fr-FR"/>
        </w:rPr>
        <w:t>’</w:t>
      </w:r>
      <w:r w:rsidRPr="001C7B59">
        <w:rPr>
          <w:lang w:val="fr-FR"/>
        </w:rPr>
        <w:t>embauchage, la conduite et la répartition du travail, la formation professionnelle, l</w:t>
      </w:r>
      <w:r w:rsidR="00DB6EAF" w:rsidRPr="001C7B59">
        <w:rPr>
          <w:lang w:val="fr-FR"/>
        </w:rPr>
        <w:t>’</w:t>
      </w:r>
      <w:r w:rsidRPr="001C7B59">
        <w:rPr>
          <w:lang w:val="fr-FR"/>
        </w:rPr>
        <w:t>avancement, la promotion, la rémunération, l</w:t>
      </w:r>
      <w:r w:rsidR="00DB6EAF" w:rsidRPr="001C7B59">
        <w:rPr>
          <w:lang w:val="fr-FR"/>
        </w:rPr>
        <w:t>’</w:t>
      </w:r>
      <w:r w:rsidRPr="001C7B59">
        <w:rPr>
          <w:lang w:val="fr-FR"/>
        </w:rPr>
        <w:t>octroi d</w:t>
      </w:r>
      <w:r w:rsidR="00DB6EAF" w:rsidRPr="001C7B59">
        <w:rPr>
          <w:lang w:val="fr-FR"/>
        </w:rPr>
        <w:t>’</w:t>
      </w:r>
      <w:r w:rsidRPr="001C7B59">
        <w:rPr>
          <w:lang w:val="fr-FR"/>
        </w:rPr>
        <w:t>avantages sociaux, la discipline ou la rupture du contrat de travail. Toute disposition ou tout acte contraire est nul ».</w:t>
      </w:r>
    </w:p>
    <w:p w:rsidR="004432C5" w:rsidRPr="001C7B59" w:rsidRDefault="004432C5" w:rsidP="008E5553">
      <w:pPr>
        <w:pStyle w:val="SingleTxt"/>
        <w:numPr>
          <w:ilvl w:val="0"/>
          <w:numId w:val="9"/>
        </w:numPr>
        <w:tabs>
          <w:tab w:val="clear" w:pos="475"/>
          <w:tab w:val="num" w:pos="1742"/>
        </w:tabs>
        <w:ind w:left="1267"/>
        <w:rPr>
          <w:iCs/>
          <w:lang w:val="fr-FR"/>
        </w:rPr>
      </w:pPr>
      <w:r w:rsidRPr="001C7B59">
        <w:rPr>
          <w:iCs/>
          <w:lang w:val="fr-FR"/>
        </w:rPr>
        <w:t>Au regard de cette disposition, le droit nigérien du travail contient des règles très égalitaires dans tous les aspects des relations de travail</w:t>
      </w:r>
      <w:r w:rsidR="00DB6EAF" w:rsidRPr="001C7B59">
        <w:rPr>
          <w:iCs/>
          <w:lang w:val="fr-FR"/>
        </w:rPr>
        <w:t> :</w:t>
      </w:r>
      <w:r w:rsidRPr="001C7B59">
        <w:rPr>
          <w:iCs/>
          <w:lang w:val="fr-FR"/>
        </w:rPr>
        <w:t xml:space="preserve"> le recrutement, la rémunération, les prestations sociales, l</w:t>
      </w:r>
      <w:r w:rsidR="00DB6EAF" w:rsidRPr="001C7B59">
        <w:rPr>
          <w:iCs/>
          <w:lang w:val="fr-FR"/>
        </w:rPr>
        <w:t>’</w:t>
      </w:r>
      <w:r w:rsidRPr="001C7B59">
        <w:rPr>
          <w:iCs/>
          <w:lang w:val="fr-FR"/>
        </w:rPr>
        <w:t>âge de la retraite, etc.</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Droit à la protection de la santé sur une base d</w:t>
      </w:r>
      <w:r w:rsidR="00DB6EAF" w:rsidRPr="001C7B59">
        <w:rPr>
          <w:lang w:val="fr-FR"/>
        </w:rPr>
        <w:t>’</w:t>
      </w:r>
      <w:r w:rsidR="004432C5" w:rsidRPr="001C7B59">
        <w:rPr>
          <w:lang w:val="fr-FR"/>
        </w:rPr>
        <w:t xml:space="preserve">égalité </w:t>
      </w:r>
      <w:r w:rsidR="00B22D00">
        <w:rPr>
          <w:lang w:val="fr-FR"/>
        </w:rPr>
        <w:t>homme</w:t>
      </w:r>
      <w:r w:rsidR="004432C5" w:rsidRPr="001C7B59">
        <w:rPr>
          <w:lang w:val="fr-FR"/>
        </w:rPr>
        <w:t>-</w:t>
      </w:r>
      <w:r w:rsidR="001C7B59" w:rsidRPr="001C7B59">
        <w:rPr>
          <w:lang w:val="fr-FR"/>
        </w:rPr>
        <w:t>femme</w:t>
      </w:r>
      <w:r w:rsidR="004432C5" w:rsidRPr="001C7B59">
        <w:rPr>
          <w:lang w:val="fr-FR"/>
        </w:rPr>
        <w:t xml:space="preserve"> </w:t>
      </w:r>
      <w:r>
        <w:rPr>
          <w:lang w:val="fr-FR"/>
        </w:rPr>
        <w:br/>
      </w:r>
      <w:r w:rsidR="004432C5" w:rsidRPr="001C7B59">
        <w:rPr>
          <w:lang w:val="fr-FR"/>
        </w:rPr>
        <w:t xml:space="preserve">et la fourniture de prestations à la femme pendant la grossesse, </w:t>
      </w:r>
      <w:r>
        <w:rPr>
          <w:lang w:val="fr-FR"/>
        </w:rPr>
        <w:br/>
      </w:r>
      <w:r w:rsidR="004432C5" w:rsidRPr="001C7B59">
        <w:rPr>
          <w:lang w:val="fr-FR"/>
        </w:rPr>
        <w:t>pendant l</w:t>
      </w:r>
      <w:r w:rsidR="00DB6EAF" w:rsidRPr="001C7B59">
        <w:rPr>
          <w:lang w:val="fr-FR"/>
        </w:rPr>
        <w:t>’</w:t>
      </w:r>
      <w:r w:rsidR="004432C5" w:rsidRPr="001C7B59">
        <w:rPr>
          <w:lang w:val="fr-FR"/>
        </w:rPr>
        <w:t>accouchement et après l</w:t>
      </w:r>
      <w:r w:rsidR="00DB6EAF" w:rsidRPr="001C7B59">
        <w:rPr>
          <w:lang w:val="fr-FR"/>
        </w:rPr>
        <w:t>’</w:t>
      </w:r>
      <w:r w:rsidR="004432C5" w:rsidRPr="001C7B59">
        <w:rPr>
          <w:lang w:val="fr-FR"/>
        </w:rPr>
        <w:t xml:space="preserve">accouchement </w:t>
      </w:r>
      <w:r w:rsidR="00B22D00">
        <w:rPr>
          <w:lang w:val="fr-FR"/>
        </w:rPr>
        <w:t>(art.</w:t>
      </w:r>
      <w:r w:rsidR="004432C5" w:rsidRPr="001C7B59">
        <w:rPr>
          <w:lang w:val="fr-FR"/>
        </w:rPr>
        <w:t xml:space="preserve"> 12)</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S</w:t>
      </w:r>
      <w:r w:rsidR="00DB6EAF" w:rsidRPr="001C7B59">
        <w:rPr>
          <w:lang w:val="fr-FR"/>
        </w:rPr>
        <w:t>’</w:t>
      </w:r>
      <w:r w:rsidRPr="001C7B59">
        <w:rPr>
          <w:lang w:val="fr-FR"/>
        </w:rPr>
        <w:t xml:space="preserve">agissant du droit aux conditions du travail, le code du travail en ses articles 109 à 113 consacre les droits à la protection de la femme et de la maternité.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effet, l</w:t>
      </w:r>
      <w:r w:rsidR="00DB6EAF" w:rsidRPr="001C7B59">
        <w:rPr>
          <w:lang w:val="fr-FR"/>
        </w:rPr>
        <w:t>’</w:t>
      </w:r>
      <w:r w:rsidRPr="001C7B59">
        <w:rPr>
          <w:lang w:val="fr-FR"/>
        </w:rPr>
        <w:t>article 109 précise que les travaux de nature à porter atteinte à leur capacité de procréation ou, dans le cas d</w:t>
      </w:r>
      <w:r w:rsidR="00DB6EAF" w:rsidRPr="001C7B59">
        <w:rPr>
          <w:lang w:val="fr-FR"/>
        </w:rPr>
        <w:t>’</w:t>
      </w:r>
      <w:r w:rsidRPr="001C7B59">
        <w:rPr>
          <w:lang w:val="fr-FR"/>
        </w:rPr>
        <w:t>une femme enceinte, ceux affectant sa santé ou celle de l</w:t>
      </w:r>
      <w:r w:rsidR="00DB6EAF" w:rsidRPr="001C7B59">
        <w:rPr>
          <w:lang w:val="fr-FR"/>
        </w:rPr>
        <w:t>’</w:t>
      </w:r>
      <w:r w:rsidRPr="001C7B59">
        <w:rPr>
          <w:lang w:val="fr-FR"/>
        </w:rPr>
        <w:t>enfant sont interdits.</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Quant à l</w:t>
      </w:r>
      <w:r w:rsidR="00DB6EAF" w:rsidRPr="001C7B59">
        <w:rPr>
          <w:lang w:val="fr-FR"/>
        </w:rPr>
        <w:t>’</w:t>
      </w:r>
      <w:r w:rsidRPr="001C7B59">
        <w:rPr>
          <w:lang w:val="fr-FR"/>
        </w:rPr>
        <w:t>article 110, il dispose que « </w:t>
      </w:r>
      <w:r w:rsidRPr="002514CC">
        <w:rPr>
          <w:lang w:val="fr-FR"/>
        </w:rPr>
        <w:t>toute femme enceinte dont l</w:t>
      </w:r>
      <w:r w:rsidR="00DB6EAF" w:rsidRPr="002514CC">
        <w:rPr>
          <w:lang w:val="fr-FR"/>
        </w:rPr>
        <w:t>’</w:t>
      </w:r>
      <w:r w:rsidRPr="002514CC">
        <w:rPr>
          <w:lang w:val="fr-FR"/>
        </w:rPr>
        <w:t>état a été constaté médicalement ou dont la grossesse est apparente peut quitter le travail sans avoir de ce fait à payer une indemnité de rupture de contrat</w:t>
      </w:r>
      <w:r w:rsidRPr="001C7B59">
        <w:rPr>
          <w:lang w:val="fr-FR"/>
        </w:rPr>
        <w:t> ».</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Par ailleurs, conformément aux articles 111 et 112 du même code, pendant quatorze (14) semaines consécutives dont huit (8) semaines postérieures à la délivrance, la femme travailleuse a droit, à la charge de l</w:t>
      </w:r>
      <w:r w:rsidR="00DB6EAF" w:rsidRPr="001C7B59">
        <w:rPr>
          <w:lang w:val="fr-FR"/>
        </w:rPr>
        <w:t>’</w:t>
      </w:r>
      <w:r w:rsidRPr="001C7B59">
        <w:rPr>
          <w:lang w:val="fr-FR"/>
        </w:rPr>
        <w:t>organisme de sécurité sociale (qui établit un compte de gestion distinct alimenté par les cotisations des employeurs) au remboursement, dans les limites des tarifs des formations sanitaires administratives, des frais d</w:t>
      </w:r>
      <w:r w:rsidR="00DB6EAF" w:rsidRPr="001C7B59">
        <w:rPr>
          <w:lang w:val="fr-FR"/>
        </w:rPr>
        <w:t>’</w:t>
      </w:r>
      <w:r w:rsidRPr="001C7B59">
        <w:rPr>
          <w:lang w:val="fr-FR"/>
        </w:rPr>
        <w:t>accouchement et, le cas échéant, des soins médicaux ainsi qu</w:t>
      </w:r>
      <w:r w:rsidR="00DB6EAF" w:rsidRPr="001C7B59">
        <w:rPr>
          <w:lang w:val="fr-FR"/>
        </w:rPr>
        <w:t>’</w:t>
      </w:r>
      <w:r w:rsidRPr="001C7B59">
        <w:rPr>
          <w:lang w:val="fr-FR"/>
        </w:rPr>
        <w:t>à la moitié du salaire qu</w:t>
      </w:r>
      <w:r w:rsidR="00DB6EAF" w:rsidRPr="001C7B59">
        <w:rPr>
          <w:lang w:val="fr-FR"/>
        </w:rPr>
        <w:t>’</w:t>
      </w:r>
      <w:r w:rsidRPr="001C7B59">
        <w:rPr>
          <w:lang w:val="fr-FR"/>
        </w:rPr>
        <w:t>elle percevait au moment de la suspension du travail.</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S</w:t>
      </w:r>
      <w:r w:rsidR="00DB6EAF" w:rsidRPr="001C7B59">
        <w:rPr>
          <w:lang w:val="fr-FR"/>
        </w:rPr>
        <w:t>’</w:t>
      </w:r>
      <w:r w:rsidRPr="001C7B59">
        <w:rPr>
          <w:lang w:val="fr-FR"/>
        </w:rPr>
        <w:t>agissant de la recommandation du Comité relative à la réduction des obstacles rencontrés par les femmes sur le marché de l</w:t>
      </w:r>
      <w:r w:rsidR="00DB6EAF" w:rsidRPr="001C7B59">
        <w:rPr>
          <w:lang w:val="fr-FR"/>
        </w:rPr>
        <w:t>’</w:t>
      </w:r>
      <w:r w:rsidRPr="001C7B59">
        <w:rPr>
          <w:lang w:val="fr-FR"/>
        </w:rPr>
        <w:t>emploi, les réformes entreprises sur le plan juridique et institutionnel ont permis de faire évoluer les différents indicateurs dans ce domaine et par secteur structuré et non structuré.</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En 2008, le nombre de demandes d</w:t>
      </w:r>
      <w:r w:rsidR="00DB6EAF" w:rsidRPr="001C7B59">
        <w:rPr>
          <w:lang w:val="fr-FR"/>
        </w:rPr>
        <w:t>’</w:t>
      </w:r>
      <w:r w:rsidRPr="001C7B59">
        <w:rPr>
          <w:lang w:val="fr-FR"/>
        </w:rPr>
        <w:t>emploi par les femmes enregistrées à l</w:t>
      </w:r>
      <w:r w:rsidR="00DB6EAF" w:rsidRPr="001C7B59">
        <w:rPr>
          <w:lang w:val="fr-FR"/>
        </w:rPr>
        <w:t>’</w:t>
      </w:r>
      <w:r w:rsidRPr="001C7B59">
        <w:rPr>
          <w:lang w:val="fr-FR"/>
        </w:rPr>
        <w:t xml:space="preserve">Agence </w:t>
      </w:r>
      <w:r w:rsidR="00D60176" w:rsidRPr="001C7B59">
        <w:rPr>
          <w:lang w:val="fr-FR"/>
        </w:rPr>
        <w:t>national</w:t>
      </w:r>
      <w:r w:rsidRPr="001C7B59">
        <w:rPr>
          <w:lang w:val="fr-FR"/>
        </w:rPr>
        <w:t xml:space="preserve">e pour la </w:t>
      </w:r>
      <w:r w:rsidR="007B382B">
        <w:rPr>
          <w:lang w:val="fr-FR"/>
        </w:rPr>
        <w:t>promotion</w:t>
      </w:r>
      <w:r w:rsidRPr="001C7B59">
        <w:rPr>
          <w:lang w:val="fr-FR"/>
        </w:rPr>
        <w:t xml:space="preserve"> de l</w:t>
      </w:r>
      <w:r w:rsidR="00DB6EAF" w:rsidRPr="001C7B59">
        <w:rPr>
          <w:lang w:val="fr-FR"/>
        </w:rPr>
        <w:t>’</w:t>
      </w:r>
      <w:r w:rsidR="007B382B">
        <w:rPr>
          <w:lang w:val="fr-FR"/>
        </w:rPr>
        <w:t>emploi</w:t>
      </w:r>
      <w:r w:rsidRPr="001C7B59">
        <w:rPr>
          <w:lang w:val="fr-FR"/>
        </w:rPr>
        <w:t xml:space="preserve"> (ANPE) est de 5.024 contre 19.805 pour les hommes. Elles représentent 20</w:t>
      </w:r>
      <w:r w:rsidR="007B382B">
        <w:rPr>
          <w:lang w:val="fr-FR"/>
        </w:rPr>
        <w:t> %</w:t>
      </w:r>
      <w:r w:rsidRPr="001C7B59">
        <w:rPr>
          <w:lang w:val="fr-FR"/>
        </w:rPr>
        <w:t xml:space="preserve"> de la demande totale d</w:t>
      </w:r>
      <w:r w:rsidR="00DB6EAF" w:rsidRPr="001C7B59">
        <w:rPr>
          <w:lang w:val="fr-FR"/>
        </w:rPr>
        <w:t>’</w:t>
      </w:r>
      <w:r w:rsidRPr="001C7B59">
        <w:rPr>
          <w:lang w:val="fr-FR"/>
        </w:rPr>
        <w:t>emploi.</w:t>
      </w:r>
    </w:p>
    <w:p w:rsidR="004432C5" w:rsidRPr="001C7B59" w:rsidRDefault="004432C5" w:rsidP="008E5553">
      <w:pPr>
        <w:pStyle w:val="SingleTxt"/>
        <w:numPr>
          <w:ilvl w:val="0"/>
          <w:numId w:val="9"/>
        </w:numPr>
        <w:tabs>
          <w:tab w:val="clear" w:pos="475"/>
          <w:tab w:val="num" w:pos="1742"/>
        </w:tabs>
        <w:ind w:left="1267"/>
        <w:rPr>
          <w:lang w:val="fr-FR"/>
        </w:rPr>
      </w:pPr>
      <w:r w:rsidRPr="001C7B59">
        <w:rPr>
          <w:lang w:val="fr-FR"/>
        </w:rPr>
        <w:t>Les</w:t>
      </w:r>
      <w:r w:rsidRPr="001C7B59">
        <w:rPr>
          <w:iCs/>
          <w:lang w:val="fr-FR"/>
        </w:rPr>
        <w:t xml:space="preserve"> demandes d</w:t>
      </w:r>
      <w:r w:rsidR="00DB6EAF" w:rsidRPr="001C7B59">
        <w:rPr>
          <w:iCs/>
          <w:lang w:val="fr-FR"/>
        </w:rPr>
        <w:t>’</w:t>
      </w:r>
      <w:r w:rsidRPr="001C7B59">
        <w:rPr>
          <w:iCs/>
          <w:lang w:val="fr-FR"/>
        </w:rPr>
        <w:t xml:space="preserve">emploi satisfaites </w:t>
      </w:r>
      <w:r w:rsidRPr="001C7B59">
        <w:rPr>
          <w:lang w:val="fr-FR"/>
        </w:rPr>
        <w:t>sont plus importantes chez les hommes que les femmes. En 2008, l</w:t>
      </w:r>
      <w:r w:rsidR="00DB6EAF" w:rsidRPr="001C7B59">
        <w:rPr>
          <w:lang w:val="fr-FR"/>
        </w:rPr>
        <w:t>’</w:t>
      </w:r>
      <w:r w:rsidRPr="001C7B59">
        <w:rPr>
          <w:lang w:val="fr-FR"/>
        </w:rPr>
        <w:t>offre globale d</w:t>
      </w:r>
      <w:r w:rsidR="00DB6EAF" w:rsidRPr="001C7B59">
        <w:rPr>
          <w:lang w:val="fr-FR"/>
        </w:rPr>
        <w:t>’</w:t>
      </w:r>
      <w:r w:rsidRPr="001C7B59">
        <w:rPr>
          <w:lang w:val="fr-FR"/>
        </w:rPr>
        <w:t xml:space="preserve">emploi satisfaite est de 3.120 contre 6.314 en 2007. Celle attribuée aux femmes est de 509 contre 2.611 pour les hommes. En 2007, cet effectif était de 1.220 contre 5.094 pour les hommes. </w:t>
      </w:r>
    </w:p>
    <w:p w:rsidR="004432C5" w:rsidRPr="001C7B59" w:rsidRDefault="004432C5" w:rsidP="008E5553">
      <w:pPr>
        <w:pStyle w:val="SingleTxt"/>
        <w:numPr>
          <w:ilvl w:val="0"/>
          <w:numId w:val="9"/>
        </w:numPr>
        <w:tabs>
          <w:tab w:val="clear" w:pos="475"/>
          <w:tab w:val="num" w:pos="1742"/>
        </w:tabs>
        <w:ind w:left="1267"/>
        <w:rPr>
          <w:b/>
          <w:lang w:val="fr-FR"/>
        </w:rPr>
      </w:pPr>
      <w:r w:rsidRPr="001C7B59">
        <w:rPr>
          <w:lang w:val="fr-FR"/>
        </w:rPr>
        <w:t>En ce qui concerne la recommandation relative à l</w:t>
      </w:r>
      <w:r w:rsidR="00DB6EAF" w:rsidRPr="001C7B59">
        <w:rPr>
          <w:lang w:val="fr-FR"/>
        </w:rPr>
        <w:t>’</w:t>
      </w:r>
      <w:r w:rsidRPr="001C7B59">
        <w:rPr>
          <w:lang w:val="fr-FR"/>
        </w:rPr>
        <w:t>adoption d</w:t>
      </w:r>
      <w:r w:rsidR="00DB6EAF" w:rsidRPr="001C7B59">
        <w:rPr>
          <w:lang w:val="fr-FR"/>
        </w:rPr>
        <w:t>’</w:t>
      </w:r>
      <w:r w:rsidRPr="001C7B59">
        <w:rPr>
          <w:lang w:val="fr-FR"/>
        </w:rPr>
        <w:t>une démarche globale de lutte contre les violences dirigées contre les femmes, l</w:t>
      </w:r>
      <w:r w:rsidR="00DB6EAF" w:rsidRPr="001C7B59">
        <w:rPr>
          <w:lang w:val="fr-FR"/>
        </w:rPr>
        <w:t>’</w:t>
      </w:r>
      <w:r w:rsidR="008E5553">
        <w:rPr>
          <w:lang w:val="fr-FR"/>
        </w:rPr>
        <w:t>État</w:t>
      </w:r>
      <w:r w:rsidRPr="001C7B59">
        <w:rPr>
          <w:lang w:val="fr-FR"/>
        </w:rPr>
        <w:t xml:space="preserve"> a déployé beaucoup d</w:t>
      </w:r>
      <w:r w:rsidR="00DB6EAF" w:rsidRPr="001C7B59">
        <w:rPr>
          <w:lang w:val="fr-FR"/>
        </w:rPr>
        <w:t>’</w:t>
      </w:r>
      <w:r w:rsidRPr="001C7B59">
        <w:rPr>
          <w:lang w:val="fr-FR"/>
        </w:rPr>
        <w:t>efforts pour renforcer le cadre juridique de lutte contre les violences faites aux femmes et adopter des programmes dont la mise en œuvre a permis la prise en charge psychosociale des victimes.</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Sur le plan juridique</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Le Code pénal nigérien modifié par la loi n° 2003-025 du 13 juin 2003 en ses articles 208.1 à 208.8 sanctionne les infractions de crimes de guerre et de crimes contre l</w:t>
      </w:r>
      <w:r w:rsidR="00DB6EAF" w:rsidRPr="001C7B59">
        <w:rPr>
          <w:lang w:val="fr-FR"/>
        </w:rPr>
        <w:t>’</w:t>
      </w:r>
      <w:r w:rsidRPr="001C7B59">
        <w:rPr>
          <w:lang w:val="fr-FR"/>
        </w:rPr>
        <w:t>humanité. Les articles 222 à 232 sanctionnent les coups et blessures volontaires, alors que les mutilations génitales féminines sont prévues et punies par les articles 232.1 à 232.3. Les articles 248 à 261 prévoient et punissent les crimes et délits contre l</w:t>
      </w:r>
      <w:r w:rsidR="00DB6EAF" w:rsidRPr="001C7B59">
        <w:rPr>
          <w:lang w:val="fr-FR"/>
        </w:rPr>
        <w:t>’</w:t>
      </w:r>
      <w:r w:rsidRPr="001C7B59">
        <w:rPr>
          <w:lang w:val="fr-FR"/>
        </w:rPr>
        <w:t>enfant et la famille. Quant à l</w:t>
      </w:r>
      <w:r w:rsidR="00DB6EAF" w:rsidRPr="001C7B59">
        <w:rPr>
          <w:lang w:val="fr-FR"/>
        </w:rPr>
        <w:t>’</w:t>
      </w:r>
      <w:r w:rsidRPr="001C7B59">
        <w:rPr>
          <w:lang w:val="fr-FR"/>
        </w:rPr>
        <w:t>esclavage, il est prévu et puni par les articles 270.1 à 270.5.</w:t>
      </w:r>
    </w:p>
    <w:p w:rsidR="004432C5" w:rsidRPr="001C7B59" w:rsidRDefault="004432C5" w:rsidP="008E5553">
      <w:pPr>
        <w:pStyle w:val="SingleTxt"/>
        <w:numPr>
          <w:ilvl w:val="0"/>
          <w:numId w:val="13"/>
        </w:numPr>
        <w:rPr>
          <w:lang w:val="fr-FR"/>
        </w:rPr>
      </w:pPr>
      <w:r w:rsidRPr="001C7B59">
        <w:rPr>
          <w:lang w:val="fr-FR"/>
        </w:rPr>
        <w:t>Les chapitres 7, 8 et 9 sont consacrés aux homicides et blessures involontaires, aux attentats aux mœurs et à l</w:t>
      </w:r>
      <w:r w:rsidR="00DB6EAF" w:rsidRPr="001C7B59">
        <w:rPr>
          <w:lang w:val="fr-FR"/>
        </w:rPr>
        <w:t>’</w:t>
      </w:r>
      <w:r w:rsidRPr="001C7B59">
        <w:rPr>
          <w:lang w:val="fr-FR"/>
        </w:rPr>
        <w:t xml:space="preserve">avortement. </w:t>
      </w:r>
    </w:p>
    <w:p w:rsidR="004432C5" w:rsidRPr="001C7B59" w:rsidRDefault="004432C5" w:rsidP="008E5553">
      <w:pPr>
        <w:pStyle w:val="SingleTxt"/>
        <w:numPr>
          <w:ilvl w:val="0"/>
          <w:numId w:val="13"/>
        </w:numPr>
        <w:rPr>
          <w:lang w:val="fr-FR"/>
        </w:rPr>
      </w:pPr>
      <w:r w:rsidRPr="001C7B59">
        <w:rPr>
          <w:lang w:val="fr-FR"/>
        </w:rPr>
        <w:t>En outre, l</w:t>
      </w:r>
      <w:r w:rsidR="00DB6EAF" w:rsidRPr="001C7B59">
        <w:rPr>
          <w:lang w:val="fr-FR"/>
        </w:rPr>
        <w:t>’</w:t>
      </w:r>
      <w:r w:rsidRPr="001C7B59">
        <w:rPr>
          <w:lang w:val="fr-FR"/>
        </w:rPr>
        <w:t>ordonnance n°2010-086 du 16 décembre 2010 relative à la lutte contre la traite des personnes réprime la traite et le trafic des femmes et des enfants, le travail forcé et la servitude, entre autres. L</w:t>
      </w:r>
      <w:r w:rsidR="00DB6EAF" w:rsidRPr="001C7B59">
        <w:rPr>
          <w:lang w:val="fr-FR"/>
        </w:rPr>
        <w:t>’</w:t>
      </w:r>
      <w:r w:rsidRPr="001C7B59">
        <w:rPr>
          <w:lang w:val="fr-FR"/>
        </w:rPr>
        <w:t>application de cette loi est renforcée par la mise en place d</w:t>
      </w:r>
      <w:r w:rsidR="00DB6EAF" w:rsidRPr="001C7B59">
        <w:rPr>
          <w:lang w:val="fr-FR"/>
        </w:rPr>
        <w:t>’</w:t>
      </w:r>
      <w:r w:rsidRPr="001C7B59">
        <w:rPr>
          <w:lang w:val="fr-FR"/>
        </w:rPr>
        <w:t>organes spécialement destinés à la lutte contre ce phénomène.</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Sur le plan des projets et programmes</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L</w:t>
      </w:r>
      <w:r w:rsidR="00DB6EAF" w:rsidRPr="001C7B59">
        <w:rPr>
          <w:lang w:val="fr-FR"/>
        </w:rPr>
        <w:t>’</w:t>
      </w:r>
      <w:r w:rsidR="008E5553">
        <w:rPr>
          <w:lang w:val="fr-FR"/>
        </w:rPr>
        <w:t>État</w:t>
      </w:r>
      <w:r w:rsidRPr="001C7B59">
        <w:rPr>
          <w:lang w:val="fr-FR"/>
        </w:rPr>
        <w:t xml:space="preserve">, grâce au soutien de la BAD, a mis en œuvre à travers le Projet de </w:t>
      </w:r>
      <w:r w:rsidR="00DE024F">
        <w:rPr>
          <w:lang w:val="fr-FR"/>
        </w:rPr>
        <w:t>renforcement</w:t>
      </w:r>
      <w:r w:rsidRPr="001C7B59">
        <w:rPr>
          <w:lang w:val="fr-FR"/>
        </w:rPr>
        <w:t xml:space="preserve"> de l</w:t>
      </w:r>
      <w:r w:rsidR="00DB6EAF" w:rsidRPr="001C7B59">
        <w:rPr>
          <w:lang w:val="fr-FR"/>
        </w:rPr>
        <w:t>’</w:t>
      </w:r>
      <w:r w:rsidR="00DE024F">
        <w:rPr>
          <w:lang w:val="fr-FR"/>
        </w:rPr>
        <w:t>équité</w:t>
      </w:r>
      <w:r w:rsidRPr="001C7B59">
        <w:rPr>
          <w:lang w:val="fr-FR"/>
        </w:rPr>
        <w:t xml:space="preserve"> en matière de </w:t>
      </w:r>
      <w:r w:rsidR="001C7B59" w:rsidRPr="001C7B59">
        <w:rPr>
          <w:lang w:val="fr-FR"/>
        </w:rPr>
        <w:t>genre</w:t>
      </w:r>
      <w:r w:rsidRPr="001C7B59">
        <w:rPr>
          <w:lang w:val="fr-FR"/>
        </w:rPr>
        <w:t xml:space="preserve"> (PREG) des actions de lutte contre les Violences Basées sur le </w:t>
      </w:r>
      <w:r w:rsidR="001C7B59" w:rsidRPr="001C7B59">
        <w:rPr>
          <w:lang w:val="fr-FR"/>
        </w:rPr>
        <w:t>genre</w:t>
      </w:r>
      <w:r w:rsidRPr="001C7B59">
        <w:rPr>
          <w:lang w:val="fr-FR"/>
        </w:rPr>
        <w:t xml:space="preserve"> (VBG) tout en permettant une amélioration de la perception de la relation hommes/femmes au Niger. </w:t>
      </w:r>
    </w:p>
    <w:p w:rsidR="004432C5" w:rsidRPr="001C7B59" w:rsidRDefault="004432C5" w:rsidP="008E5553">
      <w:pPr>
        <w:pStyle w:val="SingleTxt"/>
        <w:numPr>
          <w:ilvl w:val="0"/>
          <w:numId w:val="13"/>
        </w:numPr>
        <w:rPr>
          <w:lang w:val="fr-FR"/>
        </w:rPr>
      </w:pPr>
      <w:r w:rsidRPr="001C7B59">
        <w:rPr>
          <w:lang w:val="fr-FR"/>
        </w:rPr>
        <w:t xml:space="preserve">En 2011 le Ministère de la </w:t>
      </w:r>
      <w:r w:rsidR="007B382B">
        <w:rPr>
          <w:lang w:val="fr-FR"/>
        </w:rPr>
        <w:t>promotion</w:t>
      </w:r>
      <w:r w:rsidRPr="001C7B59">
        <w:rPr>
          <w:lang w:val="fr-FR"/>
        </w:rPr>
        <w:t xml:space="preserve"> de la </w:t>
      </w:r>
      <w:r w:rsidR="001C7B59" w:rsidRPr="001C7B59">
        <w:rPr>
          <w:lang w:val="fr-FR"/>
        </w:rPr>
        <w:t>femme</w:t>
      </w:r>
      <w:r w:rsidRPr="001C7B59">
        <w:rPr>
          <w:lang w:val="fr-FR"/>
        </w:rPr>
        <w:t xml:space="preserve"> a créé une division de lutte contre les violences basées sur le genre logée dans la Direction de la </w:t>
      </w:r>
      <w:r w:rsidR="007B382B">
        <w:rPr>
          <w:lang w:val="fr-FR"/>
        </w:rPr>
        <w:t>promotion</w:t>
      </w:r>
      <w:r w:rsidRPr="001C7B59">
        <w:rPr>
          <w:lang w:val="fr-FR"/>
        </w:rPr>
        <w:t xml:space="preserve"> du Leadership Féminin, dont les missions consistent à développer des stratégies de lutte contre les stéréotypes et les V</w:t>
      </w:r>
      <w:r w:rsidR="00E15F6D">
        <w:rPr>
          <w:lang w:val="fr-FR"/>
        </w:rPr>
        <w:t>BG, à produire des données sexo</w:t>
      </w:r>
      <w:r w:rsidRPr="001C7B59">
        <w:rPr>
          <w:lang w:val="fr-FR"/>
        </w:rPr>
        <w:t>spécifiques et typologiques des cas de VBG et à veiller à l</w:t>
      </w:r>
      <w:r w:rsidR="00DB6EAF" w:rsidRPr="001C7B59">
        <w:rPr>
          <w:lang w:val="fr-FR"/>
        </w:rPr>
        <w:t>’</w:t>
      </w:r>
      <w:r w:rsidRPr="001C7B59">
        <w:rPr>
          <w:lang w:val="fr-FR"/>
        </w:rPr>
        <w:t>application effective des lois relatives à la lutte contre les violences, entre autres.</w:t>
      </w:r>
    </w:p>
    <w:p w:rsidR="004432C5" w:rsidRPr="001C7B59" w:rsidRDefault="004432C5" w:rsidP="008E5553">
      <w:pPr>
        <w:pStyle w:val="SingleTxt"/>
        <w:numPr>
          <w:ilvl w:val="0"/>
          <w:numId w:val="13"/>
        </w:numPr>
        <w:rPr>
          <w:lang w:val="fr-FR"/>
        </w:rPr>
      </w:pPr>
      <w:r w:rsidRPr="001C7B59">
        <w:rPr>
          <w:lang w:val="fr-FR"/>
        </w:rPr>
        <w:t xml:space="preserve">En outre, un recueil de textes juridiques sur le </w:t>
      </w:r>
      <w:r w:rsidR="001C7B59" w:rsidRPr="001C7B59">
        <w:rPr>
          <w:lang w:val="fr-FR"/>
        </w:rPr>
        <w:t>genre</w:t>
      </w:r>
      <w:r w:rsidRPr="001C7B59">
        <w:rPr>
          <w:lang w:val="fr-FR"/>
        </w:rPr>
        <w:t xml:space="preserve"> et </w:t>
      </w:r>
      <w:r w:rsidR="001C7B59" w:rsidRPr="001C7B59">
        <w:rPr>
          <w:lang w:val="fr-FR"/>
        </w:rPr>
        <w:t>droit</w:t>
      </w:r>
      <w:r w:rsidRPr="001C7B59">
        <w:rPr>
          <w:lang w:val="fr-FR"/>
        </w:rPr>
        <w:t xml:space="preserve">s </w:t>
      </w:r>
      <w:r w:rsidR="001C7B59" w:rsidRPr="001C7B59">
        <w:rPr>
          <w:lang w:val="fr-FR"/>
        </w:rPr>
        <w:t>humain</w:t>
      </w:r>
      <w:r w:rsidRPr="001C7B59">
        <w:rPr>
          <w:lang w:val="fr-FR"/>
        </w:rPr>
        <w:t>s a été élaboré par le MP/PF/PE et validé en 2012. Il fera l</w:t>
      </w:r>
      <w:r w:rsidR="00DB6EAF" w:rsidRPr="001C7B59">
        <w:rPr>
          <w:lang w:val="fr-FR"/>
        </w:rPr>
        <w:t>’</w:t>
      </w:r>
      <w:r w:rsidRPr="001C7B59">
        <w:rPr>
          <w:lang w:val="fr-FR"/>
        </w:rPr>
        <w:t>objet de vulgarisation au niveau national.</w:t>
      </w:r>
    </w:p>
    <w:p w:rsidR="004432C5" w:rsidRPr="001C7B59" w:rsidRDefault="004432C5" w:rsidP="008E5553">
      <w:pPr>
        <w:pStyle w:val="SingleTxt"/>
        <w:numPr>
          <w:ilvl w:val="0"/>
          <w:numId w:val="13"/>
        </w:numPr>
        <w:rPr>
          <w:lang w:val="fr-FR"/>
        </w:rPr>
      </w:pPr>
      <w:r w:rsidRPr="001C7B59">
        <w:rPr>
          <w:lang w:val="fr-FR"/>
        </w:rPr>
        <w:t xml:space="preserve">De nombreux projets et programmes de lutte contre les VBG sont mis en œuvre par les structures étatiques et les organisations de la société civile réunies au sein du Cadre de </w:t>
      </w:r>
      <w:r w:rsidR="008E5553">
        <w:rPr>
          <w:lang w:val="fr-FR"/>
        </w:rPr>
        <w:t>concertation</w:t>
      </w:r>
      <w:r w:rsidRPr="001C7B59">
        <w:rPr>
          <w:lang w:val="fr-FR"/>
        </w:rPr>
        <w:t xml:space="preserve"> en matière de lutte contre les VBG avec l</w:t>
      </w:r>
      <w:r w:rsidR="00DB6EAF" w:rsidRPr="001C7B59">
        <w:rPr>
          <w:lang w:val="fr-FR"/>
        </w:rPr>
        <w:t>’</w:t>
      </w:r>
      <w:r w:rsidRPr="001C7B59">
        <w:rPr>
          <w:lang w:val="fr-FR"/>
        </w:rPr>
        <w:t>appui des PTF tels que le SNU, OXFAM et les</w:t>
      </w:r>
      <w:r w:rsidR="001C7B59" w:rsidRPr="001C7B59">
        <w:rPr>
          <w:lang w:val="fr-FR"/>
        </w:rPr>
        <w:t xml:space="preserve"> </w:t>
      </w:r>
      <w:r w:rsidRPr="001C7B59">
        <w:rPr>
          <w:lang w:val="fr-FR"/>
        </w:rPr>
        <w:t>partenaires bilatéraux. La mission du Cadre de concertation est de rallier et coordonner les efforts de tous les acteurs qui luttent contre les VBG, dans le but de prévenir et de réduire ces violences. Ce cadre qui est un espace d</w:t>
      </w:r>
      <w:r w:rsidR="00DB6EAF" w:rsidRPr="001C7B59">
        <w:rPr>
          <w:lang w:val="fr-FR"/>
        </w:rPr>
        <w:t>’</w:t>
      </w:r>
      <w:r w:rsidRPr="001C7B59">
        <w:rPr>
          <w:lang w:val="fr-FR"/>
        </w:rPr>
        <w:t>échange d</w:t>
      </w:r>
      <w:r w:rsidR="00DB6EAF" w:rsidRPr="001C7B59">
        <w:rPr>
          <w:lang w:val="fr-FR"/>
        </w:rPr>
        <w:t>’</w:t>
      </w:r>
      <w:r w:rsidRPr="001C7B59">
        <w:rPr>
          <w:lang w:val="fr-FR"/>
        </w:rPr>
        <w:t>expériences, d</w:t>
      </w:r>
      <w:r w:rsidR="00DB6EAF" w:rsidRPr="001C7B59">
        <w:rPr>
          <w:lang w:val="fr-FR"/>
        </w:rPr>
        <w:t>’</w:t>
      </w:r>
      <w:r w:rsidRPr="001C7B59">
        <w:rPr>
          <w:lang w:val="fr-FR"/>
        </w:rPr>
        <w:t xml:space="preserve">information et de formation, regroupe actuellement près de 23 membres (ministères techniques, PTF, ONG, associations, </w:t>
      </w:r>
      <w:r w:rsidR="002514CC">
        <w:rPr>
          <w:lang w:val="fr-FR"/>
        </w:rPr>
        <w:t>f</w:t>
      </w:r>
      <w:r w:rsidRPr="001C7B59">
        <w:rPr>
          <w:lang w:val="fr-FR"/>
        </w:rPr>
        <w:t xml:space="preserve">édérations). </w:t>
      </w:r>
    </w:p>
    <w:p w:rsidR="004432C5" w:rsidRPr="001C7B59" w:rsidRDefault="004432C5" w:rsidP="008E5553">
      <w:pPr>
        <w:pStyle w:val="SingleTxt"/>
        <w:numPr>
          <w:ilvl w:val="0"/>
          <w:numId w:val="13"/>
        </w:numPr>
        <w:rPr>
          <w:lang w:val="fr-FR"/>
        </w:rPr>
      </w:pPr>
      <w:r w:rsidRPr="001C7B59">
        <w:rPr>
          <w:lang w:val="fr-FR"/>
        </w:rPr>
        <w:t>Depuis sa création, ce cadre mène des activités de sensibilisation et de plaidoyer/lobbying à travers « les 16 jours d</w:t>
      </w:r>
      <w:r w:rsidR="00DB6EAF" w:rsidRPr="001C7B59">
        <w:rPr>
          <w:lang w:val="fr-FR"/>
        </w:rPr>
        <w:t>’</w:t>
      </w:r>
      <w:r w:rsidRPr="001C7B59">
        <w:rPr>
          <w:lang w:val="fr-FR"/>
        </w:rPr>
        <w:t>activisme », la campagne « nous pouvons », le renforcement des capacités des acteurs notamment les OPJ, les leaders d</w:t>
      </w:r>
      <w:r w:rsidR="00DB6EAF" w:rsidRPr="001C7B59">
        <w:rPr>
          <w:lang w:val="fr-FR"/>
        </w:rPr>
        <w:t>’</w:t>
      </w:r>
      <w:r w:rsidRPr="001C7B59">
        <w:rPr>
          <w:lang w:val="fr-FR"/>
        </w:rPr>
        <w:t xml:space="preserve">opinions, et la prise en charge des victimes. </w:t>
      </w:r>
    </w:p>
    <w:p w:rsidR="004432C5" w:rsidRPr="001C7B59" w:rsidRDefault="004432C5" w:rsidP="008E5553">
      <w:pPr>
        <w:pStyle w:val="SingleTxt"/>
        <w:numPr>
          <w:ilvl w:val="0"/>
          <w:numId w:val="13"/>
        </w:numPr>
        <w:rPr>
          <w:lang w:val="fr-FR"/>
        </w:rPr>
      </w:pPr>
      <w:r w:rsidRPr="001C7B59">
        <w:rPr>
          <w:lang w:val="fr-FR"/>
        </w:rPr>
        <w:t>La politique de formation et d</w:t>
      </w:r>
      <w:r w:rsidR="00DB6EAF" w:rsidRPr="001C7B59">
        <w:rPr>
          <w:lang w:val="fr-FR"/>
        </w:rPr>
        <w:t>’</w:t>
      </w:r>
      <w:r w:rsidRPr="001C7B59">
        <w:rPr>
          <w:lang w:val="fr-FR"/>
        </w:rPr>
        <w:t>information de ce cadre s</w:t>
      </w:r>
      <w:r w:rsidR="00DB6EAF" w:rsidRPr="001C7B59">
        <w:rPr>
          <w:lang w:val="fr-FR"/>
        </w:rPr>
        <w:t>’</w:t>
      </w:r>
      <w:r w:rsidRPr="001C7B59">
        <w:rPr>
          <w:lang w:val="fr-FR"/>
        </w:rPr>
        <w:t>articule autour d</w:t>
      </w:r>
      <w:r w:rsidR="00DB6EAF" w:rsidRPr="001C7B59">
        <w:rPr>
          <w:lang w:val="fr-FR"/>
        </w:rPr>
        <w:t>’</w:t>
      </w:r>
      <w:r w:rsidRPr="001C7B59">
        <w:rPr>
          <w:lang w:val="fr-FR"/>
        </w:rPr>
        <w:t>un axe principal qui consiste à la professionnalisation des acteurs de première ligne. Depuis son démarrage en 2006, cette politique a permis de former plus de 100 magistrats, 65 policiers, 122 leaders religieux, 112 agents de santé, 143 journalistes, etc.</w:t>
      </w:r>
    </w:p>
    <w:p w:rsidR="004432C5" w:rsidRPr="001C7B59" w:rsidRDefault="004432C5" w:rsidP="008E5553">
      <w:pPr>
        <w:pStyle w:val="SingleTxt"/>
        <w:numPr>
          <w:ilvl w:val="0"/>
          <w:numId w:val="13"/>
        </w:numPr>
        <w:rPr>
          <w:lang w:val="fr-FR"/>
        </w:rPr>
      </w:pPr>
      <w:r w:rsidRPr="001C7B59">
        <w:rPr>
          <w:lang w:val="fr-FR"/>
        </w:rPr>
        <w:t>Dans le cadre de la mise en œuvre du programme de Fonds de Solidarité Prioritaire avec ONUFEMMES Niger sur « la contribution à l</w:t>
      </w:r>
      <w:r w:rsidR="00DB6EAF" w:rsidRPr="001C7B59">
        <w:rPr>
          <w:lang w:val="fr-FR"/>
        </w:rPr>
        <w:t>’</w:t>
      </w:r>
      <w:r w:rsidRPr="001C7B59">
        <w:rPr>
          <w:lang w:val="fr-FR"/>
        </w:rPr>
        <w:t>éradication des violences basées sur le genre et le rehaussement du rôle de la femme dans la paix et la sécurité, ONUFEMMES Niger a vulgarisé la résolution 1325 dans les régions de Tillabéry et Agadez, en partenariat avec l</w:t>
      </w:r>
      <w:r w:rsidR="00DB6EAF" w:rsidRPr="001C7B59">
        <w:rPr>
          <w:lang w:val="fr-FR"/>
        </w:rPr>
        <w:t>’</w:t>
      </w:r>
      <w:r w:rsidRPr="001C7B59">
        <w:rPr>
          <w:lang w:val="fr-FR"/>
        </w:rPr>
        <w:t>ONG-LUCOFVEM depuis trois ans. De même les autres régions sont programmées pour 2014 et 2015.</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Les séances de sensibilisation</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 xml:space="preserve">Le Cadre de </w:t>
      </w:r>
      <w:r w:rsidR="008E5553">
        <w:rPr>
          <w:lang w:val="fr-FR"/>
        </w:rPr>
        <w:t>c</w:t>
      </w:r>
      <w:r w:rsidRPr="001C7B59">
        <w:rPr>
          <w:lang w:val="fr-FR"/>
        </w:rPr>
        <w:t>oncertation, à travers ses activités, a contribué à l</w:t>
      </w:r>
      <w:r w:rsidR="00DB6EAF" w:rsidRPr="001C7B59">
        <w:rPr>
          <w:lang w:val="fr-FR"/>
        </w:rPr>
        <w:t>’</w:t>
      </w:r>
      <w:r w:rsidRPr="001C7B59">
        <w:rPr>
          <w:lang w:val="fr-FR"/>
        </w:rPr>
        <w:t>amélioration des connaissances de l</w:t>
      </w:r>
      <w:r w:rsidR="00DB6EAF" w:rsidRPr="001C7B59">
        <w:rPr>
          <w:lang w:val="fr-FR"/>
        </w:rPr>
        <w:t>’</w:t>
      </w:r>
      <w:r w:rsidRPr="001C7B59">
        <w:rPr>
          <w:lang w:val="fr-FR"/>
        </w:rPr>
        <w:t>opinion publique sur les VBG. En milieu scolaire par exemple, plus de 10300 élèves et enseignants ont été sensibilisés</w:t>
      </w:r>
      <w:r w:rsidR="001C7B59" w:rsidRPr="001C7B59">
        <w:rPr>
          <w:lang w:val="fr-FR"/>
        </w:rPr>
        <w:t xml:space="preserve"> </w:t>
      </w:r>
      <w:r w:rsidRPr="001C7B59">
        <w:rPr>
          <w:lang w:val="fr-FR"/>
        </w:rPr>
        <w:t>sur le harcèlement sexuel afin de les inciter à briser la loi du silence.</w:t>
      </w:r>
    </w:p>
    <w:p w:rsidR="004432C5" w:rsidRPr="001C7B59" w:rsidRDefault="004432C5" w:rsidP="008E5553">
      <w:pPr>
        <w:pStyle w:val="SingleTxt"/>
        <w:numPr>
          <w:ilvl w:val="0"/>
          <w:numId w:val="13"/>
        </w:numPr>
        <w:rPr>
          <w:lang w:val="fr-FR"/>
        </w:rPr>
      </w:pPr>
      <w:r w:rsidRPr="001C7B59">
        <w:rPr>
          <w:lang w:val="fr-FR"/>
        </w:rPr>
        <w:t>Deux campagnes phares ont été menées: les « 16 jours d</w:t>
      </w:r>
      <w:r w:rsidR="00DB6EAF" w:rsidRPr="001C7B59">
        <w:rPr>
          <w:lang w:val="fr-FR"/>
        </w:rPr>
        <w:t>’</w:t>
      </w:r>
      <w:r w:rsidRPr="001C7B59">
        <w:rPr>
          <w:lang w:val="fr-FR"/>
        </w:rPr>
        <w:t>activisme contre les violences faites aux femmes » et « nous pouvons mettre fin aux violences faites aux femmes ». Ces deux campagnes ont permis d</w:t>
      </w:r>
      <w:r w:rsidR="00DB6EAF" w:rsidRPr="001C7B59">
        <w:rPr>
          <w:lang w:val="fr-FR"/>
        </w:rPr>
        <w:t>’</w:t>
      </w:r>
      <w:r w:rsidRPr="001C7B59">
        <w:rPr>
          <w:lang w:val="fr-FR"/>
        </w:rPr>
        <w:t>enregistrer des résultats encourageants qui se traduisent par l</w:t>
      </w:r>
      <w:r w:rsidR="00DB6EAF" w:rsidRPr="001C7B59">
        <w:rPr>
          <w:lang w:val="fr-FR"/>
        </w:rPr>
        <w:t>’</w:t>
      </w:r>
      <w:r w:rsidRPr="001C7B59">
        <w:rPr>
          <w:lang w:val="fr-FR"/>
        </w:rPr>
        <w:t>engagement volontaire de 10 000 agents de changement pour la campagne « nous pouvons ».</w:t>
      </w:r>
    </w:p>
    <w:p w:rsidR="004432C5" w:rsidRPr="001C7B59" w:rsidRDefault="004432C5" w:rsidP="008E5553">
      <w:pPr>
        <w:pStyle w:val="SingleTxt"/>
        <w:numPr>
          <w:ilvl w:val="0"/>
          <w:numId w:val="13"/>
        </w:numPr>
        <w:rPr>
          <w:lang w:val="fr-FR"/>
        </w:rPr>
      </w:pPr>
      <w:r w:rsidRPr="001C7B59">
        <w:rPr>
          <w:lang w:val="fr-FR"/>
        </w:rPr>
        <w:t>Des séances de sensibilisations ont été aussi menées à l</w:t>
      </w:r>
      <w:r w:rsidR="00DB6EAF" w:rsidRPr="001C7B59">
        <w:rPr>
          <w:lang w:val="fr-FR"/>
        </w:rPr>
        <w:t>’</w:t>
      </w:r>
      <w:r w:rsidRPr="001C7B59">
        <w:rPr>
          <w:lang w:val="fr-FR"/>
        </w:rPr>
        <w:t>initiative de certains partenaires. Ainsi, un film documentaire sur le mariage précoce et forcé a été réalisé avec l</w:t>
      </w:r>
      <w:r w:rsidR="00DB6EAF" w:rsidRPr="001C7B59">
        <w:rPr>
          <w:lang w:val="fr-FR"/>
        </w:rPr>
        <w:t>’</w:t>
      </w:r>
      <w:r w:rsidRPr="001C7B59">
        <w:rPr>
          <w:lang w:val="fr-FR"/>
        </w:rPr>
        <w:t>appui de l</w:t>
      </w:r>
      <w:r w:rsidR="00DB6EAF" w:rsidRPr="001C7B59">
        <w:rPr>
          <w:lang w:val="fr-FR"/>
        </w:rPr>
        <w:t>’</w:t>
      </w:r>
      <w:r w:rsidRPr="001C7B59">
        <w:rPr>
          <w:lang w:val="fr-FR"/>
        </w:rPr>
        <w:t>UNICEF.</w:t>
      </w:r>
    </w:p>
    <w:p w:rsidR="002514CC" w:rsidRPr="002514CC" w:rsidRDefault="002514CC" w:rsidP="002514CC">
      <w:pPr>
        <w:pStyle w:val="SingleTxt"/>
        <w:spacing w:after="0" w:line="120" w:lineRule="exact"/>
        <w:rPr>
          <w:sz w:val="10"/>
          <w:lang w:val="fr-FR"/>
        </w:rPr>
      </w:pPr>
    </w:p>
    <w:p w:rsidR="004432C5" w:rsidRDefault="002514CC"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Prise en charge des victimes de violences basées sur le genre</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Pendant des années, la prise en charge des victimes consistait essentiellement à des actions isolées et disparates des acteurs à plusieurs niveaux. Cette approche s</w:t>
      </w:r>
      <w:r w:rsidR="00DB6EAF" w:rsidRPr="001C7B59">
        <w:rPr>
          <w:lang w:val="fr-FR"/>
        </w:rPr>
        <w:t>’</w:t>
      </w:r>
      <w:r w:rsidRPr="001C7B59">
        <w:rPr>
          <w:lang w:val="fr-FR"/>
        </w:rPr>
        <w:t xml:space="preserve">étant relevée réductrice, le </w:t>
      </w:r>
      <w:r w:rsidR="006E6940">
        <w:rPr>
          <w:lang w:val="fr-FR"/>
        </w:rPr>
        <w:t>Gouvernement</w:t>
      </w:r>
      <w:r w:rsidRPr="001C7B59">
        <w:rPr>
          <w:lang w:val="fr-FR"/>
        </w:rPr>
        <w:t xml:space="preserve"> avec l</w:t>
      </w:r>
      <w:r w:rsidR="00DB6EAF" w:rsidRPr="001C7B59">
        <w:rPr>
          <w:lang w:val="fr-FR"/>
        </w:rPr>
        <w:t>’</w:t>
      </w:r>
      <w:r w:rsidRPr="001C7B59">
        <w:rPr>
          <w:lang w:val="fr-FR"/>
        </w:rPr>
        <w:t>appui d</w:t>
      </w:r>
      <w:r w:rsidR="00DB6EAF" w:rsidRPr="001C7B59">
        <w:rPr>
          <w:lang w:val="fr-FR"/>
        </w:rPr>
        <w:t>’</w:t>
      </w:r>
      <w:r w:rsidRPr="001C7B59">
        <w:rPr>
          <w:lang w:val="fr-FR"/>
        </w:rPr>
        <w:t>Oxfam-Québec et le FNUAP a opté pour une expérience pilote de prise en charge holistique des victimes. L</w:t>
      </w:r>
      <w:r w:rsidR="00DB6EAF" w:rsidRPr="001C7B59">
        <w:rPr>
          <w:lang w:val="fr-FR"/>
        </w:rPr>
        <w:t>’</w:t>
      </w:r>
      <w:r w:rsidRPr="001C7B59">
        <w:rPr>
          <w:lang w:val="fr-FR"/>
        </w:rPr>
        <w:t>expérimentation menée par le cadre à travers un consortium d</w:t>
      </w:r>
      <w:r w:rsidR="00DB6EAF" w:rsidRPr="001C7B59">
        <w:rPr>
          <w:lang w:val="fr-FR"/>
        </w:rPr>
        <w:t>’</w:t>
      </w:r>
      <w:r w:rsidRPr="001C7B59">
        <w:rPr>
          <w:lang w:val="fr-FR"/>
        </w:rPr>
        <w:t xml:space="preserve">ONG spécialisées vise à développer et à vulgariser des outils efficaces et adaptés tels que la prévention, la prise en charge et la réinsertion sociale, à identifier les meilleures pratiques et à renforcer la synergie entre les acteurs impliqués. </w:t>
      </w:r>
    </w:p>
    <w:p w:rsidR="004432C5" w:rsidRPr="001C7B59" w:rsidRDefault="004432C5" w:rsidP="008E5553">
      <w:pPr>
        <w:pStyle w:val="SingleTxt"/>
        <w:numPr>
          <w:ilvl w:val="0"/>
          <w:numId w:val="13"/>
        </w:numPr>
        <w:rPr>
          <w:lang w:val="fr-FR"/>
        </w:rPr>
      </w:pPr>
      <w:r w:rsidRPr="001C7B59">
        <w:rPr>
          <w:lang w:val="fr-FR"/>
        </w:rPr>
        <w:t xml:space="preserve">Dans le prolongement de ses actions de prévention des VBG, de prise en charge et de suivi des victimes de telles violences, le Cadre de </w:t>
      </w:r>
      <w:r w:rsidR="008E5553">
        <w:rPr>
          <w:lang w:val="fr-FR"/>
        </w:rPr>
        <w:t>concertation</w:t>
      </w:r>
      <w:r w:rsidRPr="001C7B59">
        <w:rPr>
          <w:lang w:val="fr-FR"/>
        </w:rPr>
        <w:t xml:space="preserve"> à travers quelques-unes de ses structures organisées en consortium et bénéficiant de l</w:t>
      </w:r>
      <w:r w:rsidR="00DB6EAF" w:rsidRPr="001C7B59">
        <w:rPr>
          <w:lang w:val="fr-FR"/>
        </w:rPr>
        <w:t>’</w:t>
      </w:r>
      <w:r w:rsidRPr="001C7B59">
        <w:rPr>
          <w:lang w:val="fr-FR"/>
        </w:rPr>
        <w:t>appui de ses partenaires traditionnels (Oxfam-Québec et FNUAP) a expérimenté un projet pilote de prise en charge holistique des victimes de VBG dans le 3</w:t>
      </w:r>
      <w:r w:rsidRPr="001C7B59">
        <w:rPr>
          <w:vertAlign w:val="superscript"/>
          <w:lang w:val="fr-FR"/>
        </w:rPr>
        <w:t>e</w:t>
      </w:r>
      <w:r w:rsidRPr="001C7B59">
        <w:rPr>
          <w:lang w:val="fr-FR"/>
        </w:rPr>
        <w:t xml:space="preserve"> arrondissement de Niamey et sur une période de cinq (05) mois au cours de l</w:t>
      </w:r>
      <w:r w:rsidR="00DB6EAF" w:rsidRPr="001C7B59">
        <w:rPr>
          <w:lang w:val="fr-FR"/>
        </w:rPr>
        <w:t>’</w:t>
      </w:r>
      <w:r w:rsidRPr="001C7B59">
        <w:rPr>
          <w:lang w:val="fr-FR"/>
        </w:rPr>
        <w:t>année 2011.</w:t>
      </w:r>
    </w:p>
    <w:p w:rsidR="004432C5" w:rsidRPr="001C7B59" w:rsidRDefault="004432C5" w:rsidP="008E5553">
      <w:pPr>
        <w:pStyle w:val="SingleTxt"/>
        <w:numPr>
          <w:ilvl w:val="0"/>
          <w:numId w:val="13"/>
        </w:numPr>
        <w:rPr>
          <w:lang w:val="fr-FR"/>
        </w:rPr>
      </w:pPr>
      <w:r w:rsidRPr="001C7B59">
        <w:rPr>
          <w:lang w:val="fr-FR"/>
        </w:rPr>
        <w:t xml:space="preserve">Un argumentaire islamique et un guide relatif à la loi sur la </w:t>
      </w:r>
      <w:r w:rsidR="00D60176" w:rsidRPr="001C7B59">
        <w:rPr>
          <w:lang w:val="fr-FR"/>
        </w:rPr>
        <w:t>santé</w:t>
      </w:r>
      <w:r w:rsidRPr="001C7B59">
        <w:rPr>
          <w:lang w:val="fr-FR"/>
        </w:rPr>
        <w:t xml:space="preserve"> de la </w:t>
      </w:r>
      <w:r w:rsidR="001C7B59" w:rsidRPr="001C7B59">
        <w:rPr>
          <w:lang w:val="fr-FR"/>
        </w:rPr>
        <w:t>reproduction</w:t>
      </w:r>
      <w:r w:rsidRPr="001C7B59">
        <w:rPr>
          <w:lang w:val="fr-FR"/>
        </w:rPr>
        <w:t xml:space="preserve"> (Oxfam, </w:t>
      </w:r>
      <w:r w:rsidR="007B382B">
        <w:rPr>
          <w:lang w:val="fr-FR"/>
        </w:rPr>
        <w:t>ONU-Femmes</w:t>
      </w:r>
      <w:r w:rsidRPr="001C7B59">
        <w:rPr>
          <w:lang w:val="fr-FR"/>
        </w:rPr>
        <w:t xml:space="preserve">, MUJERES et Dimol) ont été édités dans le cadre de la lutte contre les Violences Basées sur le </w:t>
      </w:r>
      <w:r w:rsidR="001C7B59" w:rsidRPr="001C7B59">
        <w:rPr>
          <w:lang w:val="fr-FR"/>
        </w:rPr>
        <w:t>genre</w:t>
      </w:r>
      <w:r w:rsidRPr="001C7B59">
        <w:rPr>
          <w:lang w:val="fr-FR"/>
        </w:rPr>
        <w:t xml:space="preserve"> (VBG). </w:t>
      </w:r>
    </w:p>
    <w:p w:rsidR="004432C5" w:rsidRPr="001C7B59" w:rsidRDefault="004432C5" w:rsidP="008E5553">
      <w:pPr>
        <w:pStyle w:val="SingleTxt"/>
        <w:numPr>
          <w:ilvl w:val="0"/>
          <w:numId w:val="13"/>
        </w:numPr>
        <w:rPr>
          <w:lang w:val="fr-FR"/>
        </w:rPr>
      </w:pPr>
      <w:r w:rsidRPr="001C7B59">
        <w:rPr>
          <w:lang w:val="fr-FR"/>
        </w:rPr>
        <w:t>La prise en charge holistique qui est au cœur de ce projet pilote vise à garantir aux victimes de VBG des frais médicaux jusqu</w:t>
      </w:r>
      <w:r w:rsidR="00DB6EAF" w:rsidRPr="001C7B59">
        <w:rPr>
          <w:lang w:val="fr-FR"/>
        </w:rPr>
        <w:t>’</w:t>
      </w:r>
      <w:r w:rsidRPr="001C7B59">
        <w:rPr>
          <w:lang w:val="fr-FR"/>
        </w:rPr>
        <w:t>à la réinsertion sociale en passant par l</w:t>
      </w:r>
      <w:r w:rsidR="00DB6EAF" w:rsidRPr="001C7B59">
        <w:rPr>
          <w:lang w:val="fr-FR"/>
        </w:rPr>
        <w:t>’</w:t>
      </w:r>
      <w:r w:rsidRPr="001C7B59">
        <w:rPr>
          <w:lang w:val="fr-FR"/>
        </w:rPr>
        <w:t>assistance judiciaire.</w:t>
      </w:r>
    </w:p>
    <w:p w:rsidR="004432C5" w:rsidRPr="001C7B59" w:rsidRDefault="004432C5" w:rsidP="008E5553">
      <w:pPr>
        <w:pStyle w:val="SingleTxt"/>
        <w:numPr>
          <w:ilvl w:val="0"/>
          <w:numId w:val="13"/>
        </w:numPr>
        <w:rPr>
          <w:lang w:val="fr-FR"/>
        </w:rPr>
      </w:pPr>
      <w:r w:rsidRPr="001C7B59">
        <w:rPr>
          <w:lang w:val="fr-FR"/>
        </w:rPr>
        <w:t>Actuellement, le FNUAP expérimente un projet de collecte permanente des données sur les violences par la mise à la disposition des services de santé et des commissariats de police de Niamey, des registres dans lesquels les informations relatives aux violences sur les femmes sont consignées. Ce projet fera l</w:t>
      </w:r>
      <w:r w:rsidR="00DB6EAF" w:rsidRPr="001C7B59">
        <w:rPr>
          <w:lang w:val="fr-FR"/>
        </w:rPr>
        <w:t>’</w:t>
      </w:r>
      <w:r w:rsidRPr="001C7B59">
        <w:rPr>
          <w:lang w:val="fr-FR"/>
        </w:rPr>
        <w:t>objet d</w:t>
      </w:r>
      <w:r w:rsidR="00DB6EAF" w:rsidRPr="001C7B59">
        <w:rPr>
          <w:lang w:val="fr-FR"/>
        </w:rPr>
        <w:t>’</w:t>
      </w:r>
      <w:r w:rsidRPr="001C7B59">
        <w:rPr>
          <w:lang w:val="fr-FR"/>
        </w:rPr>
        <w:t>une évaluation à la fin de cette année afin que soit envisagée sa réplication à l</w:t>
      </w:r>
      <w:r w:rsidR="00DB6EAF" w:rsidRPr="001C7B59">
        <w:rPr>
          <w:lang w:val="fr-FR"/>
        </w:rPr>
        <w:t>’</w:t>
      </w:r>
      <w:r w:rsidRPr="001C7B59">
        <w:rPr>
          <w:lang w:val="fr-FR"/>
        </w:rPr>
        <w:t>ensemble du pays.</w:t>
      </w:r>
    </w:p>
    <w:p w:rsidR="002514CC" w:rsidRPr="002514CC" w:rsidRDefault="002514CC" w:rsidP="002514CC">
      <w:pPr>
        <w:pStyle w:val="SingleTxt"/>
        <w:spacing w:after="0" w:line="120" w:lineRule="exact"/>
        <w:rPr>
          <w:sz w:val="10"/>
          <w:lang w:val="fr-FR"/>
        </w:rPr>
      </w:pPr>
    </w:p>
    <w:p w:rsidR="004432C5" w:rsidRDefault="002514CC" w:rsidP="002514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Élimination</w:t>
      </w:r>
      <w:r w:rsidR="004432C5" w:rsidRPr="001C7B59">
        <w:rPr>
          <w:lang w:val="fr-FR"/>
        </w:rPr>
        <w:t xml:space="preserve"> de la discrimination dans les domaines de la vie </w:t>
      </w:r>
      <w:r>
        <w:rPr>
          <w:lang w:val="fr-FR"/>
        </w:rPr>
        <w:br/>
      </w:r>
      <w:r w:rsidR="004432C5" w:rsidRPr="001C7B59">
        <w:rPr>
          <w:lang w:val="fr-FR"/>
        </w:rPr>
        <w:t xml:space="preserve">économique et sociale </w:t>
      </w:r>
      <w:r w:rsidR="00B22D00">
        <w:rPr>
          <w:lang w:val="fr-FR"/>
        </w:rPr>
        <w:t>(art.</w:t>
      </w:r>
      <w:r w:rsidR="004432C5" w:rsidRPr="001C7B59">
        <w:rPr>
          <w:lang w:val="fr-FR"/>
        </w:rPr>
        <w:t xml:space="preserve"> 13)</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Les discriminations décrites dans le précédent rapport relativement à l</w:t>
      </w:r>
      <w:r w:rsidR="00DB6EAF" w:rsidRPr="001C7B59">
        <w:rPr>
          <w:lang w:val="fr-FR"/>
        </w:rPr>
        <w:t>’</w:t>
      </w:r>
      <w:r w:rsidRPr="001C7B59">
        <w:rPr>
          <w:lang w:val="fr-FR"/>
        </w:rPr>
        <w:t>allocation des prestations sociales persistent encore.</w:t>
      </w:r>
    </w:p>
    <w:p w:rsidR="004432C5" w:rsidRPr="001C7B59" w:rsidRDefault="004432C5" w:rsidP="008E5553">
      <w:pPr>
        <w:pStyle w:val="SingleTxt"/>
        <w:numPr>
          <w:ilvl w:val="0"/>
          <w:numId w:val="13"/>
        </w:numPr>
        <w:rPr>
          <w:lang w:val="fr-FR"/>
        </w:rPr>
      </w:pPr>
      <w:r w:rsidRPr="001C7B59">
        <w:rPr>
          <w:lang w:val="fr-FR"/>
        </w:rPr>
        <w:t>Dans le domaine de l</w:t>
      </w:r>
      <w:r w:rsidR="00DB6EAF" w:rsidRPr="001C7B59">
        <w:rPr>
          <w:lang w:val="fr-FR"/>
        </w:rPr>
        <w:t>’</w:t>
      </w:r>
      <w:r w:rsidRPr="001C7B59">
        <w:rPr>
          <w:lang w:val="fr-FR"/>
        </w:rPr>
        <w:t>accès aux prêts bancaires, hypothécaires et autres formes de crédit financier, le Gouvernement a intensifié ses efforts en vue du renforcement du pouvoir économique des femmes par le biais des projets et programmes de développement qu</w:t>
      </w:r>
      <w:r w:rsidR="00DB6EAF" w:rsidRPr="001C7B59">
        <w:rPr>
          <w:lang w:val="fr-FR"/>
        </w:rPr>
        <w:t>’</w:t>
      </w:r>
      <w:r w:rsidRPr="001C7B59">
        <w:rPr>
          <w:lang w:val="fr-FR"/>
        </w:rPr>
        <w:t>il met en œuvre avec l</w:t>
      </w:r>
      <w:r w:rsidR="00DB6EAF" w:rsidRPr="001C7B59">
        <w:rPr>
          <w:lang w:val="fr-FR"/>
        </w:rPr>
        <w:t>’</w:t>
      </w:r>
      <w:r w:rsidRPr="001C7B59">
        <w:rPr>
          <w:lang w:val="fr-FR"/>
        </w:rPr>
        <w:t>appui de ses partenaires techniques et financiers. Ces efforts ont surtout porté sur le soutien à des actions de micro crédits en faveur des femmes afin d</w:t>
      </w:r>
      <w:r w:rsidR="00DB6EAF" w:rsidRPr="001C7B59">
        <w:rPr>
          <w:lang w:val="fr-FR"/>
        </w:rPr>
        <w:t>’</w:t>
      </w:r>
      <w:r w:rsidRPr="001C7B59">
        <w:rPr>
          <w:lang w:val="fr-FR"/>
        </w:rPr>
        <w:t>assurer leur autonomisation par l</w:t>
      </w:r>
      <w:r w:rsidR="00DB6EAF" w:rsidRPr="001C7B59">
        <w:rPr>
          <w:lang w:val="fr-FR"/>
        </w:rPr>
        <w:t>’</w:t>
      </w:r>
      <w:r w:rsidRPr="001C7B59">
        <w:rPr>
          <w:lang w:val="fr-FR"/>
        </w:rPr>
        <w:t>exercice d</w:t>
      </w:r>
      <w:r w:rsidR="00DB6EAF" w:rsidRPr="001C7B59">
        <w:rPr>
          <w:lang w:val="fr-FR"/>
        </w:rPr>
        <w:t>’</w:t>
      </w:r>
      <w:r w:rsidRPr="001C7B59">
        <w:rPr>
          <w:lang w:val="fr-FR"/>
        </w:rPr>
        <w:t xml:space="preserve">activités génératrices de revenus. </w:t>
      </w:r>
    </w:p>
    <w:p w:rsidR="004432C5" w:rsidRPr="001C7B59" w:rsidRDefault="004432C5" w:rsidP="008E5553">
      <w:pPr>
        <w:pStyle w:val="SingleTxt"/>
        <w:numPr>
          <w:ilvl w:val="0"/>
          <w:numId w:val="13"/>
        </w:numPr>
        <w:rPr>
          <w:lang w:val="fr-FR"/>
        </w:rPr>
      </w:pPr>
      <w:r w:rsidRPr="001C7B59">
        <w:rPr>
          <w:lang w:val="fr-FR"/>
        </w:rPr>
        <w:t>Dans le cadre de l</w:t>
      </w:r>
      <w:r w:rsidR="00DB6EAF" w:rsidRPr="001C7B59">
        <w:rPr>
          <w:lang w:val="fr-FR"/>
        </w:rPr>
        <w:t>’</w:t>
      </w:r>
      <w:r w:rsidRPr="001C7B59">
        <w:rPr>
          <w:lang w:val="fr-FR"/>
        </w:rPr>
        <w:t>allégement des tâches des femmes pour leur permettre d</w:t>
      </w:r>
      <w:r w:rsidR="00DB6EAF" w:rsidRPr="001C7B59">
        <w:rPr>
          <w:lang w:val="fr-FR"/>
        </w:rPr>
        <w:t>’</w:t>
      </w:r>
      <w:r w:rsidRPr="001C7B59">
        <w:rPr>
          <w:lang w:val="fr-FR"/>
        </w:rPr>
        <w:t>exercer des activités économiques, le Gouvernement à travers le Ministère chargé de la promotion de la femme et ses partenaires appuient les groupements féminins dans tout le pays en mettant à leur disposition des équipements d</w:t>
      </w:r>
      <w:r w:rsidR="00DB6EAF" w:rsidRPr="001C7B59">
        <w:rPr>
          <w:lang w:val="fr-FR"/>
        </w:rPr>
        <w:t>’</w:t>
      </w:r>
      <w:r w:rsidRPr="001C7B59">
        <w:rPr>
          <w:lang w:val="fr-FR"/>
        </w:rPr>
        <w:t xml:space="preserve">allègement des tâches domestiques et en renforçant leurs capacités (formation sur le leadership féminin, gestion des biens communautaires, vie associative, genre…). </w:t>
      </w:r>
    </w:p>
    <w:p w:rsidR="004432C5" w:rsidRPr="001C7B59" w:rsidRDefault="004432C5" w:rsidP="008E5553">
      <w:pPr>
        <w:pStyle w:val="SingleTxt"/>
        <w:numPr>
          <w:ilvl w:val="0"/>
          <w:numId w:val="13"/>
        </w:numPr>
        <w:rPr>
          <w:lang w:val="fr-FR"/>
        </w:rPr>
      </w:pPr>
      <w:r w:rsidRPr="001C7B59">
        <w:rPr>
          <w:lang w:val="fr-FR"/>
        </w:rPr>
        <w:t>Il n</w:t>
      </w:r>
      <w:r w:rsidR="00DB6EAF" w:rsidRPr="001C7B59">
        <w:rPr>
          <w:lang w:val="fr-FR"/>
        </w:rPr>
        <w:t>’</w:t>
      </w:r>
      <w:r w:rsidRPr="001C7B59">
        <w:rPr>
          <w:lang w:val="fr-FR"/>
        </w:rPr>
        <w:t>existe pas dans les textes en vigueur au Niger, des restrictions à la participation de la femme aux activités récréatives, aux sports et à tous les aspects de la vie culturelle. Cependant, les stéréotypes et certaines pesanteurs socioculturelles limitent la participation des femmes à ces différentes activités.</w:t>
      </w:r>
      <w:r w:rsidR="001C7B59" w:rsidRPr="001C7B59">
        <w:rPr>
          <w:lang w:val="fr-FR"/>
        </w:rPr>
        <w:t xml:space="preserve"> </w:t>
      </w:r>
    </w:p>
    <w:p w:rsidR="002514CC" w:rsidRPr="002514CC" w:rsidRDefault="002514CC" w:rsidP="002514CC">
      <w:pPr>
        <w:pStyle w:val="SingleTxt"/>
        <w:spacing w:after="0" w:line="120" w:lineRule="exact"/>
        <w:rPr>
          <w:sz w:val="10"/>
          <w:lang w:val="fr-FR"/>
        </w:rPr>
      </w:pPr>
    </w:p>
    <w:p w:rsidR="004432C5" w:rsidRDefault="002514CC" w:rsidP="002514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32C5" w:rsidRPr="001C7B59">
        <w:rPr>
          <w:lang w:val="fr-FR"/>
        </w:rPr>
        <w:t>La prise en compte des problèmes particuliers des femmes rurales</w:t>
      </w:r>
      <w:r w:rsidR="00DB6EAF" w:rsidRPr="001C7B59">
        <w:rPr>
          <w:lang w:val="fr-FR"/>
        </w:rPr>
        <w:t> :</w:t>
      </w:r>
      <w:r w:rsidR="004432C5" w:rsidRPr="001C7B59">
        <w:rPr>
          <w:lang w:val="fr-FR"/>
        </w:rPr>
        <w:t xml:space="preserve"> </w:t>
      </w:r>
      <w:r>
        <w:rPr>
          <w:lang w:val="fr-FR"/>
        </w:rPr>
        <w:br/>
      </w:r>
      <w:r w:rsidR="004432C5" w:rsidRPr="001C7B59">
        <w:rPr>
          <w:lang w:val="fr-FR"/>
        </w:rPr>
        <w:t>article 14</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La population nigérienne étant majoritairement rurale, la prise en compte</w:t>
      </w:r>
      <w:r w:rsidR="001C7B59" w:rsidRPr="001C7B59">
        <w:rPr>
          <w:lang w:val="fr-FR"/>
        </w:rPr>
        <w:t xml:space="preserve"> </w:t>
      </w:r>
      <w:r w:rsidRPr="001C7B59">
        <w:rPr>
          <w:lang w:val="fr-FR"/>
        </w:rPr>
        <w:t>des problèmes spécifiques des femmes rurales revêt une importance capitale dans la mise en œuvre de la CEDEF.</w:t>
      </w:r>
    </w:p>
    <w:p w:rsidR="004432C5" w:rsidRPr="001C7B59" w:rsidRDefault="004432C5" w:rsidP="008E5553">
      <w:pPr>
        <w:pStyle w:val="SingleTxt"/>
        <w:numPr>
          <w:ilvl w:val="0"/>
          <w:numId w:val="13"/>
        </w:numPr>
        <w:rPr>
          <w:lang w:val="fr-FR"/>
        </w:rPr>
      </w:pPr>
      <w:r w:rsidRPr="001C7B59">
        <w:rPr>
          <w:lang w:val="fr-FR"/>
        </w:rPr>
        <w:t>Plusieurs programmes ont été mis en œuvre dont entre autres le programme spécial du Président de la République dont l</w:t>
      </w:r>
      <w:r w:rsidR="00DB6EAF" w:rsidRPr="001C7B59">
        <w:rPr>
          <w:lang w:val="fr-FR"/>
        </w:rPr>
        <w:t>’</w:t>
      </w:r>
      <w:r w:rsidRPr="001C7B59">
        <w:rPr>
          <w:lang w:val="fr-FR"/>
        </w:rPr>
        <w:t>objectif est de contribuer à améliorer les conditions de vie des populations, celles vivant en milieu rural notamment, considérées comme les plus pauvres et représentant 82</w:t>
      </w:r>
      <w:r w:rsidR="007B382B">
        <w:rPr>
          <w:lang w:val="fr-FR"/>
        </w:rPr>
        <w:t> %</w:t>
      </w:r>
      <w:r w:rsidRPr="001C7B59">
        <w:rPr>
          <w:lang w:val="fr-FR"/>
        </w:rPr>
        <w:t xml:space="preserve"> de la population du Niger. Les objectifs du programme ont été entre autres les interventions du programme qui se sont</w:t>
      </w:r>
      <w:r w:rsidR="001C7B59" w:rsidRPr="001C7B59">
        <w:rPr>
          <w:lang w:val="fr-FR"/>
        </w:rPr>
        <w:t xml:space="preserve"> </w:t>
      </w:r>
      <w:r w:rsidRPr="001C7B59">
        <w:rPr>
          <w:lang w:val="fr-FR"/>
        </w:rPr>
        <w:t>étendues à d</w:t>
      </w:r>
      <w:r w:rsidR="00DB6EAF" w:rsidRPr="001C7B59">
        <w:rPr>
          <w:lang w:val="fr-FR"/>
        </w:rPr>
        <w:t>’</w:t>
      </w:r>
      <w:r w:rsidRPr="001C7B59">
        <w:rPr>
          <w:lang w:val="fr-FR"/>
        </w:rPr>
        <w:t>autres domaines comme le crédit aux femmes rurales. Le bilan des réalisations de 2001 à 2008 de ce programme réalisé par le Ministère de l</w:t>
      </w:r>
      <w:r w:rsidR="00DB6EAF" w:rsidRPr="001C7B59">
        <w:rPr>
          <w:lang w:val="fr-FR"/>
        </w:rPr>
        <w:t>’</w:t>
      </w:r>
      <w:r w:rsidR="002514CC">
        <w:rPr>
          <w:lang w:val="fr-FR"/>
        </w:rPr>
        <w:t>a</w:t>
      </w:r>
      <w:r w:rsidRPr="001C7B59">
        <w:rPr>
          <w:lang w:val="fr-FR"/>
        </w:rPr>
        <w:t xml:space="preserve">ménagement du </w:t>
      </w:r>
      <w:r w:rsidR="002514CC">
        <w:rPr>
          <w:lang w:val="fr-FR"/>
        </w:rPr>
        <w:t>t</w:t>
      </w:r>
      <w:r w:rsidRPr="001C7B59">
        <w:rPr>
          <w:lang w:val="fr-FR"/>
        </w:rPr>
        <w:t xml:space="preserve">erritoire et du </w:t>
      </w:r>
      <w:r w:rsidR="00D60176" w:rsidRPr="001C7B59">
        <w:rPr>
          <w:lang w:val="fr-FR"/>
        </w:rPr>
        <w:t>développement</w:t>
      </w:r>
      <w:r w:rsidRPr="001C7B59">
        <w:rPr>
          <w:lang w:val="fr-FR"/>
        </w:rPr>
        <w:t xml:space="preserve"> </w:t>
      </w:r>
      <w:r w:rsidR="002514CC">
        <w:rPr>
          <w:lang w:val="fr-FR"/>
        </w:rPr>
        <w:t>c</w:t>
      </w:r>
      <w:r w:rsidRPr="001C7B59">
        <w:rPr>
          <w:lang w:val="fr-FR"/>
        </w:rPr>
        <w:t>ommunautaire fait ressortir un montant de 1 873 100 955 FCFA octroyé aux femmes à travers les opérations vaches laitières (2292), chèvres rousses, récupération et protection des terres dégradées.</w:t>
      </w:r>
    </w:p>
    <w:p w:rsidR="004432C5" w:rsidRPr="001C7B59" w:rsidRDefault="004432C5" w:rsidP="008E5553">
      <w:pPr>
        <w:pStyle w:val="SingleTxt"/>
        <w:numPr>
          <w:ilvl w:val="0"/>
          <w:numId w:val="13"/>
        </w:numPr>
        <w:rPr>
          <w:lang w:val="fr-FR"/>
        </w:rPr>
      </w:pPr>
      <w:r w:rsidRPr="001C7B59">
        <w:rPr>
          <w:lang w:val="fr-FR"/>
        </w:rPr>
        <w:t>Dans le cadre de l</w:t>
      </w:r>
      <w:r w:rsidR="00DB6EAF" w:rsidRPr="001C7B59">
        <w:rPr>
          <w:lang w:val="fr-FR"/>
        </w:rPr>
        <w:t>’</w:t>
      </w:r>
      <w:r w:rsidRPr="001C7B59">
        <w:rPr>
          <w:lang w:val="fr-FR"/>
        </w:rPr>
        <w:t>initiative «</w:t>
      </w:r>
      <w:r w:rsidR="002514CC">
        <w:rPr>
          <w:lang w:val="fr-FR"/>
        </w:rPr>
        <w:t> </w:t>
      </w:r>
      <w:r w:rsidRPr="001C7B59">
        <w:rPr>
          <w:lang w:val="fr-FR"/>
        </w:rPr>
        <w:t>3N</w:t>
      </w:r>
      <w:r w:rsidR="00DB6EAF" w:rsidRPr="001C7B59">
        <w:rPr>
          <w:lang w:val="fr-FR"/>
        </w:rPr>
        <w:t> :</w:t>
      </w:r>
      <w:r w:rsidRPr="001C7B59">
        <w:rPr>
          <w:lang w:val="fr-FR"/>
        </w:rPr>
        <w:t xml:space="preserve"> les Nigériens nourrissent les Nigériens »,</w:t>
      </w:r>
      <w:r w:rsidR="001C7B59" w:rsidRPr="001C7B59">
        <w:rPr>
          <w:lang w:val="fr-FR"/>
        </w:rPr>
        <w:t xml:space="preserve"> </w:t>
      </w:r>
      <w:r w:rsidRPr="001C7B59">
        <w:rPr>
          <w:lang w:val="fr-FR"/>
        </w:rPr>
        <w:t>il a été prévu des mesures d</w:t>
      </w:r>
      <w:r w:rsidR="00DB6EAF" w:rsidRPr="001C7B59">
        <w:rPr>
          <w:lang w:val="fr-FR"/>
        </w:rPr>
        <w:t>’</w:t>
      </w:r>
      <w:r w:rsidRPr="001C7B59">
        <w:rPr>
          <w:lang w:val="fr-FR"/>
        </w:rPr>
        <w:t>accompagnement de la femme rurale se traduisant par la mise en œuvre de politiques et stratégies relatives à l</w:t>
      </w:r>
      <w:r w:rsidR="00DB6EAF" w:rsidRPr="001C7B59">
        <w:rPr>
          <w:lang w:val="fr-FR"/>
        </w:rPr>
        <w:t>’</w:t>
      </w:r>
      <w:r w:rsidRPr="001C7B59">
        <w:rPr>
          <w:lang w:val="fr-FR"/>
        </w:rPr>
        <w:t>eau et à l</w:t>
      </w:r>
      <w:r w:rsidR="00DB6EAF" w:rsidRPr="001C7B59">
        <w:rPr>
          <w:lang w:val="fr-FR"/>
        </w:rPr>
        <w:t>’</w:t>
      </w:r>
      <w:r w:rsidRPr="001C7B59">
        <w:rPr>
          <w:lang w:val="fr-FR"/>
        </w:rPr>
        <w:t>assainissement, à la promotion de la femme et des jeunes (prise en compte de l</w:t>
      </w:r>
      <w:r w:rsidR="00DB6EAF" w:rsidRPr="001C7B59">
        <w:rPr>
          <w:lang w:val="fr-FR"/>
        </w:rPr>
        <w:t>’</w:t>
      </w:r>
      <w:r w:rsidRPr="001C7B59">
        <w:rPr>
          <w:lang w:val="fr-FR"/>
        </w:rPr>
        <w:t>initiative genre), à la formation (formation professionnelle et alphabétisation), au développement social (développement communautaire), au commerce (création de conditions économiques favorables et création de revenus), à l</w:t>
      </w:r>
      <w:r w:rsidR="00DB6EAF" w:rsidRPr="001C7B59">
        <w:rPr>
          <w:lang w:val="fr-FR"/>
        </w:rPr>
        <w:t>’</w:t>
      </w:r>
      <w:r w:rsidRPr="001C7B59">
        <w:rPr>
          <w:lang w:val="fr-FR"/>
        </w:rPr>
        <w:t>industrie (unité de transformation agroalimentaire), à l</w:t>
      </w:r>
      <w:r w:rsidR="00DB6EAF" w:rsidRPr="001C7B59">
        <w:rPr>
          <w:lang w:val="fr-FR"/>
        </w:rPr>
        <w:t>’</w:t>
      </w:r>
      <w:r w:rsidRPr="001C7B59">
        <w:rPr>
          <w:lang w:val="fr-FR"/>
        </w:rPr>
        <w:t>énergie (développement des nouvelles alternatives énergétiques), au transport (désenclavement des zones de production et création d</w:t>
      </w:r>
      <w:r w:rsidR="00DB6EAF" w:rsidRPr="001C7B59">
        <w:rPr>
          <w:lang w:val="fr-FR"/>
        </w:rPr>
        <w:t>’</w:t>
      </w:r>
      <w:r w:rsidRPr="001C7B59">
        <w:rPr>
          <w:lang w:val="fr-FR"/>
        </w:rPr>
        <w:t>infrastructures), à l</w:t>
      </w:r>
      <w:r w:rsidR="00DB6EAF" w:rsidRPr="001C7B59">
        <w:rPr>
          <w:lang w:val="fr-FR"/>
        </w:rPr>
        <w:t>’</w:t>
      </w:r>
      <w:r w:rsidRPr="001C7B59">
        <w:rPr>
          <w:lang w:val="fr-FR"/>
        </w:rPr>
        <w:t>aménagement du territoire (politique d</w:t>
      </w:r>
      <w:r w:rsidR="00DB6EAF" w:rsidRPr="001C7B59">
        <w:rPr>
          <w:lang w:val="fr-FR"/>
        </w:rPr>
        <w:t>’</w:t>
      </w:r>
      <w:r w:rsidRPr="001C7B59">
        <w:rPr>
          <w:lang w:val="fr-FR"/>
        </w:rPr>
        <w:t>affectation et d</w:t>
      </w:r>
      <w:r w:rsidR="00DB6EAF" w:rsidRPr="001C7B59">
        <w:rPr>
          <w:lang w:val="fr-FR"/>
        </w:rPr>
        <w:t>’</w:t>
      </w:r>
      <w:r w:rsidRPr="001C7B59">
        <w:rPr>
          <w:lang w:val="fr-FR"/>
        </w:rPr>
        <w:t>utilisation des terres), à l</w:t>
      </w:r>
      <w:r w:rsidR="00DB6EAF" w:rsidRPr="001C7B59">
        <w:rPr>
          <w:lang w:val="fr-FR"/>
        </w:rPr>
        <w:t>’</w:t>
      </w:r>
      <w:r w:rsidRPr="001C7B59">
        <w:rPr>
          <w:lang w:val="fr-FR"/>
        </w:rPr>
        <w:t>environnement (réhabilitation des bases naturelles productives), à la décentralisation (maitrise d</w:t>
      </w:r>
      <w:r w:rsidR="00DB6EAF" w:rsidRPr="001C7B59">
        <w:rPr>
          <w:lang w:val="fr-FR"/>
        </w:rPr>
        <w:t>’</w:t>
      </w:r>
      <w:r w:rsidRPr="001C7B59">
        <w:rPr>
          <w:lang w:val="fr-FR"/>
        </w:rPr>
        <w:t xml:space="preserve">ouvrage), à la communication pour le développement et aux finances (micro finance et service financier de proximité). </w:t>
      </w:r>
    </w:p>
    <w:p w:rsidR="004432C5" w:rsidRPr="001C7B59" w:rsidRDefault="004432C5" w:rsidP="008E5553">
      <w:pPr>
        <w:pStyle w:val="SingleTxt"/>
        <w:numPr>
          <w:ilvl w:val="0"/>
          <w:numId w:val="13"/>
        </w:numPr>
        <w:rPr>
          <w:lang w:val="fr-FR"/>
        </w:rPr>
      </w:pPr>
      <w:r w:rsidRPr="001C7B59">
        <w:rPr>
          <w:lang w:val="fr-FR"/>
        </w:rPr>
        <w:t>En général, le milieu rural est caractérisé par la pauvreté et l</w:t>
      </w:r>
      <w:r w:rsidR="00DB6EAF" w:rsidRPr="001C7B59">
        <w:rPr>
          <w:lang w:val="fr-FR"/>
        </w:rPr>
        <w:t>’</w:t>
      </w:r>
      <w:r w:rsidRPr="001C7B59">
        <w:rPr>
          <w:lang w:val="fr-FR"/>
        </w:rPr>
        <w:t>analphabétisme de ses populations. Cette pauvreté se constate à travers l</w:t>
      </w:r>
      <w:r w:rsidR="00DB6EAF" w:rsidRPr="001C7B59">
        <w:rPr>
          <w:lang w:val="fr-FR"/>
        </w:rPr>
        <w:t>’</w:t>
      </w:r>
      <w:r w:rsidRPr="001C7B59">
        <w:rPr>
          <w:lang w:val="fr-FR"/>
        </w:rPr>
        <w:t xml:space="preserve">insuffisance des revenus des ménages et surtout le faible accès de ces derniers aux infrastructures et services sociaux de base. </w:t>
      </w:r>
    </w:p>
    <w:p w:rsidR="004432C5" w:rsidRPr="001C7B59" w:rsidRDefault="004432C5" w:rsidP="008E5553">
      <w:pPr>
        <w:pStyle w:val="SingleTxt"/>
        <w:numPr>
          <w:ilvl w:val="0"/>
          <w:numId w:val="13"/>
        </w:numPr>
        <w:rPr>
          <w:lang w:val="fr-FR"/>
        </w:rPr>
      </w:pPr>
      <w:r w:rsidRPr="001C7B59">
        <w:rPr>
          <w:lang w:val="fr-FR"/>
        </w:rPr>
        <w:t xml:space="preserve">Pour remédier à cette situation, le </w:t>
      </w:r>
      <w:r w:rsidR="006E6940">
        <w:rPr>
          <w:lang w:val="fr-FR"/>
        </w:rPr>
        <w:t>Gouvernement</w:t>
      </w:r>
      <w:r w:rsidRPr="001C7B59">
        <w:rPr>
          <w:lang w:val="fr-FR"/>
        </w:rPr>
        <w:t xml:space="preserve"> a élaboré le Programme de </w:t>
      </w:r>
      <w:r w:rsidR="00D60176" w:rsidRPr="001C7B59">
        <w:rPr>
          <w:lang w:val="fr-FR"/>
        </w:rPr>
        <w:t>développement</w:t>
      </w:r>
      <w:r w:rsidRPr="001C7B59">
        <w:rPr>
          <w:lang w:val="fr-FR"/>
        </w:rPr>
        <w:t xml:space="preserve"> </w:t>
      </w:r>
      <w:r w:rsidR="007B382B">
        <w:rPr>
          <w:lang w:val="fr-FR"/>
        </w:rPr>
        <w:t>économique</w:t>
      </w:r>
      <w:r w:rsidRPr="001C7B59">
        <w:rPr>
          <w:lang w:val="fr-FR"/>
        </w:rPr>
        <w:t xml:space="preserve"> et </w:t>
      </w:r>
      <w:r w:rsidR="007B382B">
        <w:rPr>
          <w:lang w:val="fr-FR"/>
        </w:rPr>
        <w:t xml:space="preserve">social </w:t>
      </w:r>
      <w:r w:rsidRPr="001C7B59">
        <w:rPr>
          <w:lang w:val="fr-FR"/>
        </w:rPr>
        <w:t>(PDES) qui se propose à travers sa composante sécurité alimentaire de « renforcer les banques céréalières et développer des travaux à haute intensité de main d</w:t>
      </w:r>
      <w:r w:rsidR="00DB6EAF" w:rsidRPr="001C7B59">
        <w:rPr>
          <w:lang w:val="fr-FR"/>
        </w:rPr>
        <w:t>’</w:t>
      </w:r>
      <w:r w:rsidRPr="001C7B59">
        <w:rPr>
          <w:lang w:val="fr-FR"/>
        </w:rPr>
        <w:t>œuvre. Le recours à la petite irrigation, la valorisation de l</w:t>
      </w:r>
      <w:r w:rsidR="00DB6EAF" w:rsidRPr="001C7B59">
        <w:rPr>
          <w:lang w:val="fr-FR"/>
        </w:rPr>
        <w:t>’</w:t>
      </w:r>
      <w:r w:rsidRPr="001C7B59">
        <w:rPr>
          <w:lang w:val="fr-FR"/>
        </w:rPr>
        <w:t>arboriculture fruitière comme celle des produits issus de l</w:t>
      </w:r>
      <w:r w:rsidR="00DB6EAF" w:rsidRPr="001C7B59">
        <w:rPr>
          <w:lang w:val="fr-FR"/>
        </w:rPr>
        <w:t>’</w:t>
      </w:r>
      <w:r w:rsidRPr="001C7B59">
        <w:rPr>
          <w:lang w:val="fr-FR"/>
        </w:rPr>
        <w:t>exploitation forestière (produit non ligneux) ou la production des dattes sont identifiées comme étant des réponses susceptibles de contribuer à une amélioration des revenus et de la sécurité alimentaire des producteurs ».</w:t>
      </w:r>
    </w:p>
    <w:p w:rsidR="004432C5" w:rsidRPr="001C7B59" w:rsidRDefault="004432C5" w:rsidP="008E5553">
      <w:pPr>
        <w:pStyle w:val="SingleTxt"/>
        <w:numPr>
          <w:ilvl w:val="0"/>
          <w:numId w:val="13"/>
        </w:numPr>
        <w:rPr>
          <w:lang w:val="fr-FR"/>
        </w:rPr>
      </w:pPr>
      <w:r w:rsidRPr="001C7B59">
        <w:rPr>
          <w:lang w:val="fr-FR"/>
        </w:rPr>
        <w:t xml:space="preserve">Le programme a également prévu dans sa composante « développement social », la réduction des inégalités et iniquités de genre qui est constituée de deux principaux programmes dont le programme de promotion du leadership féminin et de la lutte contre les violences basées sur le genre et le programme de renforcement des capacités économiques des femmes. </w:t>
      </w:r>
    </w:p>
    <w:p w:rsidR="004432C5" w:rsidRPr="001C7B59" w:rsidRDefault="004432C5" w:rsidP="008E5553">
      <w:pPr>
        <w:pStyle w:val="SingleTxt"/>
        <w:numPr>
          <w:ilvl w:val="0"/>
          <w:numId w:val="13"/>
        </w:numPr>
        <w:rPr>
          <w:lang w:val="fr-FR"/>
        </w:rPr>
      </w:pPr>
      <w:r w:rsidRPr="001C7B59">
        <w:rPr>
          <w:lang w:val="fr-FR"/>
        </w:rPr>
        <w:t>En matière coutumière, le mode de dévolution du pouvoir est exclusivement réservé aux hommes</w:t>
      </w:r>
      <w:r w:rsidR="00DB6EAF" w:rsidRPr="001C7B59">
        <w:rPr>
          <w:lang w:val="fr-FR"/>
        </w:rPr>
        <w:t>;</w:t>
      </w:r>
      <w:r w:rsidRPr="001C7B59">
        <w:rPr>
          <w:lang w:val="fr-FR"/>
        </w:rPr>
        <w:t xml:space="preserve"> ce qui constitue un facteur limitant la participation des femmes à la gestion de la communauté. En effet, la chefferie traditionnelle qui administre les cantons et villages est exclusivement un fait masculin qui confère peu de rôle aux femmes dans la gestion des affaires publiques. Cependant, les normes ainsi que les valeurs sociales et coutumières prennent en compte la contribution des femmes porte-paroles des victimes de discrimination auprès des chefs traditionnels</w:t>
      </w:r>
      <w:r w:rsidR="00DB6EAF" w:rsidRPr="001C7B59">
        <w:rPr>
          <w:lang w:val="fr-FR"/>
        </w:rPr>
        <w:t> :</w:t>
      </w:r>
      <w:r w:rsidRPr="001C7B59">
        <w:rPr>
          <w:lang w:val="fr-FR"/>
        </w:rPr>
        <w:t xml:space="preserve"> ce sont les innas, les jekadias, les magagias, les bafadas, maidakis, etc. Afin d</w:t>
      </w:r>
      <w:r w:rsidR="00DB6EAF" w:rsidRPr="001C7B59">
        <w:rPr>
          <w:lang w:val="fr-FR"/>
        </w:rPr>
        <w:t>’</w:t>
      </w:r>
      <w:r w:rsidRPr="001C7B59">
        <w:rPr>
          <w:lang w:val="fr-FR"/>
        </w:rPr>
        <w:t>aider à prévenir et gérer les problèmes sociaux.</w:t>
      </w:r>
    </w:p>
    <w:p w:rsidR="004432C5" w:rsidRPr="001C7B59" w:rsidRDefault="004432C5" w:rsidP="008E5553">
      <w:pPr>
        <w:pStyle w:val="SingleTxt"/>
        <w:numPr>
          <w:ilvl w:val="0"/>
          <w:numId w:val="13"/>
        </w:numPr>
        <w:rPr>
          <w:lang w:val="fr-FR"/>
        </w:rPr>
      </w:pPr>
      <w:r w:rsidRPr="001C7B59">
        <w:rPr>
          <w:lang w:val="fr-FR"/>
        </w:rPr>
        <w:t>Avec l</w:t>
      </w:r>
      <w:r w:rsidR="00DB6EAF" w:rsidRPr="001C7B59">
        <w:rPr>
          <w:lang w:val="fr-FR"/>
        </w:rPr>
        <w:t>’</w:t>
      </w:r>
      <w:r w:rsidRPr="001C7B59">
        <w:rPr>
          <w:lang w:val="fr-FR"/>
        </w:rPr>
        <w:t>avènement de la communalisation intégrale en 2004 et les mouvements coopératifs et associatifs qui concernent de nos jours la majorité des populations y compris rurales, la participation féminine s</w:t>
      </w:r>
      <w:r w:rsidR="00DB6EAF" w:rsidRPr="001C7B59">
        <w:rPr>
          <w:lang w:val="fr-FR"/>
        </w:rPr>
        <w:t>’</w:t>
      </w:r>
      <w:r w:rsidRPr="001C7B59">
        <w:rPr>
          <w:lang w:val="fr-FR"/>
        </w:rPr>
        <w:t xml:space="preserve">affirme de plus en plus dans le processus de prise de décision. </w:t>
      </w:r>
    </w:p>
    <w:p w:rsidR="004432C5" w:rsidRPr="001C7B59" w:rsidRDefault="004432C5" w:rsidP="008E5553">
      <w:pPr>
        <w:pStyle w:val="SingleTxt"/>
        <w:numPr>
          <w:ilvl w:val="0"/>
          <w:numId w:val="13"/>
        </w:numPr>
        <w:rPr>
          <w:lang w:val="fr-FR"/>
        </w:rPr>
      </w:pPr>
      <w:r w:rsidRPr="001C7B59">
        <w:rPr>
          <w:lang w:val="fr-FR"/>
        </w:rPr>
        <w:t>La prise en compte du genre et la mise en œuvre de la CEDEF contribuent à réduire l</w:t>
      </w:r>
      <w:r w:rsidR="00DB6EAF" w:rsidRPr="001C7B59">
        <w:rPr>
          <w:lang w:val="fr-FR"/>
        </w:rPr>
        <w:t>’</w:t>
      </w:r>
      <w:r w:rsidRPr="001C7B59">
        <w:rPr>
          <w:lang w:val="fr-FR"/>
        </w:rPr>
        <w:t>analphabétisme, la pauvreté et à améliorer le pouvoir de prise de décision de la femme en général et de la femme rurale en particulier. Cette approche consiste à la poursuite de la mise en place des services sociaux de base et à la facilitation de leur accès</w:t>
      </w:r>
      <w:r w:rsidR="00DB6EAF" w:rsidRPr="001C7B59">
        <w:rPr>
          <w:lang w:val="fr-FR"/>
        </w:rPr>
        <w:t> :</w:t>
      </w:r>
      <w:r w:rsidRPr="001C7B59">
        <w:rPr>
          <w:lang w:val="fr-FR"/>
        </w:rPr>
        <w:t xml:space="preserve"> (école, centre de santé), la sensibilisation aux problèmes de discrimination, de violence. </w:t>
      </w:r>
    </w:p>
    <w:p w:rsidR="004432C5" w:rsidRPr="001C7B59" w:rsidRDefault="004432C5" w:rsidP="008E5553">
      <w:pPr>
        <w:pStyle w:val="SingleTxt"/>
        <w:numPr>
          <w:ilvl w:val="0"/>
          <w:numId w:val="13"/>
        </w:numPr>
        <w:rPr>
          <w:lang w:val="fr-FR"/>
        </w:rPr>
      </w:pPr>
      <w:r w:rsidRPr="001C7B59">
        <w:rPr>
          <w:lang w:val="fr-FR"/>
        </w:rPr>
        <w:t>Elle passe également par le renforcement des capacités des femmes rurales et leur autonomisation. Dans le cadre de la mise en œuvre de cette approche, plusieurs acteurs interviennent aux côtés de l</w:t>
      </w:r>
      <w:r w:rsidR="00DB6EAF" w:rsidRPr="001C7B59">
        <w:rPr>
          <w:lang w:val="fr-FR"/>
        </w:rPr>
        <w:t>’</w:t>
      </w:r>
      <w:r w:rsidR="008E5553">
        <w:rPr>
          <w:lang w:val="fr-FR"/>
        </w:rPr>
        <w:t>État</w:t>
      </w:r>
      <w:r w:rsidRPr="001C7B59">
        <w:rPr>
          <w:lang w:val="fr-FR"/>
        </w:rPr>
        <w:t>. Il s</w:t>
      </w:r>
      <w:r w:rsidR="00DB6EAF" w:rsidRPr="001C7B59">
        <w:rPr>
          <w:lang w:val="fr-FR"/>
        </w:rPr>
        <w:t>’</w:t>
      </w:r>
      <w:r w:rsidRPr="001C7B59">
        <w:rPr>
          <w:lang w:val="fr-FR"/>
        </w:rPr>
        <w:t>agit des partenaires bilatéraux et multilatéraux, des ONG et associations.</w:t>
      </w:r>
    </w:p>
    <w:p w:rsidR="004432C5" w:rsidRPr="001C7B59" w:rsidRDefault="004432C5" w:rsidP="008E5553">
      <w:pPr>
        <w:pStyle w:val="SingleTxt"/>
        <w:numPr>
          <w:ilvl w:val="0"/>
          <w:numId w:val="13"/>
        </w:numPr>
        <w:rPr>
          <w:lang w:val="fr-FR"/>
        </w:rPr>
      </w:pPr>
      <w:r w:rsidRPr="001C7B59">
        <w:rPr>
          <w:lang w:val="fr-FR"/>
        </w:rPr>
        <w:t>En matière d</w:t>
      </w:r>
      <w:r w:rsidR="00DB6EAF" w:rsidRPr="001C7B59">
        <w:rPr>
          <w:lang w:val="fr-FR"/>
        </w:rPr>
        <w:t>’</w:t>
      </w:r>
      <w:r w:rsidRPr="001C7B59">
        <w:rPr>
          <w:lang w:val="fr-FR"/>
        </w:rPr>
        <w:t>autonomisation, plusieurs projets et programmes ont été exécutés et d</w:t>
      </w:r>
      <w:r w:rsidR="00DB6EAF" w:rsidRPr="001C7B59">
        <w:rPr>
          <w:lang w:val="fr-FR"/>
        </w:rPr>
        <w:t>’</w:t>
      </w:r>
      <w:r w:rsidRPr="001C7B59">
        <w:rPr>
          <w:lang w:val="fr-FR"/>
        </w:rPr>
        <w:t>autres sont en cours d</w:t>
      </w:r>
      <w:r w:rsidR="00DB6EAF" w:rsidRPr="001C7B59">
        <w:rPr>
          <w:lang w:val="fr-FR"/>
        </w:rPr>
        <w:t>’</w:t>
      </w:r>
      <w:r w:rsidRPr="001C7B59">
        <w:rPr>
          <w:lang w:val="fr-FR"/>
        </w:rPr>
        <w:t>exécution. On peut citer le projet d</w:t>
      </w:r>
      <w:r w:rsidR="00DB6EAF" w:rsidRPr="001C7B59">
        <w:rPr>
          <w:lang w:val="fr-FR"/>
        </w:rPr>
        <w:t>’</w:t>
      </w:r>
      <w:r w:rsidR="001C7B59" w:rsidRPr="001C7B59">
        <w:rPr>
          <w:lang w:val="fr-FR"/>
        </w:rPr>
        <w:t>augmentation</w:t>
      </w:r>
      <w:r w:rsidRPr="001C7B59">
        <w:rPr>
          <w:lang w:val="fr-FR"/>
        </w:rPr>
        <w:t xml:space="preserve"> des </w:t>
      </w:r>
      <w:r w:rsidR="001C7B59" w:rsidRPr="001C7B59">
        <w:rPr>
          <w:lang w:val="fr-FR"/>
        </w:rPr>
        <w:t>revenu</w:t>
      </w:r>
      <w:r w:rsidRPr="001C7B59">
        <w:rPr>
          <w:lang w:val="fr-FR"/>
        </w:rPr>
        <w:t xml:space="preserve">s des </w:t>
      </w:r>
      <w:r w:rsidR="001C7B59" w:rsidRPr="001C7B59">
        <w:rPr>
          <w:lang w:val="fr-FR"/>
        </w:rPr>
        <w:t>femme</w:t>
      </w:r>
      <w:r w:rsidRPr="001C7B59">
        <w:rPr>
          <w:lang w:val="fr-FR"/>
        </w:rPr>
        <w:t xml:space="preserve">s de Dosso dont la deuxième phase est en cours. </w:t>
      </w:r>
    </w:p>
    <w:p w:rsidR="004432C5" w:rsidRPr="001C7B59" w:rsidRDefault="004432C5" w:rsidP="008E5553">
      <w:pPr>
        <w:pStyle w:val="SingleTxt"/>
        <w:numPr>
          <w:ilvl w:val="0"/>
          <w:numId w:val="13"/>
        </w:numPr>
        <w:rPr>
          <w:lang w:val="fr-FR"/>
        </w:rPr>
      </w:pPr>
      <w:r w:rsidRPr="001C7B59">
        <w:rPr>
          <w:lang w:val="fr-FR"/>
        </w:rPr>
        <w:t>Ainsi, le projet a investi dans le domaine d</w:t>
      </w:r>
      <w:r w:rsidR="00DB6EAF" w:rsidRPr="001C7B59">
        <w:rPr>
          <w:lang w:val="fr-FR"/>
        </w:rPr>
        <w:t>’</w:t>
      </w:r>
      <w:r w:rsidRPr="001C7B59">
        <w:rPr>
          <w:lang w:val="fr-FR"/>
        </w:rPr>
        <w:t>équipements d</w:t>
      </w:r>
      <w:r w:rsidR="00DB6EAF" w:rsidRPr="001C7B59">
        <w:rPr>
          <w:lang w:val="fr-FR"/>
        </w:rPr>
        <w:t>’</w:t>
      </w:r>
      <w:r w:rsidRPr="001C7B59">
        <w:rPr>
          <w:lang w:val="fr-FR"/>
        </w:rPr>
        <w:t>allègement des tâches ménagères comme</w:t>
      </w:r>
      <w:r w:rsidR="001C7B59" w:rsidRPr="001C7B59">
        <w:rPr>
          <w:lang w:val="fr-FR"/>
        </w:rPr>
        <w:t xml:space="preserve"> </w:t>
      </w:r>
      <w:r w:rsidRPr="001C7B59">
        <w:rPr>
          <w:lang w:val="fr-FR"/>
        </w:rPr>
        <w:t>l</w:t>
      </w:r>
      <w:r w:rsidR="00DB6EAF" w:rsidRPr="001C7B59">
        <w:rPr>
          <w:lang w:val="fr-FR"/>
        </w:rPr>
        <w:t>’</w:t>
      </w:r>
      <w:r w:rsidRPr="001C7B59">
        <w:rPr>
          <w:lang w:val="fr-FR"/>
        </w:rPr>
        <w:t>égrenage et le pilage des céréales qui sont des activités très laborieuses pour les femmes. Il s</w:t>
      </w:r>
      <w:r w:rsidR="00DB6EAF" w:rsidRPr="001C7B59">
        <w:rPr>
          <w:lang w:val="fr-FR"/>
        </w:rPr>
        <w:t>’</w:t>
      </w:r>
      <w:r w:rsidRPr="001C7B59">
        <w:rPr>
          <w:lang w:val="fr-FR"/>
        </w:rPr>
        <w:t>agit entre autres de</w:t>
      </w:r>
      <w:r w:rsidR="001C7B59" w:rsidRPr="001C7B59">
        <w:rPr>
          <w:lang w:val="fr-FR"/>
        </w:rPr>
        <w:t xml:space="preserve"> </w:t>
      </w:r>
      <w:r w:rsidRPr="001C7B59">
        <w:rPr>
          <w:lang w:val="fr-FR"/>
        </w:rPr>
        <w:t>la réhabilitation des puits</w:t>
      </w:r>
      <w:r w:rsidR="001C7B59" w:rsidRPr="001C7B59">
        <w:rPr>
          <w:lang w:val="fr-FR"/>
        </w:rPr>
        <w:t xml:space="preserve"> </w:t>
      </w:r>
      <w:r w:rsidRPr="001C7B59">
        <w:rPr>
          <w:lang w:val="fr-FR"/>
        </w:rPr>
        <w:t>et de l</w:t>
      </w:r>
      <w:r w:rsidR="00DB6EAF" w:rsidRPr="001C7B59">
        <w:rPr>
          <w:lang w:val="fr-FR"/>
        </w:rPr>
        <w:t>’</w:t>
      </w:r>
      <w:r w:rsidRPr="001C7B59">
        <w:rPr>
          <w:lang w:val="fr-FR"/>
        </w:rPr>
        <w:t>acquisition des moulins, batteuses de mil, poulies (puits), charrettes azines et bovines et unités d</w:t>
      </w:r>
      <w:r w:rsidR="00DB6EAF" w:rsidRPr="001C7B59">
        <w:rPr>
          <w:lang w:val="fr-FR"/>
        </w:rPr>
        <w:t>’</w:t>
      </w:r>
      <w:r w:rsidRPr="001C7B59">
        <w:rPr>
          <w:lang w:val="fr-FR"/>
        </w:rPr>
        <w:t>extraction d</w:t>
      </w:r>
      <w:r w:rsidR="00DB6EAF" w:rsidRPr="001C7B59">
        <w:rPr>
          <w:lang w:val="fr-FR"/>
        </w:rPr>
        <w:t>’</w:t>
      </w:r>
      <w:r w:rsidRPr="001C7B59">
        <w:rPr>
          <w:lang w:val="fr-FR"/>
        </w:rPr>
        <w:t>huile d</w:t>
      </w:r>
      <w:r w:rsidR="00DB6EAF" w:rsidRPr="001C7B59">
        <w:rPr>
          <w:lang w:val="fr-FR"/>
        </w:rPr>
        <w:t>’</w:t>
      </w:r>
      <w:r w:rsidRPr="001C7B59">
        <w:rPr>
          <w:lang w:val="fr-FR"/>
        </w:rPr>
        <w:t>arachide.</w:t>
      </w:r>
    </w:p>
    <w:p w:rsidR="004432C5" w:rsidRPr="001C7B59" w:rsidRDefault="004432C5" w:rsidP="008E5553">
      <w:pPr>
        <w:pStyle w:val="SingleTxt"/>
        <w:numPr>
          <w:ilvl w:val="0"/>
          <w:numId w:val="13"/>
        </w:numPr>
        <w:rPr>
          <w:lang w:val="fr-FR"/>
        </w:rPr>
      </w:pPr>
      <w:r w:rsidRPr="001C7B59">
        <w:rPr>
          <w:lang w:val="fr-FR"/>
        </w:rPr>
        <w:t>On note par ailleurs le renforcement des capacités des femmes rurales et particulièrement des femmes guéries de la fistule obstétricale.</w:t>
      </w:r>
      <w:r w:rsidR="001C7B59" w:rsidRPr="001C7B59">
        <w:rPr>
          <w:lang w:val="fr-FR"/>
        </w:rPr>
        <w:t xml:space="preserve"> </w:t>
      </w:r>
      <w:r w:rsidRPr="001C7B59">
        <w:rPr>
          <w:lang w:val="fr-FR"/>
        </w:rPr>
        <w:t>Plusieurs appareils de tricotage (6), de tissage (6) et des machines à coudre (60) ont été mis à leur disposition par USAID, OXFAM et PLAN Niger pour favoriser leur réintégration sociale.</w:t>
      </w:r>
    </w:p>
    <w:p w:rsidR="004432C5" w:rsidRPr="001C7B59" w:rsidRDefault="004432C5" w:rsidP="008E5553">
      <w:pPr>
        <w:pStyle w:val="SingleTxt"/>
        <w:numPr>
          <w:ilvl w:val="0"/>
          <w:numId w:val="13"/>
        </w:numPr>
        <w:rPr>
          <w:lang w:val="fr-FR"/>
        </w:rPr>
      </w:pPr>
      <w:r w:rsidRPr="001C7B59">
        <w:rPr>
          <w:lang w:val="fr-FR"/>
        </w:rPr>
        <w:t>Outre les projets et les programmes, de nombreuses institutions de micro finance participent à l</w:t>
      </w:r>
      <w:r w:rsidR="00DB6EAF" w:rsidRPr="001C7B59">
        <w:rPr>
          <w:lang w:val="fr-FR"/>
        </w:rPr>
        <w:t>’</w:t>
      </w:r>
      <w:r w:rsidRPr="001C7B59">
        <w:rPr>
          <w:lang w:val="fr-FR"/>
        </w:rPr>
        <w:t>autonomisation des femmes par la collecte de l</w:t>
      </w:r>
      <w:r w:rsidR="00DB6EAF" w:rsidRPr="001C7B59">
        <w:rPr>
          <w:lang w:val="fr-FR"/>
        </w:rPr>
        <w:t>’</w:t>
      </w:r>
      <w:r w:rsidRPr="001C7B59">
        <w:rPr>
          <w:lang w:val="fr-FR"/>
        </w:rPr>
        <w:t>épargne et surtout la distribution de crédits car les femmes, compte tenu de leur pauvreté, n</w:t>
      </w:r>
      <w:r w:rsidR="00DB6EAF" w:rsidRPr="001C7B59">
        <w:rPr>
          <w:lang w:val="fr-FR"/>
        </w:rPr>
        <w:t>’</w:t>
      </w:r>
      <w:r w:rsidRPr="001C7B59">
        <w:rPr>
          <w:lang w:val="fr-FR"/>
        </w:rPr>
        <w:t xml:space="preserve">ont pas la garantie nécessaire pour prétendre aux crédits bancaires. </w:t>
      </w:r>
    </w:p>
    <w:p w:rsidR="004432C5" w:rsidRPr="001C7B59" w:rsidRDefault="004432C5" w:rsidP="008E5553">
      <w:pPr>
        <w:pStyle w:val="SingleTxt"/>
        <w:numPr>
          <w:ilvl w:val="0"/>
          <w:numId w:val="13"/>
        </w:numPr>
        <w:rPr>
          <w:lang w:val="fr-FR"/>
        </w:rPr>
      </w:pPr>
      <w:r w:rsidRPr="001C7B59">
        <w:rPr>
          <w:lang w:val="fr-FR"/>
        </w:rPr>
        <w:t>La cartographie réalisée par le Ministère des finances donne une situation de 79 institutions de micro finance reparties sur l</w:t>
      </w:r>
      <w:r w:rsidR="00DB6EAF" w:rsidRPr="001C7B59">
        <w:rPr>
          <w:lang w:val="fr-FR"/>
        </w:rPr>
        <w:t>’</w:t>
      </w:r>
      <w:r w:rsidRPr="001C7B59">
        <w:rPr>
          <w:lang w:val="fr-FR"/>
        </w:rPr>
        <w:t>ensemble du pays facilitant ainsi aux femmes des groupements féminins l</w:t>
      </w:r>
      <w:r w:rsidR="00DB6EAF" w:rsidRPr="001C7B59">
        <w:rPr>
          <w:lang w:val="fr-FR"/>
        </w:rPr>
        <w:t>’</w:t>
      </w:r>
      <w:r w:rsidRPr="001C7B59">
        <w:rPr>
          <w:lang w:val="fr-FR"/>
        </w:rPr>
        <w:t>accès aux crédits.</w:t>
      </w:r>
    </w:p>
    <w:p w:rsidR="004432C5" w:rsidRDefault="004432C5"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t>IV.</w:t>
      </w:r>
      <w:r w:rsidRPr="001C7B59">
        <w:rPr>
          <w:lang w:val="fr-FR"/>
        </w:rPr>
        <w:tab/>
        <w:t xml:space="preserve">Articles 15 à 16 </w:t>
      </w:r>
    </w:p>
    <w:p w:rsidR="002514CC" w:rsidRPr="002514CC" w:rsidRDefault="002514CC" w:rsidP="002514CC">
      <w:pPr>
        <w:pStyle w:val="SingleTxt"/>
        <w:spacing w:after="0" w:line="120" w:lineRule="exact"/>
        <w:rPr>
          <w:sz w:val="10"/>
          <w:lang w:val="fr-FR"/>
        </w:rPr>
      </w:pPr>
    </w:p>
    <w:p w:rsidR="004432C5" w:rsidRDefault="002514CC" w:rsidP="002514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Egalite</w:t>
      </w:r>
      <w:r w:rsidR="004432C5" w:rsidRPr="001C7B59">
        <w:rPr>
          <w:lang w:val="fr-FR"/>
        </w:rPr>
        <w:t xml:space="preserve"> devant la loi, liberté de circuler et choix du domicile ou résidence</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Le principe de l</w:t>
      </w:r>
      <w:r w:rsidR="00DB6EAF" w:rsidRPr="001C7B59">
        <w:rPr>
          <w:lang w:val="fr-FR"/>
        </w:rPr>
        <w:t>’</w:t>
      </w:r>
      <w:r w:rsidRPr="001C7B59">
        <w:rPr>
          <w:lang w:val="fr-FR"/>
        </w:rPr>
        <w:t>égalité de tous devant la loi sans distinction de sexe, d</w:t>
      </w:r>
      <w:r w:rsidR="00DB6EAF" w:rsidRPr="001C7B59">
        <w:rPr>
          <w:lang w:val="fr-FR"/>
        </w:rPr>
        <w:t>’</w:t>
      </w:r>
      <w:r w:rsidRPr="001C7B59">
        <w:rPr>
          <w:lang w:val="fr-FR"/>
        </w:rPr>
        <w:t>origine sociale,</w:t>
      </w:r>
      <w:r w:rsidR="001C7B59" w:rsidRPr="001C7B59">
        <w:rPr>
          <w:lang w:val="fr-FR"/>
        </w:rPr>
        <w:t xml:space="preserve"> </w:t>
      </w:r>
      <w:r w:rsidRPr="001C7B59">
        <w:rPr>
          <w:lang w:val="fr-FR"/>
        </w:rPr>
        <w:t>raciale, ethnique ou religieuse est énoncé par la Constitution en son article 8 alinéa 2. Il est largement réaffirmé par l</w:t>
      </w:r>
      <w:r w:rsidR="00DB6EAF" w:rsidRPr="001C7B59">
        <w:rPr>
          <w:lang w:val="fr-FR"/>
        </w:rPr>
        <w:t>’</w:t>
      </w:r>
      <w:r w:rsidRPr="001C7B59">
        <w:rPr>
          <w:lang w:val="fr-FR"/>
        </w:rPr>
        <w:t xml:space="preserve">essentiel des textes législatifs et réglementaires. </w:t>
      </w:r>
    </w:p>
    <w:p w:rsidR="004432C5" w:rsidRPr="001C7B59" w:rsidRDefault="004432C5" w:rsidP="008E5553">
      <w:pPr>
        <w:pStyle w:val="SingleTxt"/>
        <w:numPr>
          <w:ilvl w:val="0"/>
          <w:numId w:val="13"/>
        </w:numPr>
        <w:rPr>
          <w:lang w:val="fr-FR"/>
        </w:rPr>
      </w:pPr>
      <w:r w:rsidRPr="001C7B59">
        <w:rPr>
          <w:lang w:val="fr-FR"/>
        </w:rPr>
        <w:t>La possibilité pour les femmes d</w:t>
      </w:r>
      <w:r w:rsidR="00DB6EAF" w:rsidRPr="001C7B59">
        <w:rPr>
          <w:lang w:val="fr-FR"/>
        </w:rPr>
        <w:t>’</w:t>
      </w:r>
      <w:r w:rsidRPr="001C7B59">
        <w:rPr>
          <w:lang w:val="fr-FR"/>
        </w:rPr>
        <w:t>accéder aux services judiciaires sur la base de l</w:t>
      </w:r>
      <w:r w:rsidR="00DB6EAF" w:rsidRPr="001C7B59">
        <w:rPr>
          <w:lang w:val="fr-FR"/>
        </w:rPr>
        <w:t>’</w:t>
      </w:r>
      <w:r w:rsidRPr="001C7B59">
        <w:rPr>
          <w:lang w:val="fr-FR"/>
        </w:rPr>
        <w:t xml:space="preserve">égalité avec les hommes est consacrée par les textes régissant les procédures à suivre devant les juridictions statuant en matière civile, commerciale, coutumière ou pénale. Les mêmes règles égalitaires sont consacrées en matière de capacité à contracter et à administrer des biens. </w:t>
      </w:r>
    </w:p>
    <w:p w:rsidR="004432C5" w:rsidRPr="001C7B59" w:rsidRDefault="004432C5" w:rsidP="008E5553">
      <w:pPr>
        <w:pStyle w:val="SingleTxt"/>
        <w:numPr>
          <w:ilvl w:val="0"/>
          <w:numId w:val="13"/>
        </w:numPr>
        <w:rPr>
          <w:lang w:val="fr-FR"/>
        </w:rPr>
      </w:pPr>
      <w:r w:rsidRPr="001C7B59">
        <w:rPr>
          <w:lang w:val="fr-FR"/>
        </w:rPr>
        <w:t>Nonobstant l</w:t>
      </w:r>
      <w:r w:rsidR="00DB6EAF" w:rsidRPr="001C7B59">
        <w:rPr>
          <w:lang w:val="fr-FR"/>
        </w:rPr>
        <w:t>’</w:t>
      </w:r>
      <w:r w:rsidRPr="001C7B59">
        <w:rPr>
          <w:lang w:val="fr-FR"/>
        </w:rPr>
        <w:t>existence de toutes ces possibilités, l</w:t>
      </w:r>
      <w:r w:rsidR="00DB6EAF" w:rsidRPr="001C7B59">
        <w:rPr>
          <w:lang w:val="fr-FR"/>
        </w:rPr>
        <w:t>’</w:t>
      </w:r>
      <w:r w:rsidRPr="001C7B59">
        <w:rPr>
          <w:lang w:val="fr-FR"/>
        </w:rPr>
        <w:t>accès des femmes aux services judiciaires est très souvent limité par l</w:t>
      </w:r>
      <w:r w:rsidR="00DB6EAF" w:rsidRPr="001C7B59">
        <w:rPr>
          <w:lang w:val="fr-FR"/>
        </w:rPr>
        <w:t>’</w:t>
      </w:r>
      <w:r w:rsidRPr="001C7B59">
        <w:rPr>
          <w:lang w:val="fr-FR"/>
        </w:rPr>
        <w:t>ignorance, par elles-mêmes, de leurs droits et les coûts élevés de certaines procédures. L</w:t>
      </w:r>
      <w:r w:rsidR="00DB6EAF" w:rsidRPr="001C7B59">
        <w:rPr>
          <w:lang w:val="fr-FR"/>
        </w:rPr>
        <w:t>’</w:t>
      </w:r>
      <w:r w:rsidRPr="001C7B59">
        <w:rPr>
          <w:lang w:val="fr-FR"/>
        </w:rPr>
        <w:t>aide judiciaire qui devrait pallier cette situation ne fonctionne pas du fait essentiellement de la non installation des bureaux d</w:t>
      </w:r>
      <w:r w:rsidR="00DB6EAF" w:rsidRPr="001C7B59">
        <w:rPr>
          <w:lang w:val="fr-FR"/>
        </w:rPr>
        <w:t>’</w:t>
      </w:r>
      <w:r w:rsidRPr="001C7B59">
        <w:rPr>
          <w:lang w:val="fr-FR"/>
        </w:rPr>
        <w:t>aide judiciaire, mais aussi de l</w:t>
      </w:r>
      <w:r w:rsidR="00DB6EAF" w:rsidRPr="001C7B59">
        <w:rPr>
          <w:lang w:val="fr-FR"/>
        </w:rPr>
        <w:t>’</w:t>
      </w:r>
      <w:r w:rsidRPr="001C7B59">
        <w:rPr>
          <w:lang w:val="fr-FR"/>
        </w:rPr>
        <w:t>absence de ligne budgétaire destinée à son financement. Cette situation a connu une évolution significative avec l</w:t>
      </w:r>
      <w:r w:rsidR="00DB6EAF" w:rsidRPr="001C7B59">
        <w:rPr>
          <w:lang w:val="fr-FR"/>
        </w:rPr>
        <w:t>’</w:t>
      </w:r>
      <w:r w:rsidRPr="001C7B59">
        <w:rPr>
          <w:lang w:val="fr-FR"/>
        </w:rPr>
        <w:t>adoption de la loi n</w:t>
      </w:r>
      <w:r w:rsidR="002514CC" w:rsidRPr="002514CC">
        <w:rPr>
          <w:vertAlign w:val="superscript"/>
          <w:lang w:val="fr-FR"/>
        </w:rPr>
        <w:t>o</w:t>
      </w:r>
      <w:r w:rsidRPr="001C7B59">
        <w:rPr>
          <w:lang w:val="fr-FR"/>
        </w:rPr>
        <w:t>°2011-042 du 21 mars 2011 déterminant les règles applicables à l</w:t>
      </w:r>
      <w:r w:rsidR="00DB6EAF" w:rsidRPr="001C7B59">
        <w:rPr>
          <w:lang w:val="fr-FR"/>
        </w:rPr>
        <w:t>’</w:t>
      </w:r>
      <w:r w:rsidRPr="001C7B59">
        <w:rPr>
          <w:lang w:val="fr-FR"/>
        </w:rPr>
        <w:t xml:space="preserve">assistance juridique et judiciaire et créant un établissement public à caractère administratif dénommé Agence </w:t>
      </w:r>
      <w:r w:rsidR="00D60176" w:rsidRPr="001C7B59">
        <w:rPr>
          <w:lang w:val="fr-FR"/>
        </w:rPr>
        <w:t>national</w:t>
      </w:r>
      <w:r w:rsidRPr="001C7B59">
        <w:rPr>
          <w:lang w:val="fr-FR"/>
        </w:rPr>
        <w:t>e de l</w:t>
      </w:r>
      <w:r w:rsidR="00DB6EAF" w:rsidRPr="001C7B59">
        <w:rPr>
          <w:lang w:val="fr-FR"/>
        </w:rPr>
        <w:t>’</w:t>
      </w:r>
      <w:r w:rsidR="00DE024F">
        <w:rPr>
          <w:lang w:val="fr-FR"/>
        </w:rPr>
        <w:t>assistance</w:t>
      </w:r>
      <w:r w:rsidRPr="001C7B59">
        <w:rPr>
          <w:lang w:val="fr-FR"/>
        </w:rPr>
        <w:t xml:space="preserve"> </w:t>
      </w:r>
      <w:r w:rsidR="00DE024F">
        <w:rPr>
          <w:lang w:val="fr-FR"/>
        </w:rPr>
        <w:t>juridique</w:t>
      </w:r>
      <w:r w:rsidRPr="001C7B59">
        <w:rPr>
          <w:lang w:val="fr-FR"/>
        </w:rPr>
        <w:t xml:space="preserve"> et </w:t>
      </w:r>
      <w:r w:rsidR="00DE024F">
        <w:rPr>
          <w:lang w:val="fr-FR"/>
        </w:rPr>
        <w:t>judiciaire</w:t>
      </w:r>
      <w:r w:rsidRPr="001C7B59">
        <w:rPr>
          <w:lang w:val="fr-FR"/>
        </w:rPr>
        <w:t xml:space="preserve"> (ANAJJ).</w:t>
      </w:r>
    </w:p>
    <w:p w:rsidR="004432C5" w:rsidRPr="001C7B59" w:rsidRDefault="004432C5" w:rsidP="008E5553">
      <w:pPr>
        <w:pStyle w:val="SingleTxt"/>
        <w:numPr>
          <w:ilvl w:val="0"/>
          <w:numId w:val="13"/>
        </w:numPr>
        <w:rPr>
          <w:lang w:val="fr-FR"/>
        </w:rPr>
      </w:pPr>
      <w:r w:rsidRPr="001C7B59">
        <w:rPr>
          <w:lang w:val="fr-FR"/>
        </w:rPr>
        <w:t>Cette dernière structure a vocation à rendre disponible l</w:t>
      </w:r>
      <w:r w:rsidR="00DB6EAF" w:rsidRPr="001C7B59">
        <w:rPr>
          <w:lang w:val="fr-FR"/>
        </w:rPr>
        <w:t>’</w:t>
      </w:r>
      <w:r w:rsidRPr="001C7B59">
        <w:rPr>
          <w:lang w:val="fr-FR"/>
        </w:rPr>
        <w:t>aide juridique et l</w:t>
      </w:r>
      <w:r w:rsidR="00DB6EAF" w:rsidRPr="001C7B59">
        <w:rPr>
          <w:lang w:val="fr-FR"/>
        </w:rPr>
        <w:t>’</w:t>
      </w:r>
      <w:r w:rsidRPr="001C7B59">
        <w:rPr>
          <w:lang w:val="fr-FR"/>
        </w:rPr>
        <w:t xml:space="preserve">assistance judiciaire et dispose de démembrements au niveau des </w:t>
      </w:r>
      <w:r w:rsidR="00DB6EAF" w:rsidRPr="001C7B59">
        <w:rPr>
          <w:lang w:val="fr-FR"/>
        </w:rPr>
        <w:t>10</w:t>
      </w:r>
      <w:r w:rsidRPr="001C7B59">
        <w:rPr>
          <w:lang w:val="fr-FR"/>
        </w:rPr>
        <w:t xml:space="preserve"> Tribunaux de Grande Instance que compte le pays. </w:t>
      </w:r>
    </w:p>
    <w:p w:rsidR="004432C5" w:rsidRPr="001C7B59" w:rsidRDefault="004432C5" w:rsidP="008E5553">
      <w:pPr>
        <w:pStyle w:val="SingleTxt"/>
        <w:numPr>
          <w:ilvl w:val="0"/>
          <w:numId w:val="13"/>
        </w:numPr>
        <w:rPr>
          <w:lang w:val="fr-FR"/>
        </w:rPr>
      </w:pPr>
      <w:r w:rsidRPr="001C7B59">
        <w:rPr>
          <w:lang w:val="fr-FR"/>
        </w:rPr>
        <w:t>De même, certaines organisations de la société civile telles que l</w:t>
      </w:r>
      <w:r w:rsidR="00DB6EAF" w:rsidRPr="001C7B59">
        <w:rPr>
          <w:lang w:val="fr-FR"/>
        </w:rPr>
        <w:t>’</w:t>
      </w:r>
      <w:r w:rsidRPr="001C7B59">
        <w:rPr>
          <w:lang w:val="fr-FR"/>
        </w:rPr>
        <w:t xml:space="preserve">Association des </w:t>
      </w:r>
      <w:r w:rsidR="001C7B59" w:rsidRPr="001C7B59">
        <w:rPr>
          <w:lang w:val="fr-FR"/>
        </w:rPr>
        <w:t>femme</w:t>
      </w:r>
      <w:r w:rsidRPr="001C7B59">
        <w:rPr>
          <w:lang w:val="fr-FR"/>
        </w:rPr>
        <w:t xml:space="preserve">s </w:t>
      </w:r>
      <w:r w:rsidR="001C7B59" w:rsidRPr="001C7B59">
        <w:rPr>
          <w:lang w:val="fr-FR"/>
        </w:rPr>
        <w:t>juriste</w:t>
      </w:r>
      <w:r w:rsidRPr="001C7B59">
        <w:rPr>
          <w:lang w:val="fr-FR"/>
        </w:rPr>
        <w:t>s du Niger (AFJN) et l</w:t>
      </w:r>
      <w:r w:rsidR="00DB6EAF" w:rsidRPr="001C7B59">
        <w:rPr>
          <w:lang w:val="fr-FR"/>
        </w:rPr>
        <w:t>’</w:t>
      </w:r>
      <w:r w:rsidRPr="001C7B59">
        <w:rPr>
          <w:lang w:val="fr-FR"/>
        </w:rPr>
        <w:t xml:space="preserve">Association </w:t>
      </w:r>
      <w:r w:rsidR="00D60176" w:rsidRPr="001C7B59">
        <w:rPr>
          <w:lang w:val="fr-FR"/>
        </w:rPr>
        <w:t>nigéri</w:t>
      </w:r>
      <w:r w:rsidRPr="001C7B59">
        <w:rPr>
          <w:lang w:val="fr-FR"/>
        </w:rPr>
        <w:t xml:space="preserve">enne de </w:t>
      </w:r>
      <w:r w:rsidR="001C7B59" w:rsidRPr="001C7B59">
        <w:rPr>
          <w:lang w:val="fr-FR"/>
        </w:rPr>
        <w:t>défense</w:t>
      </w:r>
      <w:r w:rsidRPr="001C7B59">
        <w:rPr>
          <w:lang w:val="fr-FR"/>
        </w:rPr>
        <w:t xml:space="preserve"> des </w:t>
      </w:r>
      <w:r w:rsidR="00D60176" w:rsidRPr="001C7B59">
        <w:rPr>
          <w:lang w:val="fr-FR"/>
        </w:rPr>
        <w:t>droits de l’homme</w:t>
      </w:r>
      <w:r w:rsidRPr="001C7B59">
        <w:rPr>
          <w:lang w:val="fr-FR"/>
        </w:rPr>
        <w:t xml:space="preserve"> (ANDDH) offrent des services de conseils juridiques gratuits aux femmes à travers les cliniques juridiques et quelquefois font recours aux services d</w:t>
      </w:r>
      <w:r w:rsidR="00DB6EAF" w:rsidRPr="001C7B59">
        <w:rPr>
          <w:lang w:val="fr-FR"/>
        </w:rPr>
        <w:t>’</w:t>
      </w:r>
      <w:r w:rsidRPr="001C7B59">
        <w:rPr>
          <w:lang w:val="fr-FR"/>
        </w:rPr>
        <w:t>un avocat pour le compte de la victime.</w:t>
      </w:r>
    </w:p>
    <w:p w:rsidR="004432C5" w:rsidRPr="001C7B59" w:rsidRDefault="004432C5" w:rsidP="008E5553">
      <w:pPr>
        <w:pStyle w:val="SingleTxt"/>
        <w:numPr>
          <w:ilvl w:val="0"/>
          <w:numId w:val="13"/>
        </w:numPr>
        <w:rPr>
          <w:lang w:val="fr-FR"/>
        </w:rPr>
      </w:pPr>
      <w:r w:rsidRPr="001C7B59">
        <w:rPr>
          <w:lang w:val="fr-FR"/>
        </w:rPr>
        <w:t xml:space="preserve">Les femmes célibataires majeures jouissent de la capacité juridique pour conclure des contrats, administrer leurs biens, etc. Cette capacité juridique de la femme célibataire est reconnue aussi bien par le droit civil, que par le droit coutumier. En revanche, lorsque la femme est mariée, sa capacité juridique souffre en droit civil, de limitations qui résultent soit de cette loi, soit du contrat de mariage. </w:t>
      </w:r>
    </w:p>
    <w:p w:rsidR="004432C5" w:rsidRPr="001C7B59" w:rsidRDefault="004432C5" w:rsidP="008E5553">
      <w:pPr>
        <w:pStyle w:val="SingleTxt"/>
        <w:numPr>
          <w:ilvl w:val="0"/>
          <w:numId w:val="13"/>
        </w:numPr>
        <w:rPr>
          <w:lang w:val="fr-FR"/>
        </w:rPr>
      </w:pPr>
      <w:r w:rsidRPr="001C7B59">
        <w:rPr>
          <w:lang w:val="fr-FR"/>
        </w:rPr>
        <w:t>Les limitations de la capacité juridique de la femme mariée sont l</w:t>
      </w:r>
      <w:r w:rsidR="00DB6EAF" w:rsidRPr="001C7B59">
        <w:rPr>
          <w:lang w:val="fr-FR"/>
        </w:rPr>
        <w:t>’</w:t>
      </w:r>
      <w:r w:rsidRPr="001C7B59">
        <w:rPr>
          <w:lang w:val="fr-FR"/>
        </w:rPr>
        <w:t>œuvre du droit écrit (droit moderne) notamment le Code civil qui reconnaît au mari la possibilité de s</w:t>
      </w:r>
      <w:r w:rsidR="00DB6EAF" w:rsidRPr="001C7B59">
        <w:rPr>
          <w:lang w:val="fr-FR"/>
        </w:rPr>
        <w:t>’</w:t>
      </w:r>
      <w:r w:rsidRPr="001C7B59">
        <w:rPr>
          <w:lang w:val="fr-FR"/>
        </w:rPr>
        <w:t>opposer à l</w:t>
      </w:r>
      <w:r w:rsidR="00DB6EAF" w:rsidRPr="001C7B59">
        <w:rPr>
          <w:lang w:val="fr-FR"/>
        </w:rPr>
        <w:t>’</w:t>
      </w:r>
      <w:r w:rsidRPr="001C7B59">
        <w:rPr>
          <w:lang w:val="fr-FR"/>
        </w:rPr>
        <w:t>exercice par son épouse, d</w:t>
      </w:r>
      <w:r w:rsidR="00DB6EAF" w:rsidRPr="001C7B59">
        <w:rPr>
          <w:lang w:val="fr-FR"/>
        </w:rPr>
        <w:t>’</w:t>
      </w:r>
      <w:r w:rsidRPr="001C7B59">
        <w:rPr>
          <w:lang w:val="fr-FR"/>
        </w:rPr>
        <w:t>une profession séparée. En pratique, ces restrictions apportées par le Code civil ont une portée limitée, parce que très peu de personnes sont régies par ce Code.</w:t>
      </w:r>
    </w:p>
    <w:p w:rsidR="004432C5" w:rsidRPr="001C7B59" w:rsidRDefault="004432C5" w:rsidP="008E5553">
      <w:pPr>
        <w:pStyle w:val="SingleTxt"/>
        <w:numPr>
          <w:ilvl w:val="0"/>
          <w:numId w:val="13"/>
        </w:numPr>
        <w:rPr>
          <w:lang w:val="fr-FR"/>
        </w:rPr>
      </w:pPr>
      <w:r w:rsidRPr="001C7B59">
        <w:rPr>
          <w:lang w:val="fr-FR"/>
        </w:rPr>
        <w:t>La liberté pour toute personne de circuler est certes garantie par la Constitution mais en pratique l</w:t>
      </w:r>
      <w:r w:rsidR="00DB6EAF" w:rsidRPr="001C7B59">
        <w:rPr>
          <w:lang w:val="fr-FR"/>
        </w:rPr>
        <w:t>’</w:t>
      </w:r>
      <w:r w:rsidRPr="001C7B59">
        <w:rPr>
          <w:lang w:val="fr-FR"/>
        </w:rPr>
        <w:t>alinéa 4 de l</w:t>
      </w:r>
      <w:r w:rsidR="00DB6EAF" w:rsidRPr="001C7B59">
        <w:rPr>
          <w:lang w:val="fr-FR"/>
        </w:rPr>
        <w:t>’</w:t>
      </w:r>
      <w:r w:rsidRPr="001C7B59">
        <w:rPr>
          <w:lang w:val="fr-FR"/>
        </w:rPr>
        <w:t>article 15 ayant fait l</w:t>
      </w:r>
      <w:r w:rsidR="00DB6EAF" w:rsidRPr="001C7B59">
        <w:rPr>
          <w:lang w:val="fr-FR"/>
        </w:rPr>
        <w:t>’</w:t>
      </w:r>
      <w:r w:rsidRPr="001C7B59">
        <w:rPr>
          <w:lang w:val="fr-FR"/>
        </w:rPr>
        <w:t>objet de réserve par l</w:t>
      </w:r>
      <w:r w:rsidR="00DB6EAF" w:rsidRPr="001C7B59">
        <w:rPr>
          <w:lang w:val="fr-FR"/>
        </w:rPr>
        <w:t>’</w:t>
      </w:r>
      <w:r w:rsidR="008E5553">
        <w:rPr>
          <w:lang w:val="fr-FR"/>
        </w:rPr>
        <w:t>État</w:t>
      </w:r>
      <w:r w:rsidRPr="001C7B59">
        <w:rPr>
          <w:lang w:val="fr-FR"/>
        </w:rPr>
        <w:t xml:space="preserve"> du Niger, les points se rapportant aux droits des personnes à circuler librement dans les conditions d</w:t>
      </w:r>
      <w:r w:rsidR="00DB6EAF" w:rsidRPr="001C7B59">
        <w:rPr>
          <w:lang w:val="fr-FR"/>
        </w:rPr>
        <w:t>’</w:t>
      </w:r>
      <w:r w:rsidRPr="001C7B59">
        <w:rPr>
          <w:lang w:val="fr-FR"/>
        </w:rPr>
        <w:t>égalité hommes-femmes et le choix de la résidence et du domicile n</w:t>
      </w:r>
      <w:r w:rsidR="00DB6EAF" w:rsidRPr="001C7B59">
        <w:rPr>
          <w:lang w:val="fr-FR"/>
        </w:rPr>
        <w:t>’</w:t>
      </w:r>
      <w:r w:rsidRPr="001C7B59">
        <w:rPr>
          <w:lang w:val="fr-FR"/>
        </w:rPr>
        <w:t>ont pas connu une évolution par rapport à la position initialement soutenue.</w:t>
      </w:r>
    </w:p>
    <w:p w:rsidR="002514CC" w:rsidRPr="002514CC" w:rsidRDefault="002514CC" w:rsidP="002514CC">
      <w:pPr>
        <w:pStyle w:val="SingleTxt"/>
        <w:spacing w:after="0" w:line="120" w:lineRule="exact"/>
        <w:rPr>
          <w:sz w:val="10"/>
          <w:lang w:val="fr-FR"/>
        </w:rPr>
      </w:pPr>
    </w:p>
    <w:p w:rsidR="004432C5" w:rsidRDefault="002514CC" w:rsidP="002514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F6D" w:rsidRPr="001C7B59">
        <w:rPr>
          <w:lang w:val="fr-FR"/>
        </w:rPr>
        <w:t>Élimination</w:t>
      </w:r>
      <w:r w:rsidR="004432C5" w:rsidRPr="001C7B59">
        <w:rPr>
          <w:lang w:val="fr-FR"/>
        </w:rPr>
        <w:t xml:space="preserve"> de la discrimination dans les questions se rapportant au mariage </w:t>
      </w:r>
      <w:r>
        <w:rPr>
          <w:lang w:val="fr-FR"/>
        </w:rPr>
        <w:br/>
      </w:r>
      <w:r w:rsidR="004432C5" w:rsidRPr="001C7B59">
        <w:rPr>
          <w:lang w:val="fr-FR"/>
        </w:rPr>
        <w:t xml:space="preserve">et dans les rapports familiaux </w:t>
      </w:r>
      <w:r w:rsidR="00B22D00">
        <w:rPr>
          <w:lang w:val="fr-FR"/>
        </w:rPr>
        <w:t>(art.</w:t>
      </w:r>
      <w:r w:rsidR="004432C5" w:rsidRPr="001C7B59">
        <w:rPr>
          <w:lang w:val="fr-FR"/>
        </w:rPr>
        <w:t xml:space="preserve"> 16)</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 xml:space="preserve">Relativement aux questions se rapportant au mariage et aux rapports familiaux, la situation reste régie par le dualisme juridique. </w:t>
      </w:r>
    </w:p>
    <w:p w:rsidR="004432C5" w:rsidRPr="001C7B59" w:rsidRDefault="004432C5" w:rsidP="008E5553">
      <w:pPr>
        <w:pStyle w:val="SingleTxt"/>
        <w:numPr>
          <w:ilvl w:val="0"/>
          <w:numId w:val="13"/>
        </w:numPr>
        <w:rPr>
          <w:lang w:val="fr-FR"/>
        </w:rPr>
      </w:pPr>
      <w:r w:rsidRPr="001C7B59">
        <w:rPr>
          <w:lang w:val="fr-FR"/>
        </w:rPr>
        <w:t>Cependant, la réserve formulée par le Niger en ce qui concerne le point c) de l</w:t>
      </w:r>
      <w:r w:rsidR="00DB6EAF" w:rsidRPr="001C7B59">
        <w:rPr>
          <w:lang w:val="fr-FR"/>
        </w:rPr>
        <w:t>’</w:t>
      </w:r>
      <w:r w:rsidRPr="001C7B59">
        <w:rPr>
          <w:lang w:val="fr-FR"/>
        </w:rPr>
        <w:t>article 16 reste toujours d</w:t>
      </w:r>
      <w:r w:rsidR="00DB6EAF" w:rsidRPr="001C7B59">
        <w:rPr>
          <w:lang w:val="fr-FR"/>
        </w:rPr>
        <w:t>’</w:t>
      </w:r>
      <w:r w:rsidRPr="001C7B59">
        <w:rPr>
          <w:lang w:val="fr-FR"/>
        </w:rPr>
        <w:t>actualité dans la mesure où aussi bien au cours du mariage que lors de sa dissolution les époux n</w:t>
      </w:r>
      <w:r w:rsidR="00DB6EAF" w:rsidRPr="001C7B59">
        <w:rPr>
          <w:lang w:val="fr-FR"/>
        </w:rPr>
        <w:t>’</w:t>
      </w:r>
      <w:r w:rsidRPr="001C7B59">
        <w:rPr>
          <w:lang w:val="fr-FR"/>
        </w:rPr>
        <w:t>ont ni les mêmes droits ni les mêmes responsabilités. Il en est de même pour les points g) et e) relatifs à l</w:t>
      </w:r>
      <w:r w:rsidR="00DB6EAF" w:rsidRPr="001C7B59">
        <w:rPr>
          <w:lang w:val="fr-FR"/>
        </w:rPr>
        <w:t>’</w:t>
      </w:r>
      <w:r w:rsidRPr="001C7B59">
        <w:rPr>
          <w:lang w:val="fr-FR"/>
        </w:rPr>
        <w:t>espacement des naissances et ses questions connexes telles que l</w:t>
      </w:r>
      <w:r w:rsidR="00DB6EAF" w:rsidRPr="001C7B59">
        <w:rPr>
          <w:lang w:val="fr-FR"/>
        </w:rPr>
        <w:t>’</w:t>
      </w:r>
      <w:r w:rsidRPr="001C7B59">
        <w:rPr>
          <w:lang w:val="fr-FR"/>
        </w:rPr>
        <w:t>accès à l</w:t>
      </w:r>
      <w:r w:rsidR="00DB6EAF" w:rsidRPr="001C7B59">
        <w:rPr>
          <w:lang w:val="fr-FR"/>
        </w:rPr>
        <w:t>’</w:t>
      </w:r>
      <w:r w:rsidRPr="001C7B59">
        <w:rPr>
          <w:lang w:val="fr-FR"/>
        </w:rPr>
        <w:t>information, à l</w:t>
      </w:r>
      <w:r w:rsidR="00DB6EAF" w:rsidRPr="001C7B59">
        <w:rPr>
          <w:lang w:val="fr-FR"/>
        </w:rPr>
        <w:t>’</w:t>
      </w:r>
      <w:r w:rsidRPr="001C7B59">
        <w:rPr>
          <w:lang w:val="fr-FR"/>
        </w:rPr>
        <w:t>éducation, à la formation nécessaires à l</w:t>
      </w:r>
      <w:r w:rsidR="00DB6EAF" w:rsidRPr="001C7B59">
        <w:rPr>
          <w:lang w:val="fr-FR"/>
        </w:rPr>
        <w:t>’</w:t>
      </w:r>
      <w:r w:rsidRPr="001C7B59">
        <w:rPr>
          <w:lang w:val="fr-FR"/>
        </w:rPr>
        <w:t>exercice de ce droit, d</w:t>
      </w:r>
      <w:r w:rsidR="00DB6EAF" w:rsidRPr="001C7B59">
        <w:rPr>
          <w:lang w:val="fr-FR"/>
        </w:rPr>
        <w:t>’</w:t>
      </w:r>
      <w:r w:rsidRPr="001C7B59">
        <w:rPr>
          <w:lang w:val="fr-FR"/>
        </w:rPr>
        <w:t>une part, et l</w:t>
      </w:r>
      <w:r w:rsidR="00DB6EAF" w:rsidRPr="001C7B59">
        <w:rPr>
          <w:lang w:val="fr-FR"/>
        </w:rPr>
        <w:t>’</w:t>
      </w:r>
      <w:r w:rsidRPr="001C7B59">
        <w:rPr>
          <w:lang w:val="fr-FR"/>
        </w:rPr>
        <w:t>égalité dans les droits personnels en ce qui concerne le choix du nom de famille, d</w:t>
      </w:r>
      <w:r w:rsidR="00DB6EAF" w:rsidRPr="001C7B59">
        <w:rPr>
          <w:lang w:val="fr-FR"/>
        </w:rPr>
        <w:t>’</w:t>
      </w:r>
      <w:r w:rsidRPr="001C7B59">
        <w:rPr>
          <w:lang w:val="fr-FR"/>
        </w:rPr>
        <w:t>une profession ou d</w:t>
      </w:r>
      <w:r w:rsidR="00DB6EAF" w:rsidRPr="001C7B59">
        <w:rPr>
          <w:lang w:val="fr-FR"/>
        </w:rPr>
        <w:t>’</w:t>
      </w:r>
      <w:r w:rsidRPr="001C7B59">
        <w:rPr>
          <w:lang w:val="fr-FR"/>
        </w:rPr>
        <w:t>une occupation d</w:t>
      </w:r>
      <w:r w:rsidR="00DB6EAF" w:rsidRPr="001C7B59">
        <w:rPr>
          <w:lang w:val="fr-FR"/>
        </w:rPr>
        <w:t>’</w:t>
      </w:r>
      <w:r w:rsidRPr="001C7B59">
        <w:rPr>
          <w:lang w:val="fr-FR"/>
        </w:rPr>
        <w:t>autre part.</w:t>
      </w:r>
    </w:p>
    <w:p w:rsidR="004432C5" w:rsidRPr="001C7B59" w:rsidRDefault="004432C5" w:rsidP="008E5553">
      <w:pPr>
        <w:pStyle w:val="SingleTxt"/>
        <w:numPr>
          <w:ilvl w:val="0"/>
          <w:numId w:val="13"/>
        </w:numPr>
        <w:rPr>
          <w:lang w:val="fr-FR"/>
        </w:rPr>
      </w:pPr>
      <w:r w:rsidRPr="001C7B59">
        <w:rPr>
          <w:lang w:val="fr-FR"/>
        </w:rPr>
        <w:t>L</w:t>
      </w:r>
      <w:r w:rsidR="00DB6EAF" w:rsidRPr="001C7B59">
        <w:rPr>
          <w:lang w:val="fr-FR"/>
        </w:rPr>
        <w:t>’</w:t>
      </w:r>
      <w:r w:rsidRPr="001C7B59">
        <w:rPr>
          <w:lang w:val="fr-FR"/>
        </w:rPr>
        <w:t>égalité, en matière de propriété est surtout consacrée par le Code civil. Cependant, le droit coutumier apporte des restrictions, dans certaines régions, quant à l</w:t>
      </w:r>
      <w:r w:rsidR="00DB6EAF" w:rsidRPr="001C7B59">
        <w:rPr>
          <w:lang w:val="fr-FR"/>
        </w:rPr>
        <w:t>’</w:t>
      </w:r>
      <w:r w:rsidRPr="001C7B59">
        <w:rPr>
          <w:lang w:val="fr-FR"/>
        </w:rPr>
        <w:t>accès de la femme à la terre.</w:t>
      </w:r>
    </w:p>
    <w:p w:rsidR="004432C5" w:rsidRPr="001C7B59" w:rsidRDefault="004432C5" w:rsidP="008E5553">
      <w:pPr>
        <w:pStyle w:val="SingleTxt"/>
        <w:numPr>
          <w:ilvl w:val="0"/>
          <w:numId w:val="13"/>
        </w:numPr>
        <w:rPr>
          <w:i/>
          <w:lang w:val="fr-FR"/>
        </w:rPr>
      </w:pPr>
      <w:r w:rsidRPr="001C7B59">
        <w:rPr>
          <w:lang w:val="fr-FR"/>
        </w:rPr>
        <w:t>Il est important de souligner que la Constitution du 25 novembre 2010</w:t>
      </w:r>
      <w:r w:rsidR="001C7B59" w:rsidRPr="001C7B59">
        <w:rPr>
          <w:lang w:val="fr-FR"/>
        </w:rPr>
        <w:t xml:space="preserve"> </w:t>
      </w:r>
      <w:r w:rsidRPr="001C7B59">
        <w:rPr>
          <w:lang w:val="fr-FR"/>
        </w:rPr>
        <w:t xml:space="preserve">dispose en son article 22 que </w:t>
      </w:r>
      <w:r w:rsidRPr="002514CC">
        <w:rPr>
          <w:lang w:val="fr-FR"/>
        </w:rPr>
        <w:t>«</w:t>
      </w:r>
      <w:r w:rsidR="002514CC">
        <w:rPr>
          <w:lang w:val="fr-FR"/>
        </w:rPr>
        <w:t> </w:t>
      </w:r>
      <w:r w:rsidRPr="002514CC">
        <w:rPr>
          <w:lang w:val="fr-FR"/>
        </w:rPr>
        <w:t>L</w:t>
      </w:r>
      <w:r w:rsidR="00DB6EAF" w:rsidRPr="002514CC">
        <w:rPr>
          <w:lang w:val="fr-FR"/>
        </w:rPr>
        <w:t>’</w:t>
      </w:r>
      <w:r w:rsidR="008E5553" w:rsidRPr="002514CC">
        <w:rPr>
          <w:lang w:val="fr-FR"/>
        </w:rPr>
        <w:t>État</w:t>
      </w:r>
      <w:r w:rsidRPr="002514CC">
        <w:rPr>
          <w:lang w:val="fr-FR"/>
        </w:rPr>
        <w:t xml:space="preserve"> veille à l</w:t>
      </w:r>
      <w:r w:rsidR="00DB6EAF" w:rsidRPr="002514CC">
        <w:rPr>
          <w:lang w:val="fr-FR"/>
        </w:rPr>
        <w:t>’</w:t>
      </w:r>
      <w:r w:rsidRPr="002514CC">
        <w:rPr>
          <w:lang w:val="fr-FR"/>
        </w:rPr>
        <w:t>élimination de toute forme de discrimination à l</w:t>
      </w:r>
      <w:r w:rsidR="00DB6EAF" w:rsidRPr="002514CC">
        <w:rPr>
          <w:lang w:val="fr-FR"/>
        </w:rPr>
        <w:t>’</w:t>
      </w:r>
      <w:r w:rsidRPr="002514CC">
        <w:rPr>
          <w:lang w:val="fr-FR"/>
        </w:rPr>
        <w:t>égard de la femme, de la jeune fille et des personnes handicapées. Les politiques publiques dans tous les domaines assurent leur plein épanouissement et leur participation au développement national…</w:t>
      </w:r>
      <w:r w:rsidR="002514CC">
        <w:rPr>
          <w:lang w:val="fr-FR"/>
        </w:rPr>
        <w:t> </w:t>
      </w:r>
      <w:r w:rsidRPr="002514CC">
        <w:rPr>
          <w:lang w:val="fr-FR"/>
        </w:rPr>
        <w:t>».</w:t>
      </w:r>
    </w:p>
    <w:p w:rsidR="002514CC" w:rsidRPr="002514CC" w:rsidRDefault="002514CC" w:rsidP="002514CC">
      <w:pPr>
        <w:pStyle w:val="SingleTxt"/>
        <w:spacing w:after="0" w:line="120" w:lineRule="exact"/>
        <w:rPr>
          <w:sz w:val="10"/>
          <w:lang w:val="fr-FR"/>
        </w:rPr>
      </w:pPr>
    </w:p>
    <w:p w:rsidR="004432C5" w:rsidRDefault="004432C5" w:rsidP="002514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7B59">
        <w:rPr>
          <w:lang w:val="fr-FR"/>
        </w:rPr>
        <w:tab/>
      </w:r>
      <w:r w:rsidRPr="001C7B59">
        <w:rPr>
          <w:lang w:val="fr-FR"/>
        </w:rPr>
        <w:tab/>
        <w:t>Conclusion</w:t>
      </w:r>
    </w:p>
    <w:p w:rsidR="002514CC" w:rsidRPr="002514CC" w:rsidRDefault="002514CC" w:rsidP="002514CC">
      <w:pPr>
        <w:pStyle w:val="SingleTxt"/>
        <w:spacing w:after="0" w:line="120" w:lineRule="exact"/>
        <w:rPr>
          <w:sz w:val="10"/>
          <w:lang w:val="fr-FR"/>
        </w:rPr>
      </w:pPr>
    </w:p>
    <w:p w:rsidR="004432C5" w:rsidRPr="001C7B59" w:rsidRDefault="004432C5" w:rsidP="008E5553">
      <w:pPr>
        <w:pStyle w:val="SingleTxt"/>
        <w:numPr>
          <w:ilvl w:val="0"/>
          <w:numId w:val="13"/>
        </w:numPr>
        <w:rPr>
          <w:lang w:val="fr-FR"/>
        </w:rPr>
      </w:pPr>
      <w:r w:rsidRPr="001C7B59">
        <w:rPr>
          <w:lang w:val="fr-FR"/>
        </w:rPr>
        <w:t>Au terme de ce rapport qui fait état des mesures législatives et administratives et des nouvelles politiques par rapport aux articles de la CEDEF, il ressort que les droits de la femme</w:t>
      </w:r>
      <w:r w:rsidR="001C7B59" w:rsidRPr="001C7B59">
        <w:rPr>
          <w:lang w:val="fr-FR"/>
        </w:rPr>
        <w:t xml:space="preserve"> </w:t>
      </w:r>
      <w:r w:rsidRPr="001C7B59">
        <w:rPr>
          <w:lang w:val="fr-FR"/>
        </w:rPr>
        <w:t>ont connu une avancée significative au Niger de 2005 à 2012. Des progrès ont été réalisés en ce qui concerne la révision et l</w:t>
      </w:r>
      <w:r w:rsidR="00DB6EAF" w:rsidRPr="001C7B59">
        <w:rPr>
          <w:lang w:val="fr-FR"/>
        </w:rPr>
        <w:t>’</w:t>
      </w:r>
      <w:r w:rsidRPr="001C7B59">
        <w:rPr>
          <w:lang w:val="fr-FR"/>
        </w:rPr>
        <w:t>élaboration des textes, l</w:t>
      </w:r>
      <w:r w:rsidR="00DB6EAF" w:rsidRPr="001C7B59">
        <w:rPr>
          <w:lang w:val="fr-FR"/>
        </w:rPr>
        <w:t>’</w:t>
      </w:r>
      <w:r w:rsidRPr="001C7B59">
        <w:rPr>
          <w:lang w:val="fr-FR"/>
        </w:rPr>
        <w:t>adoption de nouveaux mécanismes et le renforcement de ceux qui existaient. De même, des politiques et stratégies sont élaborées ou sont en cours d</w:t>
      </w:r>
      <w:r w:rsidR="00DB6EAF" w:rsidRPr="001C7B59">
        <w:rPr>
          <w:lang w:val="fr-FR"/>
        </w:rPr>
        <w:t>’</w:t>
      </w:r>
      <w:r w:rsidRPr="001C7B59">
        <w:rPr>
          <w:lang w:val="fr-FR"/>
        </w:rPr>
        <w:t>élaboration. Des indicateurs de mesures des phénomènes de violence et de trafic des femmes sont également en cours d</w:t>
      </w:r>
      <w:r w:rsidR="00DB6EAF" w:rsidRPr="001C7B59">
        <w:rPr>
          <w:lang w:val="fr-FR"/>
        </w:rPr>
        <w:t>’</w:t>
      </w:r>
      <w:r w:rsidRPr="001C7B59">
        <w:rPr>
          <w:lang w:val="fr-FR"/>
        </w:rPr>
        <w:t>élaboration. En fait, la mise en œuvre de la CEDEF est désormais un grand chantier au Niger en ce qu</w:t>
      </w:r>
      <w:r w:rsidR="00DB6EAF" w:rsidRPr="001C7B59">
        <w:rPr>
          <w:lang w:val="fr-FR"/>
        </w:rPr>
        <w:t>’</w:t>
      </w:r>
      <w:r w:rsidRPr="001C7B59">
        <w:rPr>
          <w:lang w:val="fr-FR"/>
        </w:rPr>
        <w:t>elle comporte des activités de sensibilisation, de formation, de plaidoyer, de renforcement des capacités des acteurs et d</w:t>
      </w:r>
      <w:r w:rsidR="00DB6EAF" w:rsidRPr="001C7B59">
        <w:rPr>
          <w:lang w:val="fr-FR"/>
        </w:rPr>
        <w:t>’</w:t>
      </w:r>
      <w:r w:rsidRPr="001C7B59">
        <w:rPr>
          <w:lang w:val="fr-FR"/>
        </w:rPr>
        <w:t>élaboration des politiques et stratégies. Certaines de ces activités ont déjà été réalisées, tandis que d</w:t>
      </w:r>
      <w:r w:rsidR="00DB6EAF" w:rsidRPr="001C7B59">
        <w:rPr>
          <w:lang w:val="fr-FR"/>
        </w:rPr>
        <w:t>’</w:t>
      </w:r>
      <w:r w:rsidRPr="001C7B59">
        <w:rPr>
          <w:lang w:val="fr-FR"/>
        </w:rPr>
        <w:t>autres sont en cours ou déjà programmées.</w:t>
      </w:r>
    </w:p>
    <w:p w:rsidR="004432C5" w:rsidRPr="001C7B59" w:rsidRDefault="004432C5" w:rsidP="008E5553">
      <w:pPr>
        <w:pStyle w:val="SingleTxt"/>
        <w:numPr>
          <w:ilvl w:val="0"/>
          <w:numId w:val="13"/>
        </w:numPr>
        <w:rPr>
          <w:lang w:val="fr-FR"/>
        </w:rPr>
      </w:pPr>
      <w:r w:rsidRPr="001C7B59">
        <w:rPr>
          <w:lang w:val="fr-FR"/>
        </w:rPr>
        <w:t>Le Niger se trouve donc à une étape cruciale de la mise en œuvre de la CEDEF et l</w:t>
      </w:r>
      <w:r w:rsidR="00DB6EAF" w:rsidRPr="001C7B59">
        <w:rPr>
          <w:lang w:val="fr-FR"/>
        </w:rPr>
        <w:t>’</w:t>
      </w:r>
      <w:r w:rsidRPr="001C7B59">
        <w:rPr>
          <w:lang w:val="fr-FR"/>
        </w:rPr>
        <w:t>enjeu majeur consiste à consolider les progrès enregistrés et à poursuivre les efforts vers la consécration effective de l</w:t>
      </w:r>
      <w:r w:rsidR="00DB6EAF" w:rsidRPr="001C7B59">
        <w:rPr>
          <w:lang w:val="fr-FR"/>
        </w:rPr>
        <w:t>’</w:t>
      </w:r>
      <w:r w:rsidRPr="001C7B59">
        <w:rPr>
          <w:lang w:val="fr-FR"/>
        </w:rPr>
        <w:t>égalité entre les sexes et l</w:t>
      </w:r>
      <w:r w:rsidR="00DB6EAF" w:rsidRPr="001C7B59">
        <w:rPr>
          <w:lang w:val="fr-FR"/>
        </w:rPr>
        <w:t>’</w:t>
      </w:r>
      <w:r w:rsidRPr="001C7B59">
        <w:rPr>
          <w:lang w:val="fr-FR"/>
        </w:rPr>
        <w:t>autonomisation de la femme. Certes, des retards ont été accusés dans la levée des réserves, l</w:t>
      </w:r>
      <w:r w:rsidR="00DB6EAF" w:rsidRPr="001C7B59">
        <w:rPr>
          <w:lang w:val="fr-FR"/>
        </w:rPr>
        <w:t>’</w:t>
      </w:r>
      <w:r w:rsidRPr="001C7B59">
        <w:rPr>
          <w:lang w:val="fr-FR"/>
        </w:rPr>
        <w:t>adoption du Code de statut personnel ou encore la ratification du Protocole à la Charte africaine des droits de l</w:t>
      </w:r>
      <w:r w:rsidR="00DB6EAF" w:rsidRPr="001C7B59">
        <w:rPr>
          <w:lang w:val="fr-FR"/>
        </w:rPr>
        <w:t>’</w:t>
      </w:r>
      <w:r w:rsidR="00B22D00">
        <w:rPr>
          <w:lang w:val="fr-FR"/>
        </w:rPr>
        <w:t>homme</w:t>
      </w:r>
      <w:r w:rsidRPr="001C7B59">
        <w:rPr>
          <w:lang w:val="fr-FR"/>
        </w:rPr>
        <w:t xml:space="preserve"> et des peuples relatif aux droits des femmes en Afrique, mais ils ne doivent pas dissimuler les importants progrès enregistrés et consolidés</w:t>
      </w:r>
      <w:r w:rsidR="00DB6EAF" w:rsidRPr="001C7B59">
        <w:rPr>
          <w:lang w:val="fr-FR"/>
        </w:rPr>
        <w:t> :</w:t>
      </w:r>
      <w:r w:rsidRPr="001C7B59">
        <w:rPr>
          <w:lang w:val="fr-FR"/>
        </w:rPr>
        <w:t xml:space="preserve"> c</w:t>
      </w:r>
      <w:r w:rsidR="00DB6EAF" w:rsidRPr="001C7B59">
        <w:rPr>
          <w:lang w:val="fr-FR"/>
        </w:rPr>
        <w:t>’</w:t>
      </w:r>
      <w:r w:rsidRPr="001C7B59">
        <w:rPr>
          <w:lang w:val="fr-FR"/>
        </w:rPr>
        <w:t>est le cas de l</w:t>
      </w:r>
      <w:r w:rsidR="00DB6EAF" w:rsidRPr="001C7B59">
        <w:rPr>
          <w:lang w:val="fr-FR"/>
        </w:rPr>
        <w:t>’</w:t>
      </w:r>
      <w:r w:rsidRPr="001C7B59">
        <w:rPr>
          <w:lang w:val="fr-FR"/>
        </w:rPr>
        <w:t>adoption de la loi sur la santé de la reproduction, de la politique nationale en matière de genre, la mise en œuvre de projets et programmes destinés à rendre effective l</w:t>
      </w:r>
      <w:r w:rsidR="00DB6EAF" w:rsidRPr="001C7B59">
        <w:rPr>
          <w:lang w:val="fr-FR"/>
        </w:rPr>
        <w:t>’</w:t>
      </w:r>
      <w:r w:rsidRPr="001C7B59">
        <w:rPr>
          <w:lang w:val="fr-FR"/>
        </w:rPr>
        <w:t>égalité entre les sexes, l</w:t>
      </w:r>
      <w:r w:rsidR="00DB6EAF" w:rsidRPr="001C7B59">
        <w:rPr>
          <w:lang w:val="fr-FR"/>
        </w:rPr>
        <w:t>’</w:t>
      </w:r>
      <w:r w:rsidRPr="001C7B59">
        <w:rPr>
          <w:lang w:val="fr-FR"/>
        </w:rPr>
        <w:t xml:space="preserve">amélioration des effectifs féminins au sein du Gouvernement. </w:t>
      </w:r>
      <w:r w:rsidR="00E15F6D" w:rsidRPr="001C7B59">
        <w:rPr>
          <w:lang w:val="fr-FR"/>
        </w:rPr>
        <w:t>À</w:t>
      </w:r>
      <w:r w:rsidRPr="001C7B59">
        <w:rPr>
          <w:lang w:val="fr-FR"/>
        </w:rPr>
        <w:t xml:space="preserve"> cela s</w:t>
      </w:r>
      <w:r w:rsidR="00DB6EAF" w:rsidRPr="001C7B59">
        <w:rPr>
          <w:lang w:val="fr-FR"/>
        </w:rPr>
        <w:t>’</w:t>
      </w:r>
      <w:r w:rsidRPr="001C7B59">
        <w:rPr>
          <w:lang w:val="fr-FR"/>
        </w:rPr>
        <w:t>ajoutent les réflexions en cours sur la nécessité de réviser la loi sur les quotas, ainsi que l</w:t>
      </w:r>
      <w:r w:rsidR="00DB6EAF" w:rsidRPr="001C7B59">
        <w:rPr>
          <w:lang w:val="fr-FR"/>
        </w:rPr>
        <w:t>’</w:t>
      </w:r>
      <w:r w:rsidRPr="001C7B59">
        <w:rPr>
          <w:lang w:val="fr-FR"/>
        </w:rPr>
        <w:t>initiative relative à la révision du Code de la nationalité nigérienne. Le Niger a aussi pris en compte l</w:t>
      </w:r>
      <w:r w:rsidR="00DB6EAF" w:rsidRPr="001C7B59">
        <w:rPr>
          <w:lang w:val="fr-FR"/>
        </w:rPr>
        <w:t>’</w:t>
      </w:r>
      <w:r w:rsidRPr="001C7B59">
        <w:rPr>
          <w:lang w:val="fr-FR"/>
        </w:rPr>
        <w:t>une des préoccupations essentielles du Comité pour l</w:t>
      </w:r>
      <w:r w:rsidR="00DB6EAF" w:rsidRPr="001C7B59">
        <w:rPr>
          <w:lang w:val="fr-FR"/>
        </w:rPr>
        <w:t>’</w:t>
      </w:r>
      <w:r w:rsidRPr="001C7B59">
        <w:rPr>
          <w:lang w:val="fr-FR"/>
        </w:rPr>
        <w:t>élimination des discriminations à l</w:t>
      </w:r>
      <w:r w:rsidR="00DB6EAF" w:rsidRPr="001C7B59">
        <w:rPr>
          <w:lang w:val="fr-FR"/>
        </w:rPr>
        <w:t>’</w:t>
      </w:r>
      <w:r w:rsidRPr="001C7B59">
        <w:rPr>
          <w:lang w:val="fr-FR"/>
        </w:rPr>
        <w:t>égard des femmes, à savoir, la levée des réserves émises lors de la ratification de la CEDEF à travers la création en 2012, d</w:t>
      </w:r>
      <w:r w:rsidR="00DB6EAF" w:rsidRPr="001C7B59">
        <w:rPr>
          <w:lang w:val="fr-FR"/>
        </w:rPr>
        <w:t>’</w:t>
      </w:r>
      <w:r w:rsidRPr="001C7B59">
        <w:rPr>
          <w:lang w:val="fr-FR"/>
        </w:rPr>
        <w:t xml:space="preserve">un Comité chargé du suivi des recommandations adressées au Niger par le Comité lors de sa </w:t>
      </w:r>
      <w:r w:rsidR="00586FD4">
        <w:rPr>
          <w:lang w:val="fr-FR"/>
        </w:rPr>
        <w:t>trente-huitièm</w:t>
      </w:r>
      <w:r w:rsidRPr="001C7B59">
        <w:rPr>
          <w:lang w:val="fr-FR"/>
        </w:rPr>
        <w:t>e session en 2007.Ce Comité est composé des représentants de la présidence, de la primature, des ministères techniques et de la société civile.</w:t>
      </w:r>
    </w:p>
    <w:p w:rsidR="004432C5" w:rsidRPr="001C7B59" w:rsidRDefault="004432C5" w:rsidP="008E5553">
      <w:pPr>
        <w:pStyle w:val="SingleTxt"/>
        <w:numPr>
          <w:ilvl w:val="0"/>
          <w:numId w:val="13"/>
        </w:numPr>
        <w:rPr>
          <w:lang w:val="fr-FR"/>
        </w:rPr>
      </w:pPr>
      <w:r w:rsidRPr="001C7B59">
        <w:rPr>
          <w:lang w:val="fr-FR"/>
        </w:rPr>
        <w:t>Néanmoins, il est important de souligner que certains aspects de la mise en œuvre de la CEDEF s</w:t>
      </w:r>
      <w:r w:rsidR="00DB6EAF" w:rsidRPr="001C7B59">
        <w:rPr>
          <w:lang w:val="fr-FR"/>
        </w:rPr>
        <w:t>’</w:t>
      </w:r>
      <w:r w:rsidRPr="001C7B59">
        <w:rPr>
          <w:lang w:val="fr-FR"/>
        </w:rPr>
        <w:t>inscrivent dans le temps parce qu</w:t>
      </w:r>
      <w:r w:rsidR="00DB6EAF" w:rsidRPr="001C7B59">
        <w:rPr>
          <w:lang w:val="fr-FR"/>
        </w:rPr>
        <w:t>’</w:t>
      </w:r>
      <w:r w:rsidRPr="001C7B59">
        <w:rPr>
          <w:lang w:val="fr-FR"/>
        </w:rPr>
        <w:t>ils tendent à modifier des attitudes culturelles pour obtenir des changements profonds. Les performances nécessitent donc d</w:t>
      </w:r>
      <w:r w:rsidR="00DB6EAF" w:rsidRPr="001C7B59">
        <w:rPr>
          <w:lang w:val="fr-FR"/>
        </w:rPr>
        <w:t>’</w:t>
      </w:r>
      <w:r w:rsidRPr="001C7B59">
        <w:rPr>
          <w:lang w:val="fr-FR"/>
        </w:rPr>
        <w:t>être renforcées par la mise en œuvre d</w:t>
      </w:r>
      <w:r w:rsidR="00DB6EAF" w:rsidRPr="001C7B59">
        <w:rPr>
          <w:lang w:val="fr-FR"/>
        </w:rPr>
        <w:t>’</w:t>
      </w:r>
      <w:r w:rsidRPr="001C7B59">
        <w:rPr>
          <w:lang w:val="fr-FR"/>
        </w:rPr>
        <w:t>actions complémentaires au triple plan politique, économique et social. Au chapitre de ces actions complémentaires, l</w:t>
      </w:r>
      <w:r w:rsidR="00DB6EAF" w:rsidRPr="001C7B59">
        <w:rPr>
          <w:lang w:val="fr-FR"/>
        </w:rPr>
        <w:t>’</w:t>
      </w:r>
      <w:r w:rsidRPr="001C7B59">
        <w:rPr>
          <w:lang w:val="fr-FR"/>
        </w:rPr>
        <w:t xml:space="preserve">adoption du Protocole </w:t>
      </w:r>
      <w:r w:rsidR="00E15F6D">
        <w:rPr>
          <w:lang w:val="fr-FR"/>
        </w:rPr>
        <w:t>additionnel</w:t>
      </w:r>
      <w:r w:rsidRPr="001C7B59">
        <w:rPr>
          <w:lang w:val="fr-FR"/>
        </w:rPr>
        <w:t xml:space="preserve"> à la Charte </w:t>
      </w:r>
      <w:r w:rsidR="007B382B">
        <w:rPr>
          <w:lang w:val="fr-FR"/>
        </w:rPr>
        <w:t>africain</w:t>
      </w:r>
      <w:r w:rsidRPr="001C7B59">
        <w:rPr>
          <w:lang w:val="fr-FR"/>
        </w:rPr>
        <w:t xml:space="preserve">e des </w:t>
      </w:r>
      <w:r w:rsidR="00D60176" w:rsidRPr="001C7B59">
        <w:rPr>
          <w:lang w:val="fr-FR"/>
        </w:rPr>
        <w:t>droits de l’homme</w:t>
      </w:r>
      <w:r w:rsidRPr="001C7B59">
        <w:rPr>
          <w:lang w:val="fr-FR"/>
        </w:rPr>
        <w:t xml:space="preserve"> et du Code du statut personnel constitueront un pas important vers la consécration d</w:t>
      </w:r>
      <w:r w:rsidR="00DB6EAF" w:rsidRPr="001C7B59">
        <w:rPr>
          <w:lang w:val="fr-FR"/>
        </w:rPr>
        <w:t>’</w:t>
      </w:r>
      <w:r w:rsidRPr="001C7B59">
        <w:rPr>
          <w:lang w:val="fr-FR"/>
        </w:rPr>
        <w:t>une véritable solidarité entre les sexes en vue de réussir le combat contre la pauvreté.</w:t>
      </w:r>
    </w:p>
    <w:p w:rsidR="004432C5" w:rsidRPr="001C7B59" w:rsidRDefault="004432C5" w:rsidP="008E5553">
      <w:pPr>
        <w:pStyle w:val="SingleTxt"/>
        <w:numPr>
          <w:ilvl w:val="0"/>
          <w:numId w:val="13"/>
        </w:numPr>
        <w:rPr>
          <w:lang w:val="fr-FR"/>
        </w:rPr>
      </w:pPr>
      <w:r w:rsidRPr="001C7B59">
        <w:rPr>
          <w:lang w:val="fr-FR"/>
        </w:rPr>
        <w:t>Conscient de ces défis, le Niger s</w:t>
      </w:r>
      <w:r w:rsidR="00DB6EAF" w:rsidRPr="001C7B59">
        <w:rPr>
          <w:lang w:val="fr-FR"/>
        </w:rPr>
        <w:t>’</w:t>
      </w:r>
      <w:r w:rsidRPr="001C7B59">
        <w:rPr>
          <w:lang w:val="fr-FR"/>
        </w:rPr>
        <w:t>est engagé, avec l</w:t>
      </w:r>
      <w:r w:rsidR="00DB6EAF" w:rsidRPr="001C7B59">
        <w:rPr>
          <w:lang w:val="fr-FR"/>
        </w:rPr>
        <w:t>’</w:t>
      </w:r>
      <w:r w:rsidRPr="001C7B59">
        <w:rPr>
          <w:lang w:val="fr-FR"/>
        </w:rPr>
        <w:t>appui de ses partenaires, à développer des initiatives concrètes</w:t>
      </w:r>
      <w:r w:rsidR="001C7B59" w:rsidRPr="001C7B59">
        <w:rPr>
          <w:lang w:val="fr-FR"/>
        </w:rPr>
        <w:t xml:space="preserve"> </w:t>
      </w:r>
      <w:r w:rsidRPr="001C7B59">
        <w:rPr>
          <w:lang w:val="fr-FR"/>
        </w:rPr>
        <w:t>qui contribueront sans nul doute à l</w:t>
      </w:r>
      <w:r w:rsidR="00DB6EAF" w:rsidRPr="001C7B59">
        <w:rPr>
          <w:lang w:val="fr-FR"/>
        </w:rPr>
        <w:t>’</w:t>
      </w:r>
      <w:r w:rsidRPr="001C7B59">
        <w:rPr>
          <w:lang w:val="fr-FR"/>
        </w:rPr>
        <w:t xml:space="preserve">effectivité des droits de la femme. </w:t>
      </w:r>
    </w:p>
    <w:p w:rsidR="004432C5" w:rsidRPr="001C7B59" w:rsidRDefault="004432C5" w:rsidP="008E5553">
      <w:pPr>
        <w:pStyle w:val="SingleTxt"/>
        <w:numPr>
          <w:ilvl w:val="0"/>
          <w:numId w:val="13"/>
        </w:numPr>
        <w:rPr>
          <w:lang w:val="fr-FR"/>
        </w:rPr>
      </w:pPr>
      <w:r w:rsidRPr="001C7B59">
        <w:rPr>
          <w:lang w:val="fr-FR"/>
        </w:rPr>
        <w:t>En définitive, l</w:t>
      </w:r>
      <w:r w:rsidR="00DB6EAF" w:rsidRPr="001C7B59">
        <w:rPr>
          <w:lang w:val="fr-FR"/>
        </w:rPr>
        <w:t>’</w:t>
      </w:r>
      <w:r w:rsidR="008E5553">
        <w:rPr>
          <w:lang w:val="fr-FR"/>
        </w:rPr>
        <w:t>État</w:t>
      </w:r>
      <w:r w:rsidRPr="001C7B59">
        <w:rPr>
          <w:lang w:val="fr-FR"/>
        </w:rPr>
        <w:t xml:space="preserve"> du Niger reste déterminé à promouvoir et à protéger davantage les droits et libertés énoncés par la Convention sur l</w:t>
      </w:r>
      <w:r w:rsidR="00DB6EAF" w:rsidRPr="001C7B59">
        <w:rPr>
          <w:lang w:val="fr-FR"/>
        </w:rPr>
        <w:t>’</w:t>
      </w:r>
      <w:r w:rsidR="007B382B">
        <w:rPr>
          <w:lang w:val="fr-FR"/>
        </w:rPr>
        <w:t>élimination</w:t>
      </w:r>
      <w:r w:rsidRPr="001C7B59">
        <w:rPr>
          <w:lang w:val="fr-FR"/>
        </w:rPr>
        <w:t xml:space="preserve"> de toutes les </w:t>
      </w:r>
      <w:r w:rsidR="007B382B">
        <w:rPr>
          <w:lang w:val="fr-FR"/>
        </w:rPr>
        <w:t>forme</w:t>
      </w:r>
      <w:r w:rsidRPr="001C7B59">
        <w:rPr>
          <w:lang w:val="fr-FR"/>
        </w:rPr>
        <w:t xml:space="preserve">s de </w:t>
      </w:r>
      <w:r w:rsidR="001C7B59" w:rsidRPr="001C7B59">
        <w:rPr>
          <w:lang w:val="fr-FR"/>
        </w:rPr>
        <w:t>discrimination</w:t>
      </w:r>
      <w:r w:rsidRPr="001C7B59">
        <w:rPr>
          <w:lang w:val="fr-FR"/>
        </w:rPr>
        <w:t xml:space="preserve"> à l</w:t>
      </w:r>
      <w:r w:rsidR="00DB6EAF" w:rsidRPr="001C7B59">
        <w:rPr>
          <w:lang w:val="fr-FR"/>
        </w:rPr>
        <w:t>’</w:t>
      </w:r>
      <w:r w:rsidRPr="001C7B59">
        <w:rPr>
          <w:lang w:val="fr-FR"/>
        </w:rPr>
        <w:t>égard</w:t>
      </w:r>
      <w:r w:rsidR="001C7B59" w:rsidRPr="001C7B59">
        <w:rPr>
          <w:lang w:val="fr-FR"/>
        </w:rPr>
        <w:t xml:space="preserve"> </w:t>
      </w:r>
      <w:r w:rsidRPr="001C7B59">
        <w:rPr>
          <w:lang w:val="fr-FR"/>
        </w:rPr>
        <w:t xml:space="preserve">des </w:t>
      </w:r>
      <w:r w:rsidR="001C7B59" w:rsidRPr="001C7B59">
        <w:rPr>
          <w:lang w:val="fr-FR"/>
        </w:rPr>
        <w:t>femme</w:t>
      </w:r>
      <w:r w:rsidRPr="001C7B59">
        <w:rPr>
          <w:lang w:val="fr-FR"/>
        </w:rPr>
        <w:t>s.</w:t>
      </w:r>
    </w:p>
    <w:p w:rsidR="004432C5" w:rsidRPr="008E5553" w:rsidRDefault="008E5553" w:rsidP="008E555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14:anchorId="7C9C606E" wp14:editId="162C58DF">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432C5" w:rsidRPr="008E5553" w:rsidSect="0003500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16:31:00Z" w:initials="Start">
    <w:p w:rsidR="006E6940" w:rsidRPr="004432C5" w:rsidRDefault="006E6940">
      <w:pPr>
        <w:pStyle w:val="CommentText"/>
        <w:rPr>
          <w:lang w:val="en-US"/>
        </w:rPr>
      </w:pPr>
      <w:r>
        <w:fldChar w:fldCharType="begin"/>
      </w:r>
      <w:r w:rsidRPr="004432C5">
        <w:rPr>
          <w:rStyle w:val="CommentReference"/>
          <w:lang w:val="en-US"/>
        </w:rPr>
        <w:instrText xml:space="preserve"> </w:instrText>
      </w:r>
      <w:r w:rsidRPr="004432C5">
        <w:rPr>
          <w:lang w:val="en-US"/>
        </w:rPr>
        <w:instrText>PAGE \# "'Page: '#'</w:instrText>
      </w:r>
      <w:r w:rsidRPr="004432C5">
        <w:rPr>
          <w:lang w:val="en-US"/>
        </w:rPr>
        <w:br/>
        <w:instrText>'"</w:instrText>
      </w:r>
      <w:r w:rsidRPr="004432C5">
        <w:rPr>
          <w:rStyle w:val="CommentReference"/>
          <w:lang w:val="en-US"/>
        </w:rPr>
        <w:instrText xml:space="preserve"> </w:instrText>
      </w:r>
      <w:r>
        <w:fldChar w:fldCharType="end"/>
      </w:r>
      <w:r>
        <w:rPr>
          <w:rStyle w:val="CommentReference"/>
        </w:rPr>
        <w:annotationRef/>
      </w:r>
      <w:r w:rsidRPr="004432C5">
        <w:rPr>
          <w:lang w:val="en-US"/>
        </w:rPr>
        <w:t>&lt;&lt;ODS JOB NO&gt;&gt;N1529956F&lt;&lt;ODS JOB NO&gt;&gt;</w:t>
      </w:r>
    </w:p>
    <w:p w:rsidR="006E6940" w:rsidRDefault="006E6940">
      <w:pPr>
        <w:pStyle w:val="CommentText"/>
      </w:pPr>
      <w:r>
        <w:t>&lt;&lt;ODS DOC SYMBOL1&gt;&gt;CEDAW/C/NER/3-4&lt;&lt;ODS DOC SYMBOL1&gt;&gt;</w:t>
      </w:r>
    </w:p>
    <w:p w:rsidR="006E6940" w:rsidRDefault="006E694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40" w:rsidRDefault="006E6940" w:rsidP="00F3330B">
      <w:pPr>
        <w:spacing w:line="240" w:lineRule="auto"/>
      </w:pPr>
      <w:r>
        <w:separator/>
      </w:r>
    </w:p>
  </w:endnote>
  <w:endnote w:type="continuationSeparator" w:id="0">
    <w:p w:rsidR="006E6940" w:rsidRDefault="006E694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6940" w:rsidTr="0003500D">
      <w:tc>
        <w:tcPr>
          <w:tcW w:w="5028" w:type="dxa"/>
          <w:shd w:val="clear" w:color="auto" w:fill="auto"/>
        </w:tcPr>
        <w:p w:rsidR="006E6940" w:rsidRPr="0003500D" w:rsidRDefault="006E6940" w:rsidP="000350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32AD">
            <w:rPr>
              <w:b w:val="0"/>
              <w:w w:val="103"/>
              <w:sz w:val="14"/>
            </w:rPr>
            <w:t>15-17124</w:t>
          </w:r>
          <w:r>
            <w:rPr>
              <w:b w:val="0"/>
              <w:w w:val="103"/>
              <w:sz w:val="14"/>
            </w:rPr>
            <w:fldChar w:fldCharType="end"/>
          </w:r>
        </w:p>
      </w:tc>
      <w:tc>
        <w:tcPr>
          <w:tcW w:w="5028" w:type="dxa"/>
          <w:shd w:val="clear" w:color="auto" w:fill="auto"/>
        </w:tcPr>
        <w:p w:rsidR="006E6940" w:rsidRPr="0003500D" w:rsidRDefault="006E6940" w:rsidP="0003500D">
          <w:pPr>
            <w:pStyle w:val="Footer"/>
            <w:rPr>
              <w:w w:val="103"/>
            </w:rPr>
          </w:pPr>
          <w:r>
            <w:rPr>
              <w:w w:val="103"/>
            </w:rPr>
            <w:fldChar w:fldCharType="begin"/>
          </w:r>
          <w:r>
            <w:rPr>
              <w:w w:val="103"/>
            </w:rPr>
            <w:instrText xml:space="preserve"> PAGE  \* Arabic  \* MERGEFORMAT </w:instrText>
          </w:r>
          <w:r>
            <w:rPr>
              <w:w w:val="103"/>
            </w:rPr>
            <w:fldChar w:fldCharType="separate"/>
          </w:r>
          <w:r w:rsidR="009A001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A0011">
            <w:rPr>
              <w:noProof/>
              <w:w w:val="103"/>
            </w:rPr>
            <w:t>2</w:t>
          </w:r>
          <w:r>
            <w:rPr>
              <w:w w:val="103"/>
            </w:rPr>
            <w:fldChar w:fldCharType="end"/>
          </w:r>
        </w:p>
      </w:tc>
    </w:tr>
  </w:tbl>
  <w:p w:rsidR="006E6940" w:rsidRPr="0003500D" w:rsidRDefault="006E6940" w:rsidP="00035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6940" w:rsidTr="0003500D">
      <w:tc>
        <w:tcPr>
          <w:tcW w:w="5028" w:type="dxa"/>
          <w:shd w:val="clear" w:color="auto" w:fill="auto"/>
        </w:tcPr>
        <w:p w:rsidR="006E6940" w:rsidRPr="0003500D" w:rsidRDefault="006E6940" w:rsidP="000350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A1ABC">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1ABC">
            <w:rPr>
              <w:noProof/>
              <w:w w:val="103"/>
            </w:rPr>
            <w:t>33</w:t>
          </w:r>
          <w:r>
            <w:rPr>
              <w:w w:val="103"/>
            </w:rPr>
            <w:fldChar w:fldCharType="end"/>
          </w:r>
        </w:p>
      </w:tc>
      <w:tc>
        <w:tcPr>
          <w:tcW w:w="5028" w:type="dxa"/>
          <w:shd w:val="clear" w:color="auto" w:fill="auto"/>
        </w:tcPr>
        <w:p w:rsidR="006E6940" w:rsidRPr="0003500D" w:rsidRDefault="006E6940" w:rsidP="000350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32AD">
            <w:rPr>
              <w:b w:val="0"/>
              <w:w w:val="103"/>
              <w:sz w:val="14"/>
            </w:rPr>
            <w:t>15-17124</w:t>
          </w:r>
          <w:r>
            <w:rPr>
              <w:b w:val="0"/>
              <w:w w:val="103"/>
              <w:sz w:val="14"/>
            </w:rPr>
            <w:fldChar w:fldCharType="end"/>
          </w:r>
        </w:p>
      </w:tc>
    </w:tr>
  </w:tbl>
  <w:p w:rsidR="006E6940" w:rsidRPr="0003500D" w:rsidRDefault="006E6940" w:rsidP="00035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6E6940">
    <w:pPr>
      <w:pStyle w:val="Footer"/>
    </w:pPr>
    <w:r>
      <w:rPr>
        <w:noProof/>
        <w:lang w:val="en-GB" w:eastAsia="en-GB"/>
      </w:rPr>
      <w:drawing>
        <wp:anchor distT="0" distB="0" distL="114300" distR="114300" simplePos="0" relativeHeight="251658240" behindDoc="0" locked="0" layoutInCell="1" allowOverlap="1" wp14:anchorId="7557E475" wp14:editId="47E4661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NER/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NER/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E6940" w:rsidTr="0003500D">
      <w:tc>
        <w:tcPr>
          <w:tcW w:w="3758" w:type="dxa"/>
        </w:tcPr>
        <w:p w:rsidR="006E6940" w:rsidRDefault="006E6940" w:rsidP="0003500D">
          <w:pPr>
            <w:pStyle w:val="Footer"/>
            <w:rPr>
              <w:b w:val="0"/>
              <w:sz w:val="20"/>
            </w:rPr>
          </w:pPr>
          <w:r>
            <w:rPr>
              <w:b w:val="0"/>
              <w:sz w:val="20"/>
            </w:rPr>
            <w:t>15-17124X (F)</w:t>
          </w:r>
        </w:p>
        <w:p w:rsidR="006E6940" w:rsidRPr="0003500D" w:rsidRDefault="006E6940" w:rsidP="000350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132AD">
            <w:rPr>
              <w:rFonts w:ascii="Barcode 3 of 9 by request" w:hAnsi="Barcode 3 of 9 by request"/>
              <w:b w:val="0"/>
              <w:spacing w:val="0"/>
              <w:w w:val="100"/>
              <w:sz w:val="24"/>
            </w:rPr>
            <w:t>*1517124*</w:t>
          </w:r>
          <w:r>
            <w:rPr>
              <w:rFonts w:ascii="Barcode 3 of 9 by request" w:hAnsi="Barcode 3 of 9 by request"/>
              <w:b w:val="0"/>
              <w:spacing w:val="0"/>
              <w:w w:val="100"/>
              <w:sz w:val="24"/>
            </w:rPr>
            <w:fldChar w:fldCharType="end"/>
          </w:r>
        </w:p>
      </w:tc>
      <w:tc>
        <w:tcPr>
          <w:tcW w:w="5028" w:type="dxa"/>
        </w:tcPr>
        <w:p w:rsidR="006E6940" w:rsidRDefault="006E6940" w:rsidP="0003500D">
          <w:pPr>
            <w:pStyle w:val="Footer"/>
            <w:spacing w:line="240" w:lineRule="atLeast"/>
            <w:jc w:val="right"/>
            <w:rPr>
              <w:b w:val="0"/>
              <w:sz w:val="20"/>
            </w:rPr>
          </w:pPr>
          <w:r>
            <w:rPr>
              <w:b w:val="0"/>
              <w:noProof/>
              <w:sz w:val="20"/>
              <w:lang w:val="en-GB" w:eastAsia="en-GB"/>
            </w:rPr>
            <w:drawing>
              <wp:inline distT="0" distB="0" distL="0" distR="0" wp14:anchorId="202CAD43" wp14:editId="6CFFAC5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E6940" w:rsidRPr="0003500D" w:rsidRDefault="006E6940" w:rsidP="0003500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40" w:rsidRPr="003E47D8" w:rsidRDefault="006E6940" w:rsidP="003E47D8">
      <w:pPr>
        <w:pStyle w:val="Footer"/>
        <w:spacing w:after="80"/>
        <w:rPr>
          <w:sz w:val="16"/>
        </w:rPr>
      </w:pPr>
      <w:r w:rsidRPr="003E47D8">
        <w:rPr>
          <w:sz w:val="16"/>
        </w:rPr>
        <w:t>__________________</w:t>
      </w:r>
    </w:p>
  </w:footnote>
  <w:footnote w:type="continuationSeparator" w:id="0">
    <w:p w:rsidR="006E6940" w:rsidRPr="003E47D8" w:rsidRDefault="006E694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E6940" w:rsidTr="0003500D">
      <w:trPr>
        <w:trHeight w:hRule="exact" w:val="864"/>
      </w:trPr>
      <w:tc>
        <w:tcPr>
          <w:tcW w:w="4838" w:type="dxa"/>
          <w:shd w:val="clear" w:color="auto" w:fill="auto"/>
          <w:vAlign w:val="bottom"/>
        </w:tcPr>
        <w:p w:rsidR="006E6940" w:rsidRPr="0003500D" w:rsidRDefault="006E6940" w:rsidP="000350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32AD">
            <w:rPr>
              <w:b/>
              <w:color w:val="000000"/>
            </w:rPr>
            <w:t>CEDAW/C/NER/3-4</w:t>
          </w:r>
          <w:r>
            <w:rPr>
              <w:b/>
              <w:color w:val="000000"/>
            </w:rPr>
            <w:fldChar w:fldCharType="end"/>
          </w:r>
        </w:p>
      </w:tc>
      <w:tc>
        <w:tcPr>
          <w:tcW w:w="5028" w:type="dxa"/>
          <w:shd w:val="clear" w:color="auto" w:fill="auto"/>
          <w:vAlign w:val="bottom"/>
        </w:tcPr>
        <w:p w:rsidR="006E6940" w:rsidRDefault="006E6940" w:rsidP="0003500D">
          <w:pPr>
            <w:pStyle w:val="Header"/>
          </w:pPr>
        </w:p>
      </w:tc>
    </w:tr>
  </w:tbl>
  <w:p w:rsidR="006E6940" w:rsidRPr="0003500D" w:rsidRDefault="006E6940" w:rsidP="000350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E6940" w:rsidTr="0003500D">
      <w:trPr>
        <w:trHeight w:hRule="exact" w:val="864"/>
      </w:trPr>
      <w:tc>
        <w:tcPr>
          <w:tcW w:w="4838" w:type="dxa"/>
          <w:shd w:val="clear" w:color="auto" w:fill="auto"/>
          <w:vAlign w:val="bottom"/>
        </w:tcPr>
        <w:p w:rsidR="006E6940" w:rsidRDefault="006E6940" w:rsidP="0003500D">
          <w:pPr>
            <w:pStyle w:val="Header"/>
          </w:pPr>
        </w:p>
      </w:tc>
      <w:tc>
        <w:tcPr>
          <w:tcW w:w="5028" w:type="dxa"/>
          <w:shd w:val="clear" w:color="auto" w:fill="auto"/>
          <w:vAlign w:val="bottom"/>
        </w:tcPr>
        <w:p w:rsidR="006E6940" w:rsidRPr="0003500D" w:rsidRDefault="006E6940" w:rsidP="000350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32AD">
            <w:rPr>
              <w:b/>
              <w:color w:val="000000"/>
            </w:rPr>
            <w:t>CEDAW/C/NER/3-4</w:t>
          </w:r>
          <w:r>
            <w:rPr>
              <w:b/>
              <w:color w:val="000000"/>
            </w:rPr>
            <w:fldChar w:fldCharType="end"/>
          </w:r>
        </w:p>
      </w:tc>
    </w:tr>
  </w:tbl>
  <w:p w:rsidR="006E6940" w:rsidRPr="0003500D" w:rsidRDefault="006E6940" w:rsidP="000350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E6940" w:rsidTr="0003500D">
      <w:trPr>
        <w:gridAfter w:val="1"/>
        <w:wAfter w:w="12" w:type="dxa"/>
        <w:trHeight w:hRule="exact" w:val="864"/>
      </w:trPr>
      <w:tc>
        <w:tcPr>
          <w:tcW w:w="1267" w:type="dxa"/>
          <w:tcBorders>
            <w:bottom w:val="single" w:sz="4" w:space="0" w:color="auto"/>
          </w:tcBorders>
          <w:shd w:val="clear" w:color="auto" w:fill="auto"/>
          <w:vAlign w:val="bottom"/>
        </w:tcPr>
        <w:p w:rsidR="006E6940" w:rsidRDefault="006E6940" w:rsidP="0003500D">
          <w:pPr>
            <w:pStyle w:val="Header"/>
            <w:spacing w:after="120"/>
          </w:pPr>
        </w:p>
      </w:tc>
      <w:tc>
        <w:tcPr>
          <w:tcW w:w="2059" w:type="dxa"/>
          <w:tcBorders>
            <w:bottom w:val="single" w:sz="4" w:space="0" w:color="auto"/>
          </w:tcBorders>
          <w:shd w:val="clear" w:color="auto" w:fill="auto"/>
          <w:vAlign w:val="bottom"/>
        </w:tcPr>
        <w:p w:rsidR="006E6940" w:rsidRPr="0003500D" w:rsidRDefault="006E6940" w:rsidP="000350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E6940" w:rsidRDefault="006E6940" w:rsidP="0003500D">
          <w:pPr>
            <w:pStyle w:val="Header"/>
            <w:spacing w:after="120"/>
          </w:pPr>
        </w:p>
      </w:tc>
      <w:tc>
        <w:tcPr>
          <w:tcW w:w="6523" w:type="dxa"/>
          <w:gridSpan w:val="3"/>
          <w:tcBorders>
            <w:bottom w:val="single" w:sz="4" w:space="0" w:color="auto"/>
          </w:tcBorders>
          <w:shd w:val="clear" w:color="auto" w:fill="auto"/>
          <w:vAlign w:val="bottom"/>
        </w:tcPr>
        <w:p w:rsidR="006E6940" w:rsidRPr="0003500D" w:rsidRDefault="006E6940" w:rsidP="0003500D">
          <w:pPr>
            <w:spacing w:after="80" w:line="240" w:lineRule="auto"/>
            <w:jc w:val="right"/>
            <w:rPr>
              <w:position w:val="-4"/>
            </w:rPr>
          </w:pPr>
          <w:r>
            <w:rPr>
              <w:position w:val="-4"/>
              <w:sz w:val="40"/>
            </w:rPr>
            <w:t>CEDAW</w:t>
          </w:r>
          <w:r>
            <w:rPr>
              <w:position w:val="-4"/>
            </w:rPr>
            <w:t>/C/NER/3-4</w:t>
          </w:r>
        </w:p>
      </w:tc>
    </w:tr>
    <w:tr w:rsidR="006E6940" w:rsidRPr="0003500D" w:rsidTr="0003500D">
      <w:trPr>
        <w:trHeight w:hRule="exact" w:val="2880"/>
      </w:trPr>
      <w:tc>
        <w:tcPr>
          <w:tcW w:w="1267" w:type="dxa"/>
          <w:tcBorders>
            <w:top w:val="single" w:sz="4" w:space="0" w:color="auto"/>
            <w:bottom w:val="single" w:sz="12" w:space="0" w:color="auto"/>
          </w:tcBorders>
          <w:shd w:val="clear" w:color="auto" w:fill="auto"/>
        </w:tcPr>
        <w:p w:rsidR="006E6940" w:rsidRPr="0003500D" w:rsidRDefault="006E6940" w:rsidP="0003500D">
          <w:pPr>
            <w:pStyle w:val="Header"/>
            <w:spacing w:before="120" w:line="240" w:lineRule="auto"/>
            <w:ind w:left="-72"/>
            <w:jc w:val="center"/>
          </w:pPr>
          <w:r>
            <w:t xml:space="preserve">  </w:t>
          </w:r>
          <w:r>
            <w:rPr>
              <w:noProof/>
              <w:lang w:val="en-GB" w:eastAsia="en-GB"/>
            </w:rPr>
            <w:drawing>
              <wp:inline distT="0" distB="0" distL="0" distR="0" wp14:anchorId="25F16738" wp14:editId="3911A79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6940" w:rsidRPr="0003500D" w:rsidRDefault="006E6940" w:rsidP="0003500D">
          <w:pPr>
            <w:pStyle w:val="XLarge"/>
            <w:spacing w:before="120"/>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E6940" w:rsidRPr="004432C5" w:rsidRDefault="006E6940" w:rsidP="0003500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E6940" w:rsidRPr="004432C5" w:rsidRDefault="006E6940" w:rsidP="0003500D">
          <w:pPr>
            <w:pStyle w:val="Distribution"/>
            <w:rPr>
              <w:color w:val="000000"/>
              <w:lang w:val="fr-FR"/>
            </w:rPr>
          </w:pPr>
          <w:r w:rsidRPr="004432C5">
            <w:rPr>
              <w:color w:val="000000"/>
              <w:lang w:val="fr-FR"/>
            </w:rPr>
            <w:t>Distr. générale</w:t>
          </w:r>
        </w:p>
        <w:p w:rsidR="006E6940" w:rsidRPr="004432C5" w:rsidRDefault="006E6940" w:rsidP="0003500D">
          <w:pPr>
            <w:pStyle w:val="Publication"/>
            <w:rPr>
              <w:color w:val="000000"/>
              <w:lang w:val="fr-FR"/>
            </w:rPr>
          </w:pPr>
          <w:r w:rsidRPr="004432C5">
            <w:rPr>
              <w:color w:val="000000"/>
              <w:lang w:val="fr-FR"/>
            </w:rPr>
            <w:t>5 octobre 2015</w:t>
          </w:r>
        </w:p>
        <w:p w:rsidR="006E6940" w:rsidRPr="004432C5" w:rsidRDefault="006E6940" w:rsidP="0003500D">
          <w:pPr>
            <w:rPr>
              <w:lang w:val="fr-FR"/>
            </w:rPr>
          </w:pPr>
        </w:p>
        <w:p w:rsidR="006E6940" w:rsidRPr="004432C5" w:rsidRDefault="006E6940" w:rsidP="0003500D">
          <w:pPr>
            <w:pStyle w:val="Original"/>
            <w:rPr>
              <w:color w:val="000000"/>
              <w:lang w:val="fr-FR"/>
            </w:rPr>
          </w:pPr>
          <w:r w:rsidRPr="004432C5">
            <w:rPr>
              <w:color w:val="000000"/>
              <w:lang w:val="fr-FR"/>
            </w:rPr>
            <w:t>Original</w:t>
          </w:r>
          <w:r>
            <w:rPr>
              <w:color w:val="000000"/>
              <w:lang w:val="fr-FR"/>
            </w:rPr>
            <w:t> :</w:t>
          </w:r>
          <w:r w:rsidRPr="004432C5">
            <w:rPr>
              <w:color w:val="000000"/>
              <w:lang w:val="fr-FR"/>
            </w:rPr>
            <w:t xml:space="preserve"> français</w:t>
          </w:r>
        </w:p>
      </w:tc>
    </w:tr>
  </w:tbl>
  <w:p w:rsidR="006E6940" w:rsidRPr="004432C5" w:rsidRDefault="006E6940" w:rsidP="0003500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3504E"/>
    <w:multiLevelType w:val="singleLevel"/>
    <w:tmpl w:val="3C20F61A"/>
    <w:lvl w:ilvl="0">
      <w:start w:val="1"/>
      <w:numFmt w:val="decimal"/>
      <w:lvlRestart w:val="0"/>
      <w:lvlText w:val="%1."/>
      <w:lvlJc w:val="left"/>
      <w:pPr>
        <w:tabs>
          <w:tab w:val="num" w:pos="475"/>
        </w:tabs>
        <w:ind w:left="0" w:firstLine="0"/>
      </w:pPr>
      <w:rPr>
        <w:b w:val="0"/>
        <w:w w:val="100"/>
      </w:rPr>
    </w:lvl>
  </w:abstractNum>
  <w:abstractNum w:abstractNumId="5">
    <w:nsid w:val="295E3F25"/>
    <w:multiLevelType w:val="hybridMultilevel"/>
    <w:tmpl w:val="5630FB72"/>
    <w:lvl w:ilvl="0" w:tplc="40FA45D4">
      <w:start w:val="1"/>
      <w:numFmt w:val="lowerLetter"/>
      <w:lvlText w:val="%1)"/>
      <w:lvlJc w:val="left"/>
      <w:pPr>
        <w:ind w:left="1134" w:firstLine="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A02C52"/>
    <w:multiLevelType w:val="multilevel"/>
    <w:tmpl w:val="14C2C3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EBF719F"/>
    <w:multiLevelType w:val="singleLevel"/>
    <w:tmpl w:val="E9305D98"/>
    <w:lvl w:ilvl="0">
      <w:start w:val="1"/>
      <w:numFmt w:val="decimal"/>
      <w:lvlRestart w:val="0"/>
      <w:lvlText w:val="%1."/>
      <w:lvlJc w:val="left"/>
      <w:pPr>
        <w:tabs>
          <w:tab w:val="num" w:pos="475"/>
        </w:tabs>
        <w:ind w:left="0" w:firstLine="0"/>
      </w:pPr>
      <w:rPr>
        <w:w w:val="100"/>
      </w:rPr>
    </w:lvl>
  </w:abstractNum>
  <w:abstractNum w:abstractNumId="8">
    <w:nsid w:val="466A1D75"/>
    <w:multiLevelType w:val="singleLevel"/>
    <w:tmpl w:val="E9305D98"/>
    <w:lvl w:ilvl="0">
      <w:start w:val="1"/>
      <w:numFmt w:val="decimal"/>
      <w:lvlRestart w:val="0"/>
      <w:lvlText w:val="%1."/>
      <w:lvlJc w:val="left"/>
      <w:pPr>
        <w:tabs>
          <w:tab w:val="num" w:pos="475"/>
        </w:tabs>
        <w:ind w:left="0" w:firstLine="0"/>
      </w:pPr>
      <w:rPr>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349AE"/>
    <w:multiLevelType w:val="singleLevel"/>
    <w:tmpl w:val="45BE01F0"/>
    <w:lvl w:ilvl="0">
      <w:start w:val="114"/>
      <w:numFmt w:val="decimal"/>
      <w:lvlRestart w:val="0"/>
      <w:lvlText w:val="%1."/>
      <w:lvlJc w:val="left"/>
      <w:pPr>
        <w:tabs>
          <w:tab w:val="num" w:pos="1742"/>
        </w:tabs>
        <w:ind w:left="1267" w:firstLine="0"/>
      </w:pPr>
      <w:rPr>
        <w:w w:val="100"/>
      </w:rPr>
    </w:lvl>
  </w:abstractNum>
  <w:abstractNum w:abstractNumId="11">
    <w:nsid w:val="69194485"/>
    <w:multiLevelType w:val="hybridMultilevel"/>
    <w:tmpl w:val="13D8C5A2"/>
    <w:lvl w:ilvl="0" w:tplc="5EDEE27E">
      <w:start w:val="1"/>
      <w:numFmt w:val="decimal"/>
      <w:lvlText w:val="%1."/>
      <w:lvlJc w:val="left"/>
      <w:pPr>
        <w:ind w:left="1134" w:firstLine="0"/>
      </w:pPr>
      <w:rPr>
        <w:rFonts w:hint="default"/>
        <w:b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7124EA"/>
    <w:multiLevelType w:val="singleLevel"/>
    <w:tmpl w:val="9EC688F6"/>
    <w:lvl w:ilvl="0">
      <w:start w:val="114"/>
      <w:numFmt w:val="decimal"/>
      <w:lvlRestart w:val="0"/>
      <w:lvlText w:val="%1."/>
      <w:lvlJc w:val="left"/>
      <w:pPr>
        <w:tabs>
          <w:tab w:val="num" w:pos="1742"/>
        </w:tabs>
        <w:ind w:left="1267" w:firstLine="0"/>
      </w:pPr>
      <w:rPr>
        <w:w w:val="100"/>
      </w:rPr>
    </w:lvl>
  </w:abstractNum>
  <w:num w:numId="1">
    <w:abstractNumId w:val="2"/>
  </w:num>
  <w:num w:numId="2">
    <w:abstractNumId w:val="1"/>
  </w:num>
  <w:num w:numId="3">
    <w:abstractNumId w:val="3"/>
  </w:num>
  <w:num w:numId="4">
    <w:abstractNumId w:val="9"/>
  </w:num>
  <w:num w:numId="5">
    <w:abstractNumId w:val="0"/>
  </w:num>
  <w:num w:numId="6">
    <w:abstractNumId w:val="6"/>
  </w:num>
  <w:num w:numId="7">
    <w:abstractNumId w:val="5"/>
  </w:num>
  <w:num w:numId="8">
    <w:abstractNumId w:val="11"/>
  </w:num>
  <w:num w:numId="9">
    <w:abstractNumId w:val="4"/>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3072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24*"/>
    <w:docVar w:name="CreationDt" w:val="26/10/2015 16:31:36"/>
    <w:docVar w:name="DocCategory" w:val="Doc"/>
    <w:docVar w:name="DocType" w:val="Final"/>
    <w:docVar w:name="DutyStation" w:val="New York"/>
    <w:docVar w:name="FooterJN" w:val="15-17124"/>
    <w:docVar w:name="jobn" w:val="15-17124 (F)"/>
    <w:docVar w:name="jobnDT" w:val="15-17124 (F)   261015"/>
    <w:docVar w:name="jobnDTDT" w:val="15-17124 (F)   261015   261015"/>
    <w:docVar w:name="JobNo" w:val="1517124F"/>
    <w:docVar w:name="JobNo2" w:val="1529956F"/>
    <w:docVar w:name="LocalDrive" w:val="0"/>
    <w:docVar w:name="OandT" w:val="dll"/>
    <w:docVar w:name="PaperSize" w:val="Letter"/>
    <w:docVar w:name="sss1" w:val="CEDAW/C/NER/3-4"/>
    <w:docVar w:name="sss2" w:val="-"/>
    <w:docVar w:name="Symbol1" w:val="CEDAW/C/NER/3-4"/>
    <w:docVar w:name="Symbol2" w:val="-"/>
  </w:docVars>
  <w:rsids>
    <w:rsidRoot w:val="00DF3314"/>
    <w:rsid w:val="000015B8"/>
    <w:rsid w:val="000046A5"/>
    <w:rsid w:val="000055FB"/>
    <w:rsid w:val="00010C97"/>
    <w:rsid w:val="00016483"/>
    <w:rsid w:val="00022173"/>
    <w:rsid w:val="0002226F"/>
    <w:rsid w:val="00022B4A"/>
    <w:rsid w:val="00023E37"/>
    <w:rsid w:val="000249FF"/>
    <w:rsid w:val="00025DE5"/>
    <w:rsid w:val="000274C2"/>
    <w:rsid w:val="00033DC9"/>
    <w:rsid w:val="0003500D"/>
    <w:rsid w:val="000378DE"/>
    <w:rsid w:val="00040497"/>
    <w:rsid w:val="00041ABD"/>
    <w:rsid w:val="00046145"/>
    <w:rsid w:val="00050D9C"/>
    <w:rsid w:val="00054482"/>
    <w:rsid w:val="0005669A"/>
    <w:rsid w:val="00057151"/>
    <w:rsid w:val="000571B5"/>
    <w:rsid w:val="000616D7"/>
    <w:rsid w:val="00061A7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3A5"/>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7B59"/>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87E"/>
    <w:rsid w:val="00245B48"/>
    <w:rsid w:val="00246425"/>
    <w:rsid w:val="002514CC"/>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C7E56"/>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52A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2C5"/>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6FD4"/>
    <w:rsid w:val="0058795C"/>
    <w:rsid w:val="00590A88"/>
    <w:rsid w:val="00591AA0"/>
    <w:rsid w:val="0059357F"/>
    <w:rsid w:val="00593781"/>
    <w:rsid w:val="00594AE2"/>
    <w:rsid w:val="005958B3"/>
    <w:rsid w:val="00596647"/>
    <w:rsid w:val="00597A85"/>
    <w:rsid w:val="005A037D"/>
    <w:rsid w:val="005A0DEC"/>
    <w:rsid w:val="005A1AB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03E"/>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6940"/>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382B"/>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2778"/>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09C3"/>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553"/>
    <w:rsid w:val="008E5CC1"/>
    <w:rsid w:val="008E6532"/>
    <w:rsid w:val="008E7FF5"/>
    <w:rsid w:val="008F125F"/>
    <w:rsid w:val="008F3DAE"/>
    <w:rsid w:val="008F6630"/>
    <w:rsid w:val="008F7622"/>
    <w:rsid w:val="0090311E"/>
    <w:rsid w:val="0090438E"/>
    <w:rsid w:val="0090704E"/>
    <w:rsid w:val="00907513"/>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3A71"/>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011"/>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32AD"/>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2D00"/>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1B4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46"/>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3714"/>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0176"/>
    <w:rsid w:val="00D610D0"/>
    <w:rsid w:val="00D618E7"/>
    <w:rsid w:val="00D619A2"/>
    <w:rsid w:val="00D6375A"/>
    <w:rsid w:val="00D64A77"/>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BCE"/>
    <w:rsid w:val="00DB5C75"/>
    <w:rsid w:val="00DB66E6"/>
    <w:rsid w:val="00DB6EAF"/>
    <w:rsid w:val="00DC23FE"/>
    <w:rsid w:val="00DC38B9"/>
    <w:rsid w:val="00DC5B37"/>
    <w:rsid w:val="00DC5DDD"/>
    <w:rsid w:val="00DD309E"/>
    <w:rsid w:val="00DD7C73"/>
    <w:rsid w:val="00DE01B6"/>
    <w:rsid w:val="00DE024F"/>
    <w:rsid w:val="00DE1304"/>
    <w:rsid w:val="00DE1DD3"/>
    <w:rsid w:val="00DE1FBD"/>
    <w:rsid w:val="00DE4677"/>
    <w:rsid w:val="00DE64ED"/>
    <w:rsid w:val="00DF064D"/>
    <w:rsid w:val="00DF0CBF"/>
    <w:rsid w:val="00DF3314"/>
    <w:rsid w:val="00E003D9"/>
    <w:rsid w:val="00E00C20"/>
    <w:rsid w:val="00E028F6"/>
    <w:rsid w:val="00E036CD"/>
    <w:rsid w:val="00E0543E"/>
    <w:rsid w:val="00E0753F"/>
    <w:rsid w:val="00E10BF1"/>
    <w:rsid w:val="00E11B5C"/>
    <w:rsid w:val="00E13E2B"/>
    <w:rsid w:val="00E15F6D"/>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A6439"/>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3500D"/>
    <w:rPr>
      <w:sz w:val="16"/>
      <w:szCs w:val="16"/>
    </w:rPr>
  </w:style>
  <w:style w:type="paragraph" w:styleId="CommentText">
    <w:name w:val="annotation text"/>
    <w:basedOn w:val="Normal"/>
    <w:link w:val="CommentTextChar"/>
    <w:uiPriority w:val="99"/>
    <w:semiHidden/>
    <w:unhideWhenUsed/>
    <w:rsid w:val="0003500D"/>
    <w:pPr>
      <w:spacing w:line="240" w:lineRule="auto"/>
    </w:pPr>
    <w:rPr>
      <w:szCs w:val="20"/>
    </w:rPr>
  </w:style>
  <w:style w:type="character" w:customStyle="1" w:styleId="CommentTextChar">
    <w:name w:val="Comment Text Char"/>
    <w:basedOn w:val="DefaultParagraphFont"/>
    <w:link w:val="CommentText"/>
    <w:uiPriority w:val="99"/>
    <w:semiHidden/>
    <w:rsid w:val="000350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3500D"/>
    <w:rPr>
      <w:b/>
      <w:bCs/>
    </w:rPr>
  </w:style>
  <w:style w:type="character" w:customStyle="1" w:styleId="CommentSubjectChar">
    <w:name w:val="Comment Subject Char"/>
    <w:basedOn w:val="CommentTextChar"/>
    <w:link w:val="CommentSubject"/>
    <w:uiPriority w:val="99"/>
    <w:semiHidden/>
    <w:rsid w:val="0003500D"/>
    <w:rPr>
      <w:rFonts w:ascii="Times New Roman" w:hAnsi="Times New Roman"/>
      <w:b/>
      <w:bCs/>
      <w:spacing w:val="4"/>
      <w:w w:val="103"/>
      <w:kern w:val="14"/>
      <w:lang w:val="fr-CA"/>
    </w:rPr>
  </w:style>
  <w:style w:type="paragraph" w:styleId="Revision">
    <w:name w:val="Revision"/>
    <w:hidden/>
    <w:uiPriority w:val="99"/>
    <w:semiHidden/>
    <w:rsid w:val="00D60176"/>
    <w:rPr>
      <w:rFonts w:ascii="Times New Roman" w:hAnsi="Times New Roman"/>
      <w:spacing w:val="4"/>
      <w:w w:val="103"/>
      <w:kern w:val="14"/>
      <w:szCs w:val="22"/>
      <w:lang w:val="fr-CA"/>
    </w:rPr>
  </w:style>
  <w:style w:type="character" w:styleId="Hyperlink">
    <w:name w:val="Hyperlink"/>
    <w:basedOn w:val="DefaultParagraphFont"/>
    <w:uiPriority w:val="99"/>
    <w:unhideWhenUsed/>
    <w:rsid w:val="001C7B59"/>
    <w:rPr>
      <w:color w:val="0000FF"/>
      <w:u w:val="none"/>
    </w:rPr>
  </w:style>
  <w:style w:type="character" w:styleId="FollowedHyperlink">
    <w:name w:val="FollowedHyperlink"/>
    <w:basedOn w:val="DefaultParagraphFont"/>
    <w:uiPriority w:val="99"/>
    <w:semiHidden/>
    <w:unhideWhenUsed/>
    <w:rsid w:val="001C7B59"/>
    <w:rPr>
      <w:color w:val="0000FF"/>
      <w:u w:val="none"/>
    </w:rPr>
  </w:style>
  <w:style w:type="paragraph" w:customStyle="1" w:styleId="SingleTxtG">
    <w:name w:val="_ Single Txt_G"/>
    <w:basedOn w:val="Normal"/>
    <w:rsid w:val="00822778"/>
    <w:pPr>
      <w:suppressAutoHyphens/>
      <w:spacing w:after="120" w:line="240" w:lineRule="atLeast"/>
      <w:ind w:left="1134" w:right="1134"/>
      <w:jc w:val="both"/>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3500D"/>
    <w:rPr>
      <w:sz w:val="16"/>
      <w:szCs w:val="16"/>
    </w:rPr>
  </w:style>
  <w:style w:type="paragraph" w:styleId="CommentText">
    <w:name w:val="annotation text"/>
    <w:basedOn w:val="Normal"/>
    <w:link w:val="CommentTextChar"/>
    <w:uiPriority w:val="99"/>
    <w:semiHidden/>
    <w:unhideWhenUsed/>
    <w:rsid w:val="0003500D"/>
    <w:pPr>
      <w:spacing w:line="240" w:lineRule="auto"/>
    </w:pPr>
    <w:rPr>
      <w:szCs w:val="20"/>
    </w:rPr>
  </w:style>
  <w:style w:type="character" w:customStyle="1" w:styleId="CommentTextChar">
    <w:name w:val="Comment Text Char"/>
    <w:basedOn w:val="DefaultParagraphFont"/>
    <w:link w:val="CommentText"/>
    <w:uiPriority w:val="99"/>
    <w:semiHidden/>
    <w:rsid w:val="000350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3500D"/>
    <w:rPr>
      <w:b/>
      <w:bCs/>
    </w:rPr>
  </w:style>
  <w:style w:type="character" w:customStyle="1" w:styleId="CommentSubjectChar">
    <w:name w:val="Comment Subject Char"/>
    <w:basedOn w:val="CommentTextChar"/>
    <w:link w:val="CommentSubject"/>
    <w:uiPriority w:val="99"/>
    <w:semiHidden/>
    <w:rsid w:val="0003500D"/>
    <w:rPr>
      <w:rFonts w:ascii="Times New Roman" w:hAnsi="Times New Roman"/>
      <w:b/>
      <w:bCs/>
      <w:spacing w:val="4"/>
      <w:w w:val="103"/>
      <w:kern w:val="14"/>
      <w:lang w:val="fr-CA"/>
    </w:rPr>
  </w:style>
  <w:style w:type="paragraph" w:styleId="Revision">
    <w:name w:val="Revision"/>
    <w:hidden/>
    <w:uiPriority w:val="99"/>
    <w:semiHidden/>
    <w:rsid w:val="00D60176"/>
    <w:rPr>
      <w:rFonts w:ascii="Times New Roman" w:hAnsi="Times New Roman"/>
      <w:spacing w:val="4"/>
      <w:w w:val="103"/>
      <w:kern w:val="14"/>
      <w:szCs w:val="22"/>
      <w:lang w:val="fr-CA"/>
    </w:rPr>
  </w:style>
  <w:style w:type="character" w:styleId="Hyperlink">
    <w:name w:val="Hyperlink"/>
    <w:basedOn w:val="DefaultParagraphFont"/>
    <w:uiPriority w:val="99"/>
    <w:unhideWhenUsed/>
    <w:rsid w:val="001C7B59"/>
    <w:rPr>
      <w:color w:val="0000FF"/>
      <w:u w:val="none"/>
    </w:rPr>
  </w:style>
  <w:style w:type="character" w:styleId="FollowedHyperlink">
    <w:name w:val="FollowedHyperlink"/>
    <w:basedOn w:val="DefaultParagraphFont"/>
    <w:uiPriority w:val="99"/>
    <w:semiHidden/>
    <w:unhideWhenUsed/>
    <w:rsid w:val="001C7B59"/>
    <w:rPr>
      <w:color w:val="0000FF"/>
      <w:u w:val="none"/>
    </w:rPr>
  </w:style>
  <w:style w:type="paragraph" w:customStyle="1" w:styleId="SingleTxtG">
    <w:name w:val="_ Single Txt_G"/>
    <w:basedOn w:val="Normal"/>
    <w:rsid w:val="00822778"/>
    <w:pPr>
      <w:suppressAutoHyphens/>
      <w:spacing w:after="120" w:line="240" w:lineRule="atLeast"/>
      <w:ind w:left="1134" w:right="1134"/>
      <w:jc w:val="both"/>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S/D/AR/DGP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E268-BF36-463C-908E-97ADB97E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12691</Words>
  <Characters>72341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FTPU.FrontDesk1-by Window</cp:lastModifiedBy>
  <cp:revision>35</cp:revision>
  <cp:lastPrinted>2015-10-26T23:40:00Z</cp:lastPrinted>
  <dcterms:created xsi:type="dcterms:W3CDTF">2015-10-26T20:30:00Z</dcterms:created>
  <dcterms:modified xsi:type="dcterms:W3CDTF">2015-10-28T20:00:00Z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1517124F</vt:lpwstr>
  </property>
  <property fmtid="{D5CDD505-2E9C-101B-9397-08002B2CF9AE}" pid="3" name="ODSRefJobNo">
    <vt:lpwstr>1529956F</vt:lpwstr>
  </property>
  <property fmtid="{D5CDD505-2E9C-101B-9397-08002B2CF9AE}" pid="4" name="Symbol1">
    <vt:lpwstr>CEDAW/C/NER/3-4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5 octobre 2015</vt:lpwstr>
  </property>
  <property fmtid="{D5CDD505-2E9C-101B-9397-08002B2CF9AE}" pid="9" name="Original">
    <vt:lpwstr>français</vt:lpwstr>
  </property>
  <property fmtid="{D5CDD505-2E9C-101B-9397-08002B2CF9AE}" pid="10" name="Release Date">
    <vt:lpwstr>261015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